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94559" w14:textId="77777777" w:rsidR="00B46BDB" w:rsidRPr="00B46BDB" w:rsidRDefault="00B46BDB" w:rsidP="00B46BDB">
      <w:pPr>
        <w:rPr>
          <w:rFonts w:asciiTheme="majorHAnsi" w:eastAsiaTheme="majorEastAsia" w:hAnsiTheme="majorHAnsi" w:cstheme="majorBidi"/>
          <w:spacing w:val="-10"/>
          <w:kern w:val="28"/>
          <w:sz w:val="56"/>
          <w:szCs w:val="56"/>
          <w:lang w:val="en-US"/>
        </w:rPr>
      </w:pPr>
      <w:r w:rsidRPr="00B46BDB">
        <w:rPr>
          <w:rFonts w:asciiTheme="majorHAnsi" w:eastAsiaTheme="majorEastAsia" w:hAnsiTheme="majorHAnsi" w:cstheme="majorBidi"/>
          <w:spacing w:val="-10"/>
          <w:kern w:val="28"/>
          <w:sz w:val="56"/>
          <w:szCs w:val="56"/>
          <w:lang w:val="en-US"/>
        </w:rPr>
        <w:t>Hormonal Target Validation based on Biochemical Shifts in Gender-Affirming Hormone Therapy</w:t>
      </w:r>
    </w:p>
    <w:p w14:paraId="5254BFEA" w14:textId="4825EA46" w:rsidR="00B46BDB" w:rsidRPr="00C202FF" w:rsidRDefault="00B46BDB" w:rsidP="00B46BDB">
      <w:pPr>
        <w:rPr>
          <w:vertAlign w:val="superscript"/>
          <w:lang w:val="en-US"/>
        </w:rPr>
      </w:pPr>
      <w:r w:rsidRPr="00C202FF">
        <w:rPr>
          <w:lang w:val="en-US"/>
        </w:rPr>
        <w:t>Jeroen Vervalcke</w:t>
      </w:r>
      <w:r w:rsidRPr="00C202FF">
        <w:rPr>
          <w:vertAlign w:val="superscript"/>
          <w:lang w:val="en-US"/>
        </w:rPr>
        <w:t>1,2*</w:t>
      </w:r>
      <w:r w:rsidRPr="00C202FF">
        <w:rPr>
          <w:lang w:val="en-US"/>
        </w:rPr>
        <w:t>, Lorenzo Marinelli</w:t>
      </w:r>
      <w:r w:rsidRPr="00C202FF">
        <w:rPr>
          <w:vertAlign w:val="superscript"/>
          <w:lang w:val="en-US"/>
        </w:rPr>
        <w:t>2,3</w:t>
      </w:r>
      <w:r w:rsidRPr="00C202FF">
        <w:rPr>
          <w:lang w:val="en-US"/>
        </w:rPr>
        <w:t>, Dorte Glintborg</w:t>
      </w:r>
      <w:r w:rsidRPr="00C202FF">
        <w:rPr>
          <w:vertAlign w:val="superscript"/>
          <w:lang w:val="en-US"/>
        </w:rPr>
        <w:t>4</w:t>
      </w:r>
      <w:r w:rsidRPr="00C202FF">
        <w:rPr>
          <w:lang w:val="en-US"/>
        </w:rPr>
        <w:t xml:space="preserve">, </w:t>
      </w:r>
      <w:r w:rsidR="00C202FF" w:rsidRPr="00C202FF">
        <w:rPr>
          <w:lang w:val="en-US"/>
        </w:rPr>
        <w:t>Louise Lehmann Christensen</w:t>
      </w:r>
      <w:r w:rsidR="00C202FF" w:rsidRPr="00C202FF">
        <w:rPr>
          <w:vertAlign w:val="superscript"/>
          <w:lang w:val="en-US"/>
        </w:rPr>
        <w:t>4</w:t>
      </w:r>
      <w:r w:rsidR="00C202FF" w:rsidRPr="00C202FF">
        <w:rPr>
          <w:lang w:val="en-US"/>
        </w:rPr>
        <w:t>,</w:t>
      </w:r>
      <w:r w:rsidR="00C202FF">
        <w:rPr>
          <w:vertAlign w:val="superscript"/>
          <w:lang w:val="en-US"/>
        </w:rPr>
        <w:t xml:space="preserve"> </w:t>
      </w:r>
      <w:r w:rsidRPr="00C202FF">
        <w:rPr>
          <w:lang w:val="en-US"/>
        </w:rPr>
        <w:t>Martin den Heijer</w:t>
      </w:r>
      <w:r w:rsidRPr="00C202FF">
        <w:rPr>
          <w:vertAlign w:val="superscript"/>
          <w:lang w:val="en-US"/>
        </w:rPr>
        <w:t>5,6</w:t>
      </w:r>
      <w:r w:rsidRPr="00C202FF">
        <w:rPr>
          <w:lang w:val="en-US"/>
        </w:rPr>
        <w:t>, Alessandra Fisher</w:t>
      </w:r>
      <w:r w:rsidRPr="00C202FF">
        <w:rPr>
          <w:vertAlign w:val="superscript"/>
          <w:lang w:val="en-US"/>
        </w:rPr>
        <w:t>7</w:t>
      </w:r>
      <w:r w:rsidRPr="00C202FF">
        <w:rPr>
          <w:lang w:val="en-US"/>
        </w:rPr>
        <w:t xml:space="preserve">, </w:t>
      </w:r>
      <w:r w:rsidR="00C202FF" w:rsidRPr="00C202FF">
        <w:rPr>
          <w:lang w:val="en-US"/>
        </w:rPr>
        <w:t>Konstantina Barouti</w:t>
      </w:r>
      <w:r w:rsidR="00C202FF" w:rsidRPr="00C202FF">
        <w:rPr>
          <w:vertAlign w:val="superscript"/>
          <w:lang w:val="en-US"/>
        </w:rPr>
        <w:t>8</w:t>
      </w:r>
      <w:r w:rsidRPr="00C202FF">
        <w:rPr>
          <w:lang w:val="en-US"/>
        </w:rPr>
        <w:t>, Guy T’Sjoen</w:t>
      </w:r>
      <w:r w:rsidRPr="00C202FF">
        <w:rPr>
          <w:vertAlign w:val="superscript"/>
          <w:lang w:val="en-US"/>
        </w:rPr>
        <w:t>1,2</w:t>
      </w:r>
    </w:p>
    <w:p w14:paraId="18534289" w14:textId="77777777" w:rsidR="00B46BDB" w:rsidRPr="00BB0A78" w:rsidRDefault="00B46BDB" w:rsidP="00B46BDB">
      <w:pPr>
        <w:rPr>
          <w:vertAlign w:val="superscript"/>
          <w:lang w:val="da-DK"/>
        </w:rPr>
      </w:pPr>
    </w:p>
    <w:p w14:paraId="4D2C4308" w14:textId="77777777" w:rsidR="00B46BDB" w:rsidRPr="00BB0A78" w:rsidRDefault="00B46BDB" w:rsidP="00B46BDB">
      <w:pPr>
        <w:rPr>
          <w:vertAlign w:val="superscript"/>
          <w:lang w:val="en-US"/>
        </w:rPr>
      </w:pPr>
      <w:r w:rsidRPr="00BB0A78">
        <w:rPr>
          <w:vertAlign w:val="superscript"/>
          <w:lang w:val="en-US"/>
        </w:rPr>
        <w:t>* Authors declare shared first authorship</w:t>
      </w:r>
    </w:p>
    <w:p w14:paraId="4876FA38" w14:textId="6563678C" w:rsidR="00B46BDB" w:rsidRPr="00B46BDB" w:rsidRDefault="00B46BDB" w:rsidP="00B46BDB">
      <w:pPr>
        <w:rPr>
          <w:i/>
          <w:iCs/>
          <w:lang w:val="en-US"/>
        </w:rPr>
      </w:pPr>
      <w:r w:rsidRPr="00BB0A78">
        <w:rPr>
          <w:i/>
          <w:iCs/>
          <w:lang w:val="en-US"/>
        </w:rPr>
        <w:t>1: Faculty of Medicine and Health Sciences, Ghent University, Ghent, Belgium</w:t>
      </w:r>
      <w:r w:rsidRPr="00BB0A78">
        <w:rPr>
          <w:i/>
          <w:iCs/>
          <w:lang w:val="en-US"/>
        </w:rPr>
        <w:br/>
        <w:t>2: Service of Endocrinology, Dep. of Internal Medicine and Pediatrics, Ghent University Hospital, Ghent Belgium</w:t>
      </w:r>
      <w:r w:rsidRPr="00BB0A78">
        <w:rPr>
          <w:i/>
          <w:iCs/>
          <w:lang w:val="en-US"/>
        </w:rPr>
        <w:br/>
      </w:r>
      <w:r>
        <w:rPr>
          <w:i/>
          <w:iCs/>
          <w:lang w:val="en-US"/>
        </w:rPr>
        <w:t>3</w:t>
      </w:r>
      <w:r w:rsidRPr="00BB0A78">
        <w:rPr>
          <w:i/>
          <w:iCs/>
          <w:lang w:val="en-US"/>
        </w:rPr>
        <w:t>: Division of Endocrinology, Diabetes, and Metabolism, Department of Medical Sciences, University of Turin, 10126, Turin, Italy</w:t>
      </w:r>
      <w:r w:rsidRPr="00BB0A78">
        <w:rPr>
          <w:i/>
          <w:iCs/>
          <w:lang w:val="en-US"/>
        </w:rPr>
        <w:br/>
      </w:r>
      <w:r>
        <w:rPr>
          <w:i/>
          <w:iCs/>
          <w:lang w:val="en-US"/>
        </w:rPr>
        <w:t>4</w:t>
      </w:r>
      <w:r w:rsidRPr="00BB0A78">
        <w:rPr>
          <w:i/>
          <w:iCs/>
          <w:lang w:val="en-US"/>
        </w:rPr>
        <w:t>: Center for Gender Identity, Department of Endocrinology, Odense University Hospital, Odense, Denmark</w:t>
      </w:r>
      <w:r w:rsidRPr="00BB0A78">
        <w:rPr>
          <w:i/>
          <w:iCs/>
          <w:lang w:val="en-US"/>
        </w:rPr>
        <w:br/>
      </w:r>
      <w:r>
        <w:rPr>
          <w:i/>
          <w:iCs/>
          <w:lang w:val="en-US"/>
        </w:rPr>
        <w:t>5</w:t>
      </w:r>
      <w:r w:rsidRPr="00BB0A78">
        <w:rPr>
          <w:i/>
          <w:iCs/>
          <w:lang w:val="en-US"/>
        </w:rPr>
        <w:t>:</w:t>
      </w:r>
      <w:r w:rsidRPr="00BB0A78">
        <w:rPr>
          <w:lang w:val="en-US"/>
        </w:rPr>
        <w:t xml:space="preserve"> </w:t>
      </w:r>
      <w:r w:rsidRPr="00BB0A78">
        <w:rPr>
          <w:i/>
          <w:iCs/>
          <w:lang w:val="en-US"/>
        </w:rPr>
        <w:t>Department of internal medicine, VU Medical Center, Amsterdam, Netherlands</w:t>
      </w:r>
      <w:r w:rsidRPr="00BB0A78">
        <w:rPr>
          <w:i/>
          <w:iCs/>
          <w:lang w:val="en-US"/>
        </w:rPr>
        <w:br/>
      </w:r>
      <w:r>
        <w:rPr>
          <w:i/>
          <w:iCs/>
          <w:lang w:val="en-US"/>
        </w:rPr>
        <w:t>6</w:t>
      </w:r>
      <w:r w:rsidRPr="00BB0A78">
        <w:rPr>
          <w:i/>
          <w:iCs/>
          <w:lang w:val="en-US"/>
        </w:rPr>
        <w:t>: Center of expertise on gender dysphoria, VU Medical Center, Amsterdam, Netherlands.</w:t>
      </w:r>
      <w:r w:rsidRPr="00BB0A78">
        <w:rPr>
          <w:i/>
          <w:iCs/>
          <w:lang w:val="en-US"/>
        </w:rPr>
        <w:br/>
      </w:r>
      <w:r>
        <w:rPr>
          <w:i/>
          <w:iCs/>
          <w:lang w:val="en-US"/>
        </w:rPr>
        <w:t>7</w:t>
      </w:r>
      <w:r w:rsidRPr="00BB0A78">
        <w:rPr>
          <w:i/>
          <w:iCs/>
          <w:lang w:val="en-US"/>
        </w:rPr>
        <w:t>: Sexual Medicine and Andrology Unit, Department of Experimental, Clinical and Biomedical Sciences, University of Florence, Florence, Italy.</w:t>
      </w:r>
      <w:r w:rsidR="00C202FF">
        <w:rPr>
          <w:i/>
          <w:iCs/>
          <w:lang w:val="en-US"/>
        </w:rPr>
        <w:br/>
      </w:r>
      <w:r w:rsidR="00C202FF" w:rsidRPr="00C202FF">
        <w:rPr>
          <w:i/>
          <w:iCs/>
          <w:lang w:val="en-US"/>
        </w:rPr>
        <w:t>8. General Hospital 'Elena Venizelou', Athens, Attica, Greece</w:t>
      </w:r>
    </w:p>
    <w:p w14:paraId="176A2324" w14:textId="77777777" w:rsidR="00B46BDB" w:rsidRPr="00BB0A78" w:rsidRDefault="00B46BDB" w:rsidP="00B46BDB">
      <w:pPr>
        <w:rPr>
          <w:lang w:val="en-US"/>
        </w:rPr>
      </w:pPr>
    </w:p>
    <w:p w14:paraId="5DD2EC06" w14:textId="77777777" w:rsidR="00B46BDB" w:rsidRPr="00BB0A78" w:rsidRDefault="00B46BDB" w:rsidP="00B46BDB">
      <w:pPr>
        <w:rPr>
          <w:lang w:val="en-US"/>
        </w:rPr>
      </w:pPr>
    </w:p>
    <w:p w14:paraId="7FB59B1C" w14:textId="77777777" w:rsidR="00B46BDB" w:rsidRDefault="00B46BDB" w:rsidP="00B46BDB">
      <w:pPr>
        <w:rPr>
          <w:lang w:val="en-US"/>
        </w:rPr>
      </w:pPr>
    </w:p>
    <w:p w14:paraId="26E2B9AC" w14:textId="77777777" w:rsidR="00B46BDB" w:rsidRDefault="00B46BDB" w:rsidP="00B46BDB">
      <w:pPr>
        <w:rPr>
          <w:lang w:val="en-US"/>
        </w:rPr>
      </w:pPr>
    </w:p>
    <w:p w14:paraId="3BF44090" w14:textId="77777777" w:rsidR="00B46BDB" w:rsidRPr="00BB0A78" w:rsidRDefault="00B46BDB" w:rsidP="00B46BDB">
      <w:pPr>
        <w:rPr>
          <w:lang w:val="en-US"/>
        </w:rPr>
      </w:pPr>
    </w:p>
    <w:p w14:paraId="750C87D1" w14:textId="77777777" w:rsidR="00B46BDB" w:rsidRPr="00BB0A78" w:rsidRDefault="00B46BDB" w:rsidP="00B46BDB">
      <w:pPr>
        <w:rPr>
          <w:lang w:val="en-US"/>
        </w:rPr>
      </w:pPr>
    </w:p>
    <w:p w14:paraId="7CC3467F" w14:textId="77777777" w:rsidR="00B46BDB" w:rsidRPr="00BB0A78" w:rsidRDefault="00B46BDB" w:rsidP="00B46BDB">
      <w:pPr>
        <w:rPr>
          <w:lang w:val="en-US"/>
        </w:rPr>
      </w:pPr>
    </w:p>
    <w:p w14:paraId="6A7473CA" w14:textId="77777777" w:rsidR="00B46BDB" w:rsidRPr="00BB0A78" w:rsidRDefault="00B46BDB" w:rsidP="00B46BDB">
      <w:pPr>
        <w:rPr>
          <w:lang w:val="en-US"/>
        </w:rPr>
      </w:pPr>
      <w:r w:rsidRPr="00BB0A78">
        <w:rPr>
          <w:lang w:val="en-US"/>
        </w:rPr>
        <w:t>Corresponding author:</w:t>
      </w:r>
    </w:p>
    <w:p w14:paraId="108AFDC1" w14:textId="77777777" w:rsidR="00B46BDB" w:rsidRPr="00BB0A78" w:rsidRDefault="00B46BDB" w:rsidP="00B46BDB">
      <w:pPr>
        <w:rPr>
          <w:lang w:val="en-US"/>
        </w:rPr>
      </w:pPr>
      <w:r w:rsidRPr="00BB0A78">
        <w:rPr>
          <w:lang w:val="en-US"/>
        </w:rPr>
        <w:t>Surname, Name: Vervalcke, Jeroen</w:t>
      </w:r>
    </w:p>
    <w:p w14:paraId="3F3581C5" w14:textId="77777777" w:rsidR="00B46BDB" w:rsidRPr="00BB0A78" w:rsidRDefault="00B46BDB" w:rsidP="00B46BDB">
      <w:pPr>
        <w:rPr>
          <w:lang w:val="en-US"/>
        </w:rPr>
      </w:pPr>
      <w:r w:rsidRPr="00BB0A78">
        <w:rPr>
          <w:lang w:val="en-US"/>
        </w:rPr>
        <w:t>E-mail: jeroen.vervalcke@uzgent.be</w:t>
      </w:r>
    </w:p>
    <w:p w14:paraId="02C0464D" w14:textId="77777777" w:rsidR="00B46BDB" w:rsidRPr="00BB0A78" w:rsidRDefault="00B46BDB" w:rsidP="00B46BDB">
      <w:pPr>
        <w:rPr>
          <w:lang w:val="en-US"/>
        </w:rPr>
      </w:pPr>
      <w:r w:rsidRPr="00BB0A78">
        <w:rPr>
          <w:lang w:val="en-US"/>
        </w:rPr>
        <w:t>Tel.: +329 332 18 78, +32470735306</w:t>
      </w:r>
    </w:p>
    <w:p w14:paraId="2555A262" w14:textId="77777777" w:rsidR="00B46BDB" w:rsidRPr="00BB0A78" w:rsidRDefault="00B46BDB" w:rsidP="00B46BDB">
      <w:pPr>
        <w:rPr>
          <w:lang w:val="en-US"/>
        </w:rPr>
      </w:pPr>
      <w:r w:rsidRPr="00BB0A78">
        <w:rPr>
          <w:lang w:val="en-US"/>
        </w:rPr>
        <w:t>Address: C. Heymanslaan 10, 9000, Gent, Belgium. Department of Endocrinology.</w:t>
      </w:r>
    </w:p>
    <w:p w14:paraId="61435C19" w14:textId="77777777" w:rsidR="00B46BDB" w:rsidRPr="00B46BDB" w:rsidRDefault="00B46BDB" w:rsidP="00B46BDB">
      <w:pPr>
        <w:pStyle w:val="Kop1"/>
        <w:rPr>
          <w:color w:val="auto"/>
          <w:lang w:val="en-US"/>
        </w:rPr>
      </w:pPr>
      <w:r w:rsidRPr="00B46BDB">
        <w:rPr>
          <w:color w:val="auto"/>
          <w:lang w:val="en-US"/>
        </w:rPr>
        <w:lastRenderedPageBreak/>
        <w:t>Electronic Supplementary Materials</w:t>
      </w:r>
    </w:p>
    <w:p w14:paraId="5870CF39" w14:textId="0C8268D0" w:rsidR="008B0287" w:rsidRDefault="008B0287" w:rsidP="008B0287">
      <w:pPr>
        <w:pStyle w:val="Kop2"/>
        <w:rPr>
          <w:color w:val="auto"/>
          <w:lang w:val="en-US"/>
        </w:rPr>
      </w:pPr>
      <w:r w:rsidRPr="00DB7512">
        <w:rPr>
          <w:color w:val="auto"/>
          <w:lang w:val="en-US"/>
        </w:rPr>
        <w:t xml:space="preserve">ESM </w:t>
      </w:r>
      <w:r w:rsidR="004A062B">
        <w:rPr>
          <w:color w:val="auto"/>
          <w:lang w:val="en-US"/>
        </w:rPr>
        <w:t>A</w:t>
      </w:r>
      <w:r w:rsidRPr="00DB7512">
        <w:rPr>
          <w:color w:val="auto"/>
          <w:lang w:val="en-US"/>
        </w:rPr>
        <w:t xml:space="preserve">: </w:t>
      </w:r>
      <w:r w:rsidR="004A062B">
        <w:rPr>
          <w:color w:val="auto"/>
          <w:lang w:val="en-US"/>
        </w:rPr>
        <w:t>reference ranges</w:t>
      </w:r>
    </w:p>
    <w:p w14:paraId="73EC32AC" w14:textId="2103ADE0" w:rsidR="00A26B92" w:rsidRDefault="00A26B92" w:rsidP="00137EBA">
      <w:pPr>
        <w:pStyle w:val="Lijstalinea"/>
        <w:rPr>
          <w:lang w:val="en-US"/>
        </w:rPr>
      </w:pPr>
    </w:p>
    <w:tbl>
      <w:tblPr>
        <w:tblStyle w:val="Tabelraster"/>
        <w:tblW w:w="9786" w:type="dxa"/>
        <w:tblInd w:w="-5" w:type="dxa"/>
        <w:tblLook w:val="04A0" w:firstRow="1" w:lastRow="0" w:firstColumn="1" w:lastColumn="0" w:noHBand="0" w:noVBand="1"/>
      </w:tblPr>
      <w:tblGrid>
        <w:gridCol w:w="3298"/>
        <w:gridCol w:w="3244"/>
        <w:gridCol w:w="3244"/>
      </w:tblGrid>
      <w:tr w:rsidR="00555864" w14:paraId="6566CC56" w14:textId="77777777" w:rsidTr="00960FC0">
        <w:trPr>
          <w:trHeight w:val="821"/>
        </w:trPr>
        <w:tc>
          <w:tcPr>
            <w:tcW w:w="3298" w:type="dxa"/>
            <w:vAlign w:val="center"/>
          </w:tcPr>
          <w:p w14:paraId="223B9876" w14:textId="4821EBA2" w:rsidR="00A26B92" w:rsidRPr="00960FC0" w:rsidRDefault="00A26B92" w:rsidP="00960FC0">
            <w:pPr>
              <w:pStyle w:val="Lijstalinea"/>
              <w:ind w:left="0"/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 w:rsidRPr="00960FC0">
              <w:rPr>
                <w:b/>
                <w:bCs/>
                <w:sz w:val="28"/>
                <w:szCs w:val="28"/>
                <w:lang w:val="en-US"/>
              </w:rPr>
              <w:t>Biomarker</w:t>
            </w:r>
          </w:p>
        </w:tc>
        <w:tc>
          <w:tcPr>
            <w:tcW w:w="3244" w:type="dxa"/>
            <w:vAlign w:val="center"/>
          </w:tcPr>
          <w:p w14:paraId="6354AEA6" w14:textId="0B636BCD" w:rsidR="00A26B92" w:rsidRPr="00960FC0" w:rsidRDefault="004A062B" w:rsidP="00960FC0">
            <w:pPr>
              <w:pStyle w:val="Lijstalinea"/>
              <w:ind w:left="0"/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 w:rsidRPr="00960FC0">
              <w:rPr>
                <w:b/>
                <w:bCs/>
                <w:sz w:val="28"/>
                <w:szCs w:val="28"/>
                <w:lang w:val="en-US"/>
              </w:rPr>
              <w:t>Male reference range</w:t>
            </w:r>
          </w:p>
        </w:tc>
        <w:tc>
          <w:tcPr>
            <w:tcW w:w="3244" w:type="dxa"/>
            <w:vAlign w:val="center"/>
          </w:tcPr>
          <w:p w14:paraId="42BCF098" w14:textId="09F7F9AD" w:rsidR="00A26B92" w:rsidRPr="00960FC0" w:rsidRDefault="004A062B" w:rsidP="00960FC0">
            <w:pPr>
              <w:pStyle w:val="Lijstalinea"/>
              <w:ind w:left="0"/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 w:rsidRPr="00960FC0">
              <w:rPr>
                <w:b/>
                <w:bCs/>
                <w:sz w:val="28"/>
                <w:szCs w:val="28"/>
                <w:lang w:val="en-US"/>
              </w:rPr>
              <w:t>Female reference range</w:t>
            </w:r>
          </w:p>
        </w:tc>
      </w:tr>
      <w:tr w:rsidR="00555864" w14:paraId="372D04C6" w14:textId="77777777" w:rsidTr="00960FC0">
        <w:trPr>
          <w:trHeight w:val="328"/>
        </w:trPr>
        <w:tc>
          <w:tcPr>
            <w:tcW w:w="3298" w:type="dxa"/>
            <w:vAlign w:val="center"/>
          </w:tcPr>
          <w:p w14:paraId="33B9E645" w14:textId="5409611D" w:rsidR="00A26B92" w:rsidRPr="004A062B" w:rsidRDefault="004A062B" w:rsidP="00960FC0">
            <w:pPr>
              <w:pStyle w:val="Lijstalinea"/>
              <w:ind w:left="0"/>
              <w:jc w:val="center"/>
              <w:rPr>
                <w:lang w:val="en-US"/>
              </w:rPr>
            </w:pPr>
            <w:r w:rsidRPr="004A062B">
              <w:rPr>
                <w:lang w:val="en-US"/>
              </w:rPr>
              <w:t>Serum creatinine</w:t>
            </w:r>
          </w:p>
        </w:tc>
        <w:tc>
          <w:tcPr>
            <w:tcW w:w="3244" w:type="dxa"/>
            <w:vAlign w:val="center"/>
          </w:tcPr>
          <w:p w14:paraId="7DC3B589" w14:textId="191AF759" w:rsidR="00A26B92" w:rsidRDefault="004A062B" w:rsidP="00960FC0">
            <w:pPr>
              <w:pStyle w:val="Lijstalinea"/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0.72-1.17mg/dL</w:t>
            </w:r>
          </w:p>
        </w:tc>
        <w:tc>
          <w:tcPr>
            <w:tcW w:w="3244" w:type="dxa"/>
            <w:vAlign w:val="center"/>
          </w:tcPr>
          <w:p w14:paraId="58184C1E" w14:textId="52EB1BD2" w:rsidR="00A26B92" w:rsidRDefault="004A062B" w:rsidP="00960FC0">
            <w:pPr>
              <w:pStyle w:val="Lijstalinea"/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0.55-0.96mg/dL</w:t>
            </w:r>
          </w:p>
        </w:tc>
      </w:tr>
      <w:tr w:rsidR="00555864" w14:paraId="7B1430F6" w14:textId="77777777" w:rsidTr="00960FC0">
        <w:trPr>
          <w:trHeight w:val="639"/>
        </w:trPr>
        <w:tc>
          <w:tcPr>
            <w:tcW w:w="3298" w:type="dxa"/>
            <w:vAlign w:val="center"/>
          </w:tcPr>
          <w:p w14:paraId="551CECA8" w14:textId="7A4C69CF" w:rsidR="00A26B92" w:rsidRPr="004A062B" w:rsidRDefault="004A062B" w:rsidP="00960FC0">
            <w:pPr>
              <w:pStyle w:val="Lijstalinea"/>
              <w:ind w:left="0"/>
              <w:jc w:val="center"/>
              <w:rPr>
                <w:lang w:val="en-US"/>
              </w:rPr>
            </w:pPr>
            <w:r w:rsidRPr="004A062B">
              <w:rPr>
                <w:lang w:val="en-US"/>
              </w:rPr>
              <w:t>Sex-hormone binding globulin</w:t>
            </w:r>
            <w:r w:rsidR="00555864">
              <w:rPr>
                <w:lang w:val="en-US"/>
              </w:rPr>
              <w:t xml:space="preserve"> &lt;70y</w:t>
            </w:r>
          </w:p>
        </w:tc>
        <w:tc>
          <w:tcPr>
            <w:tcW w:w="3244" w:type="dxa"/>
            <w:vAlign w:val="center"/>
          </w:tcPr>
          <w:p w14:paraId="51AFC2DF" w14:textId="28F8FC03" w:rsidR="00A26B92" w:rsidRDefault="00F87D43" w:rsidP="00960FC0">
            <w:pPr>
              <w:pStyle w:val="Lijstalinea"/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11.6-71.2nmol/L</w:t>
            </w:r>
          </w:p>
        </w:tc>
        <w:tc>
          <w:tcPr>
            <w:tcW w:w="3244" w:type="dxa"/>
            <w:vAlign w:val="center"/>
          </w:tcPr>
          <w:p w14:paraId="5ED3B6AF" w14:textId="248D5980" w:rsidR="00A26B92" w:rsidRDefault="00F87D43" w:rsidP="00960FC0">
            <w:pPr>
              <w:pStyle w:val="Lijstalinea"/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/</w:t>
            </w:r>
          </w:p>
        </w:tc>
      </w:tr>
      <w:tr w:rsidR="00555864" w14:paraId="516C2990" w14:textId="77777777" w:rsidTr="00960FC0">
        <w:trPr>
          <w:trHeight w:val="657"/>
        </w:trPr>
        <w:tc>
          <w:tcPr>
            <w:tcW w:w="3298" w:type="dxa"/>
            <w:vAlign w:val="center"/>
          </w:tcPr>
          <w:p w14:paraId="3EE7B674" w14:textId="64D9D00F" w:rsidR="00555864" w:rsidRPr="004A062B" w:rsidRDefault="00555864" w:rsidP="00960FC0">
            <w:pPr>
              <w:pStyle w:val="Lijstalinea"/>
              <w:ind w:left="0"/>
              <w:jc w:val="center"/>
              <w:rPr>
                <w:lang w:val="en-US"/>
              </w:rPr>
            </w:pPr>
            <w:r w:rsidRPr="004A062B">
              <w:rPr>
                <w:lang w:val="en-US"/>
              </w:rPr>
              <w:t>Sex-hormone binding globulin</w:t>
            </w:r>
            <w:r>
              <w:rPr>
                <w:lang w:val="en-US"/>
              </w:rPr>
              <w:t xml:space="preserve"> &lt;50y</w:t>
            </w:r>
          </w:p>
        </w:tc>
        <w:tc>
          <w:tcPr>
            <w:tcW w:w="3244" w:type="dxa"/>
            <w:vAlign w:val="center"/>
          </w:tcPr>
          <w:p w14:paraId="5A4F49CB" w14:textId="72E8B58F" w:rsidR="00555864" w:rsidRDefault="00F87D43" w:rsidP="00960FC0">
            <w:pPr>
              <w:pStyle w:val="Lijstalinea"/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/</w:t>
            </w:r>
          </w:p>
        </w:tc>
        <w:tc>
          <w:tcPr>
            <w:tcW w:w="3244" w:type="dxa"/>
            <w:vAlign w:val="center"/>
          </w:tcPr>
          <w:p w14:paraId="2ECEDFCB" w14:textId="6E5F7CDE" w:rsidR="00555864" w:rsidRDefault="00F87D43" w:rsidP="00960FC0">
            <w:pPr>
              <w:pStyle w:val="Lijstalinea"/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10.5-163.7nmol/L</w:t>
            </w:r>
          </w:p>
        </w:tc>
      </w:tr>
      <w:tr w:rsidR="00555864" w14:paraId="4A3C73BA" w14:textId="77777777" w:rsidTr="00960FC0">
        <w:trPr>
          <w:trHeight w:val="639"/>
        </w:trPr>
        <w:tc>
          <w:tcPr>
            <w:tcW w:w="3298" w:type="dxa"/>
            <w:vAlign w:val="center"/>
          </w:tcPr>
          <w:p w14:paraId="0CFD9853" w14:textId="370D6BC1" w:rsidR="00555864" w:rsidRPr="004A062B" w:rsidRDefault="00555864" w:rsidP="00960FC0">
            <w:pPr>
              <w:pStyle w:val="Lijstalinea"/>
              <w:ind w:left="0"/>
              <w:jc w:val="center"/>
              <w:rPr>
                <w:lang w:val="en-US"/>
              </w:rPr>
            </w:pPr>
            <w:r w:rsidRPr="004A062B">
              <w:rPr>
                <w:lang w:val="en-US"/>
              </w:rPr>
              <w:t>Sex-hormone binding globulin</w:t>
            </w:r>
            <w:r>
              <w:rPr>
                <w:lang w:val="en-US"/>
              </w:rPr>
              <w:t xml:space="preserve"> &gt;50y</w:t>
            </w:r>
          </w:p>
        </w:tc>
        <w:tc>
          <w:tcPr>
            <w:tcW w:w="3244" w:type="dxa"/>
            <w:vAlign w:val="center"/>
          </w:tcPr>
          <w:p w14:paraId="77C96FEE" w14:textId="648A312C" w:rsidR="00555864" w:rsidRDefault="00F87D43" w:rsidP="00960FC0">
            <w:pPr>
              <w:pStyle w:val="Lijstalinea"/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/</w:t>
            </w:r>
          </w:p>
        </w:tc>
        <w:tc>
          <w:tcPr>
            <w:tcW w:w="3244" w:type="dxa"/>
            <w:vAlign w:val="center"/>
          </w:tcPr>
          <w:p w14:paraId="05D7FE1E" w14:textId="61C887E8" w:rsidR="00555864" w:rsidRDefault="00F87D43" w:rsidP="00960FC0">
            <w:pPr>
              <w:pStyle w:val="Lijstalinea"/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27.1-128.0nmol/L</w:t>
            </w:r>
          </w:p>
        </w:tc>
      </w:tr>
      <w:tr w:rsidR="00555864" w14:paraId="662D4005" w14:textId="77777777" w:rsidTr="00960FC0">
        <w:trPr>
          <w:trHeight w:val="328"/>
        </w:trPr>
        <w:tc>
          <w:tcPr>
            <w:tcW w:w="3298" w:type="dxa"/>
            <w:vAlign w:val="center"/>
          </w:tcPr>
          <w:p w14:paraId="50A741F4" w14:textId="6420FCBB" w:rsidR="00555864" w:rsidRPr="004A062B" w:rsidRDefault="00555864" w:rsidP="00960FC0">
            <w:pPr>
              <w:pStyle w:val="Lijstalinea"/>
              <w:ind w:left="0"/>
              <w:jc w:val="center"/>
              <w:rPr>
                <w:lang w:val="en-US"/>
              </w:rPr>
            </w:pPr>
            <w:r w:rsidRPr="004A062B">
              <w:rPr>
                <w:lang w:val="en-US"/>
              </w:rPr>
              <w:t>Hematocrit</w:t>
            </w:r>
          </w:p>
        </w:tc>
        <w:tc>
          <w:tcPr>
            <w:tcW w:w="3244" w:type="dxa"/>
            <w:vAlign w:val="center"/>
          </w:tcPr>
          <w:p w14:paraId="3B9A1FC2" w14:textId="3D9E707A" w:rsidR="00555864" w:rsidRDefault="005363D0" w:rsidP="00960FC0">
            <w:pPr>
              <w:pStyle w:val="Lijstalinea"/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39.9-51.0%</w:t>
            </w:r>
          </w:p>
        </w:tc>
        <w:tc>
          <w:tcPr>
            <w:tcW w:w="3244" w:type="dxa"/>
            <w:vAlign w:val="center"/>
          </w:tcPr>
          <w:p w14:paraId="22C12175" w14:textId="1A574318" w:rsidR="00555864" w:rsidRDefault="005363D0" w:rsidP="00960FC0">
            <w:pPr>
              <w:pStyle w:val="Lijstalinea"/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35.4-46.1%</w:t>
            </w:r>
          </w:p>
        </w:tc>
      </w:tr>
      <w:tr w:rsidR="00555864" w14:paraId="511EC52C" w14:textId="77777777" w:rsidTr="00960FC0">
        <w:trPr>
          <w:trHeight w:val="639"/>
        </w:trPr>
        <w:tc>
          <w:tcPr>
            <w:tcW w:w="3298" w:type="dxa"/>
            <w:vAlign w:val="center"/>
          </w:tcPr>
          <w:p w14:paraId="70FDFAB2" w14:textId="719C4D76" w:rsidR="00555864" w:rsidRPr="004A062B" w:rsidRDefault="00555864" w:rsidP="00960FC0">
            <w:pPr>
              <w:pStyle w:val="Lijstalinea"/>
              <w:ind w:left="0"/>
              <w:jc w:val="center"/>
              <w:rPr>
                <w:lang w:val="en-US"/>
              </w:rPr>
            </w:pPr>
            <w:r w:rsidRPr="004A062B">
              <w:rPr>
                <w:lang w:val="en-US"/>
              </w:rPr>
              <w:t>High-density lipoprotein cholesterol</w:t>
            </w:r>
            <w:r w:rsidR="005363D0">
              <w:rPr>
                <w:lang w:val="en-US"/>
              </w:rPr>
              <w:t xml:space="preserve"> percentage</w:t>
            </w:r>
          </w:p>
        </w:tc>
        <w:tc>
          <w:tcPr>
            <w:tcW w:w="3244" w:type="dxa"/>
            <w:vAlign w:val="center"/>
          </w:tcPr>
          <w:p w14:paraId="5A877AAB" w14:textId="3EC789D6" w:rsidR="00555864" w:rsidRDefault="005363D0" w:rsidP="00960FC0">
            <w:pPr>
              <w:pStyle w:val="Lijstalinea"/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15-30%</w:t>
            </w:r>
          </w:p>
        </w:tc>
        <w:tc>
          <w:tcPr>
            <w:tcW w:w="3244" w:type="dxa"/>
            <w:vAlign w:val="center"/>
          </w:tcPr>
          <w:p w14:paraId="1A79E3A4" w14:textId="3A58E3F8" w:rsidR="00555864" w:rsidRDefault="005363D0" w:rsidP="00960FC0">
            <w:pPr>
              <w:pStyle w:val="Lijstalinea"/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20-35%</w:t>
            </w:r>
          </w:p>
        </w:tc>
      </w:tr>
      <w:tr w:rsidR="00555864" w14:paraId="4755062F" w14:textId="77777777" w:rsidTr="00960FC0">
        <w:trPr>
          <w:trHeight w:val="328"/>
        </w:trPr>
        <w:tc>
          <w:tcPr>
            <w:tcW w:w="3298" w:type="dxa"/>
            <w:vAlign w:val="center"/>
          </w:tcPr>
          <w:p w14:paraId="247F0479" w14:textId="27D31A4D" w:rsidR="00555864" w:rsidRPr="004A062B" w:rsidRDefault="00555864" w:rsidP="00960FC0">
            <w:pPr>
              <w:pStyle w:val="Lijstalinea"/>
              <w:ind w:left="0"/>
              <w:jc w:val="center"/>
              <w:rPr>
                <w:lang w:val="en-US"/>
              </w:rPr>
            </w:pPr>
            <w:r w:rsidRPr="004A062B">
              <w:rPr>
                <w:lang w:val="en-US"/>
              </w:rPr>
              <w:t>Thrombocytes</w:t>
            </w:r>
          </w:p>
        </w:tc>
        <w:tc>
          <w:tcPr>
            <w:tcW w:w="3244" w:type="dxa"/>
            <w:vAlign w:val="center"/>
          </w:tcPr>
          <w:p w14:paraId="37DB677B" w14:textId="5355BDD5" w:rsidR="00555864" w:rsidRDefault="002C08B3" w:rsidP="00960FC0">
            <w:pPr>
              <w:pStyle w:val="Lijstalinea"/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143-325 10E3/mcL</w:t>
            </w:r>
          </w:p>
        </w:tc>
        <w:tc>
          <w:tcPr>
            <w:tcW w:w="3244" w:type="dxa"/>
            <w:vAlign w:val="center"/>
          </w:tcPr>
          <w:p w14:paraId="771DA522" w14:textId="6BB130B7" w:rsidR="00555864" w:rsidRDefault="002C08B3" w:rsidP="00960FC0">
            <w:pPr>
              <w:pStyle w:val="Lijstalinea"/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175-343 10E3/mcL</w:t>
            </w:r>
          </w:p>
        </w:tc>
      </w:tr>
    </w:tbl>
    <w:p w14:paraId="32C77D2A" w14:textId="10179643" w:rsidR="00137EBA" w:rsidRDefault="00137EBA" w:rsidP="00137EBA">
      <w:pPr>
        <w:pStyle w:val="Lijstalinea"/>
        <w:rPr>
          <w:lang w:val="en-US"/>
        </w:rPr>
      </w:pPr>
    </w:p>
    <w:p w14:paraId="26A497E4" w14:textId="77777777" w:rsidR="00960FC0" w:rsidRPr="00DB037E" w:rsidRDefault="00960FC0" w:rsidP="00960FC0">
      <w:pPr>
        <w:pStyle w:val="Lijstalinea"/>
        <w:rPr>
          <w:lang w:val="en-US"/>
        </w:rPr>
      </w:pPr>
      <w:r w:rsidRPr="000656BE">
        <w:rPr>
          <w:b/>
          <w:bCs/>
          <w:u w:val="single"/>
          <w:lang w:val="en-US"/>
        </w:rPr>
        <w:t>Reference:</w:t>
      </w:r>
    </w:p>
    <w:p w14:paraId="43FF1993" w14:textId="398E2C2E" w:rsidR="00137EBA" w:rsidRPr="00960FC0" w:rsidRDefault="00960FC0">
      <w:r>
        <w:t xml:space="preserve">1. Laboratoriumgids Klinische Biologie UZGent (2025). Consulted 2025-08-14 via URL: </w:t>
      </w:r>
      <w:r w:rsidRPr="00DB7512">
        <w:t>https://labgids.uzgent.be/</w:t>
      </w:r>
      <w:r w:rsidR="00137EBA" w:rsidRPr="00960FC0">
        <w:br w:type="page"/>
      </w:r>
    </w:p>
    <w:p w14:paraId="70311B66" w14:textId="63AB76F2" w:rsidR="00B46BDB" w:rsidRDefault="00B46BDB" w:rsidP="00137EBA">
      <w:pPr>
        <w:rPr>
          <w:lang w:val="en-US"/>
        </w:rPr>
      </w:pPr>
      <w:r w:rsidRPr="00DB7512">
        <w:rPr>
          <w:lang w:val="en-US"/>
        </w:rPr>
        <w:lastRenderedPageBreak/>
        <w:t xml:space="preserve">ESM </w:t>
      </w:r>
      <w:r w:rsidR="00FD6A4E">
        <w:rPr>
          <w:lang w:val="en-US"/>
        </w:rPr>
        <w:t>B</w:t>
      </w:r>
      <w:r w:rsidRPr="00DB7512">
        <w:rPr>
          <w:lang w:val="en-US"/>
        </w:rPr>
        <w:t>: biochemical analysis method</w:t>
      </w:r>
    </w:p>
    <w:p w14:paraId="0F18DFF0" w14:textId="71D8444C" w:rsidR="00E3684C" w:rsidRPr="00E3684C" w:rsidRDefault="00B46BDB" w:rsidP="00965D01">
      <w:pPr>
        <w:pStyle w:val="Lijstalinea"/>
        <w:numPr>
          <w:ilvl w:val="0"/>
          <w:numId w:val="7"/>
        </w:numPr>
        <w:rPr>
          <w:lang w:val="en-US"/>
        </w:rPr>
      </w:pPr>
      <w:r w:rsidRPr="00D45BCD">
        <w:rPr>
          <w:b/>
          <w:bCs/>
          <w:lang w:val="en-US"/>
        </w:rPr>
        <w:t>Serum creatinine</w:t>
      </w:r>
      <w:r w:rsidR="00BC0901">
        <w:rPr>
          <w:b/>
          <w:bCs/>
          <w:lang w:val="en-US"/>
        </w:rPr>
        <w:t xml:space="preserve"> (Screat)</w:t>
      </w:r>
      <w:r w:rsidR="00E3684C" w:rsidRPr="00E3684C">
        <w:rPr>
          <w:b/>
          <w:bCs/>
          <w:lang w:val="en-US"/>
        </w:rPr>
        <w:t>:</w:t>
      </w:r>
      <w:r w:rsidR="00E3684C">
        <w:rPr>
          <w:lang w:val="en-US"/>
        </w:rPr>
        <w:br/>
      </w:r>
      <w:r w:rsidR="00E3684C" w:rsidRPr="00E3684C">
        <w:rPr>
          <w:lang w:val="en-US"/>
        </w:rPr>
        <w:t>300mcL of serum sample</w:t>
      </w:r>
      <w:r w:rsidR="00E3684C" w:rsidRPr="00E3684C">
        <w:rPr>
          <w:lang w:val="en-US"/>
        </w:rPr>
        <w:br/>
        <w:t>Spectrophotometric (Jaffe) method</w:t>
      </w:r>
      <w:r w:rsidR="00E3684C" w:rsidRPr="00E3684C">
        <w:rPr>
          <w:lang w:val="en-US"/>
        </w:rPr>
        <w:br/>
        <w:t xml:space="preserve">Device: </w:t>
      </w:r>
      <w:r w:rsidR="00DB037E" w:rsidRPr="00DB037E">
        <w:rPr>
          <w:lang w:val="en-US"/>
        </w:rPr>
        <w:t xml:space="preserve">Roche Modular E170, </w:t>
      </w:r>
      <w:r w:rsidR="00E3684C" w:rsidRPr="00E3684C">
        <w:rPr>
          <w:lang w:val="en-US"/>
        </w:rPr>
        <w:t>CobasPRO® Roche</w:t>
      </w:r>
    </w:p>
    <w:p w14:paraId="65D24B82" w14:textId="5E786EB1" w:rsidR="00896010" w:rsidRPr="00965D01" w:rsidRDefault="00E3684C" w:rsidP="00965D01">
      <w:pPr>
        <w:pStyle w:val="Lijstalinea"/>
        <w:numPr>
          <w:ilvl w:val="0"/>
          <w:numId w:val="7"/>
        </w:numPr>
        <w:rPr>
          <w:b/>
          <w:bCs/>
          <w:lang w:val="en-US"/>
        </w:rPr>
      </w:pPr>
      <w:r w:rsidRPr="00410687">
        <w:rPr>
          <w:b/>
          <w:bCs/>
          <w:lang w:val="en-US"/>
        </w:rPr>
        <w:t>Sex</w:t>
      </w:r>
      <w:r w:rsidR="000656BE" w:rsidRPr="00410687">
        <w:rPr>
          <w:b/>
          <w:bCs/>
          <w:lang w:val="en-US"/>
        </w:rPr>
        <w:t>-hormone binding globulin</w:t>
      </w:r>
      <w:r w:rsidR="00C829E2" w:rsidRPr="00410687">
        <w:rPr>
          <w:b/>
          <w:bCs/>
          <w:lang w:val="en-US"/>
        </w:rPr>
        <w:t xml:space="preserve"> (SHBG):</w:t>
      </w:r>
      <w:r w:rsidR="00965D01">
        <w:rPr>
          <w:b/>
          <w:bCs/>
          <w:lang w:val="en-US"/>
        </w:rPr>
        <w:br/>
      </w:r>
      <w:r w:rsidR="00C829E2" w:rsidRPr="00965D01">
        <w:rPr>
          <w:lang w:val="en-US"/>
        </w:rPr>
        <w:t xml:space="preserve">500mcL </w:t>
      </w:r>
      <w:r w:rsidR="00896010" w:rsidRPr="00965D01">
        <w:rPr>
          <w:lang w:val="en-US"/>
        </w:rPr>
        <w:t>of serum sample</w:t>
      </w:r>
      <w:r w:rsidR="00965D01">
        <w:rPr>
          <w:lang w:val="en-US"/>
        </w:rPr>
        <w:br/>
      </w:r>
      <w:r w:rsidR="00896010" w:rsidRPr="00965D01">
        <w:rPr>
          <w:lang w:val="en-US"/>
        </w:rPr>
        <w:t>Electrochemiluminescence immunoassay</w:t>
      </w:r>
      <w:r w:rsidR="00410687" w:rsidRPr="00965D01">
        <w:rPr>
          <w:lang w:val="en-US"/>
        </w:rPr>
        <w:br/>
        <w:t xml:space="preserve">Device: </w:t>
      </w:r>
      <w:r w:rsidR="00DB037E" w:rsidRPr="00DB037E">
        <w:rPr>
          <w:lang w:val="en-US"/>
        </w:rPr>
        <w:t xml:space="preserve">Roche Modular E170, </w:t>
      </w:r>
      <w:r w:rsidR="00410687" w:rsidRPr="00965D01">
        <w:rPr>
          <w:lang w:val="en-US"/>
        </w:rPr>
        <w:t>Roche CobasPRO®</w:t>
      </w:r>
    </w:p>
    <w:p w14:paraId="3D207080" w14:textId="40BF752E" w:rsidR="00E3684C" w:rsidRPr="00E3684C" w:rsidRDefault="009C0D40" w:rsidP="00965D01">
      <w:pPr>
        <w:pStyle w:val="Lijstalinea"/>
        <w:numPr>
          <w:ilvl w:val="0"/>
          <w:numId w:val="7"/>
        </w:numPr>
        <w:rPr>
          <w:lang w:val="en-US"/>
        </w:rPr>
      </w:pPr>
      <w:r w:rsidRPr="00E3684C">
        <w:rPr>
          <w:b/>
          <w:bCs/>
          <w:lang w:val="en-US"/>
        </w:rPr>
        <w:t>Hematocrit</w:t>
      </w:r>
      <w:r w:rsidR="00BC0901">
        <w:rPr>
          <w:b/>
          <w:bCs/>
          <w:lang w:val="en-US"/>
        </w:rPr>
        <w:t xml:space="preserve"> (Hct)</w:t>
      </w:r>
      <w:r w:rsidR="00E3684C" w:rsidRPr="00E3684C">
        <w:rPr>
          <w:b/>
          <w:bCs/>
          <w:lang w:val="en-US"/>
        </w:rPr>
        <w:t>:</w:t>
      </w:r>
      <w:r w:rsidR="00E3684C">
        <w:rPr>
          <w:lang w:val="en-US"/>
        </w:rPr>
        <w:br/>
      </w:r>
      <w:r w:rsidR="00E3684C" w:rsidRPr="00E3684C">
        <w:rPr>
          <w:lang w:val="en-US"/>
        </w:rPr>
        <w:t>0.5mL blood in ethylenediaminetetraacetic acid (EDTA) vial</w:t>
      </w:r>
      <w:r w:rsidR="00E3684C" w:rsidRPr="00E3684C">
        <w:rPr>
          <w:lang w:val="en-US"/>
        </w:rPr>
        <w:br/>
        <w:t>Haematology, automated analysis</w:t>
      </w:r>
      <w:r w:rsidR="00E3684C" w:rsidRPr="00E3684C">
        <w:rPr>
          <w:lang w:val="en-US"/>
        </w:rPr>
        <w:br/>
      </w:r>
      <w:r w:rsidR="00410687">
        <w:rPr>
          <w:lang w:val="en-US"/>
        </w:rPr>
        <w:t xml:space="preserve">Device: </w:t>
      </w:r>
      <w:r w:rsidR="00091730" w:rsidRPr="00091730">
        <w:rPr>
          <w:lang w:val="en-US"/>
        </w:rPr>
        <w:t xml:space="preserve">Sysmex XE-5000, </w:t>
      </w:r>
      <w:r w:rsidR="00E3684C" w:rsidRPr="00E3684C">
        <w:rPr>
          <w:lang w:val="en-US"/>
        </w:rPr>
        <w:t>Sysmex XN-1000</w:t>
      </w:r>
    </w:p>
    <w:p w14:paraId="69718513" w14:textId="540DBDEB" w:rsidR="00BC0901" w:rsidRPr="00965D01" w:rsidRDefault="009C0D40" w:rsidP="00965D01">
      <w:pPr>
        <w:pStyle w:val="Lijstalinea"/>
        <w:numPr>
          <w:ilvl w:val="0"/>
          <w:numId w:val="7"/>
        </w:numPr>
        <w:rPr>
          <w:b/>
          <w:bCs/>
          <w:lang w:val="en-US"/>
        </w:rPr>
      </w:pPr>
      <w:r w:rsidRPr="00BC0901">
        <w:rPr>
          <w:b/>
          <w:bCs/>
          <w:lang w:val="en-US"/>
        </w:rPr>
        <w:t>High-density lipoprotein cholesterol</w:t>
      </w:r>
      <w:r w:rsidR="00BC0901">
        <w:rPr>
          <w:b/>
          <w:bCs/>
          <w:lang w:val="en-US"/>
        </w:rPr>
        <w:t xml:space="preserve"> (HDL)</w:t>
      </w:r>
      <w:r w:rsidR="00965D01">
        <w:rPr>
          <w:b/>
          <w:bCs/>
          <w:lang w:val="en-US"/>
        </w:rPr>
        <w:br/>
      </w:r>
      <w:r w:rsidR="00DF7CC6" w:rsidRPr="00965D01">
        <w:rPr>
          <w:lang w:val="en-US"/>
        </w:rPr>
        <w:t>300mcl of serum sample</w:t>
      </w:r>
      <w:r w:rsidR="00965D01">
        <w:rPr>
          <w:lang w:val="en-US"/>
        </w:rPr>
        <w:br/>
      </w:r>
      <w:r w:rsidR="00BC0901" w:rsidRPr="00965D01">
        <w:rPr>
          <w:lang w:val="en-US"/>
        </w:rPr>
        <w:t>Enzymatic spectrophotometry</w:t>
      </w:r>
      <w:r w:rsidR="00965D01">
        <w:rPr>
          <w:lang w:val="en-US"/>
        </w:rPr>
        <w:br/>
      </w:r>
      <w:r w:rsidR="00BC0901" w:rsidRPr="00965D01">
        <w:rPr>
          <w:lang w:val="en-US"/>
        </w:rPr>
        <w:t>Device: Abbott Architect c</w:t>
      </w:r>
    </w:p>
    <w:p w14:paraId="5D4C72EB" w14:textId="7A9EFF92" w:rsidR="00BC0901" w:rsidRPr="00965D01" w:rsidRDefault="009C0D40" w:rsidP="00965D01">
      <w:pPr>
        <w:pStyle w:val="Lijstalinea"/>
        <w:numPr>
          <w:ilvl w:val="0"/>
          <w:numId w:val="7"/>
        </w:numPr>
        <w:rPr>
          <w:b/>
          <w:bCs/>
          <w:lang w:val="en-US"/>
        </w:rPr>
      </w:pPr>
      <w:r w:rsidRPr="00D45BCD">
        <w:rPr>
          <w:b/>
          <w:bCs/>
          <w:lang w:val="en-US"/>
        </w:rPr>
        <w:t>Thrombocytes</w:t>
      </w:r>
      <w:r w:rsidR="00BC0901" w:rsidRPr="00D45BCD">
        <w:rPr>
          <w:b/>
          <w:bCs/>
          <w:lang w:val="en-US"/>
        </w:rPr>
        <w:t xml:space="preserve"> (Tc):</w:t>
      </w:r>
      <w:r w:rsidR="00965D01">
        <w:rPr>
          <w:b/>
          <w:bCs/>
          <w:lang w:val="en-US"/>
        </w:rPr>
        <w:br/>
      </w:r>
      <w:r w:rsidR="00D45BCD" w:rsidRPr="00965D01">
        <w:rPr>
          <w:lang w:val="en-US"/>
        </w:rPr>
        <w:t>0.5mL blood in ethylenediaminetetraacetic acid (EDTA) vial</w:t>
      </w:r>
      <w:r w:rsidR="00D45BCD" w:rsidRPr="00965D01">
        <w:rPr>
          <w:lang w:val="en-US"/>
        </w:rPr>
        <w:br/>
        <w:t>Haematology, automated analysis</w:t>
      </w:r>
      <w:r w:rsidR="00D45BCD" w:rsidRPr="00965D01">
        <w:rPr>
          <w:lang w:val="en-US"/>
        </w:rPr>
        <w:br/>
        <w:t xml:space="preserve">Device: </w:t>
      </w:r>
      <w:r w:rsidR="00091730" w:rsidRPr="00091730">
        <w:rPr>
          <w:lang w:val="en-US"/>
        </w:rPr>
        <w:t xml:space="preserve">Sysmex XE-5000, </w:t>
      </w:r>
      <w:r w:rsidR="00D45BCD" w:rsidRPr="00965D01">
        <w:rPr>
          <w:lang w:val="en-US"/>
        </w:rPr>
        <w:t>Sysmex XN-1000</w:t>
      </w:r>
    </w:p>
    <w:p w14:paraId="6F701620" w14:textId="77777777" w:rsidR="00540208" w:rsidRDefault="00965D01" w:rsidP="00965D01">
      <w:pPr>
        <w:pStyle w:val="Lijstalinea"/>
        <w:numPr>
          <w:ilvl w:val="0"/>
          <w:numId w:val="7"/>
        </w:numPr>
        <w:rPr>
          <w:b/>
          <w:bCs/>
          <w:lang w:val="en-US"/>
        </w:rPr>
      </w:pPr>
      <w:r>
        <w:rPr>
          <w:b/>
          <w:bCs/>
          <w:lang w:val="en-US"/>
        </w:rPr>
        <w:t>Total testosterone (TT):</w:t>
      </w:r>
    </w:p>
    <w:p w14:paraId="49FB68AE" w14:textId="77777777" w:rsidR="00540208" w:rsidRDefault="00540208" w:rsidP="00540208">
      <w:pPr>
        <w:pStyle w:val="Lijstalinea"/>
        <w:rPr>
          <w:lang w:val="en-US"/>
        </w:rPr>
      </w:pPr>
      <w:r>
        <w:rPr>
          <w:lang w:val="en-US"/>
        </w:rPr>
        <w:t>500mcl of serum sample</w:t>
      </w:r>
    </w:p>
    <w:p w14:paraId="678E9C98" w14:textId="4F3B50A2" w:rsidR="00540208" w:rsidRPr="00540208" w:rsidRDefault="00540208" w:rsidP="00540208">
      <w:pPr>
        <w:pStyle w:val="Lijstalinea"/>
        <w:rPr>
          <w:lang w:val="en-US"/>
        </w:rPr>
      </w:pPr>
      <w:r w:rsidRPr="00965D01">
        <w:rPr>
          <w:lang w:val="en-US"/>
        </w:rPr>
        <w:t>Electrochemiluminescence immunoassay</w:t>
      </w:r>
    </w:p>
    <w:p w14:paraId="16729B2E" w14:textId="77777777" w:rsidR="00930B81" w:rsidRDefault="00540208" w:rsidP="00540208">
      <w:pPr>
        <w:pStyle w:val="Lijstalinea"/>
      </w:pPr>
      <w:r>
        <w:rPr>
          <w:lang w:val="en-US"/>
        </w:rPr>
        <w:t xml:space="preserve">Device: </w:t>
      </w:r>
      <w:r w:rsidR="00F65E77" w:rsidRPr="004734E5">
        <w:rPr>
          <w:lang w:val="en-US"/>
        </w:rPr>
        <w:t>E170 Modular Analyzer (</w:t>
      </w:r>
      <w:r w:rsidR="00F65E77">
        <w:rPr>
          <w:lang w:val="en-US"/>
        </w:rPr>
        <w:t xml:space="preserve">Roch </w:t>
      </w:r>
      <w:r w:rsidR="00F65E77" w:rsidRPr="004734E5">
        <w:rPr>
          <w:lang w:val="en-US"/>
        </w:rPr>
        <w:t>Gen II)</w:t>
      </w:r>
      <w:r w:rsidR="00F65E77">
        <w:rPr>
          <w:lang w:val="en-US"/>
        </w:rPr>
        <w:t xml:space="preserve">, </w:t>
      </w:r>
      <w:r w:rsidRPr="00540208">
        <w:t>Cobas e801 Roche</w:t>
      </w:r>
    </w:p>
    <w:p w14:paraId="12A28DF6" w14:textId="44C80FE0" w:rsidR="00965D01" w:rsidRDefault="00965D01" w:rsidP="00965D01">
      <w:pPr>
        <w:pStyle w:val="Lijstalinea"/>
        <w:numPr>
          <w:ilvl w:val="0"/>
          <w:numId w:val="7"/>
        </w:numPr>
        <w:rPr>
          <w:b/>
          <w:bCs/>
          <w:lang w:val="en-US"/>
        </w:rPr>
      </w:pPr>
      <w:r>
        <w:rPr>
          <w:b/>
          <w:bCs/>
          <w:lang w:val="en-US"/>
        </w:rPr>
        <w:t>Estradiol (E2):</w:t>
      </w:r>
    </w:p>
    <w:p w14:paraId="1C071E3D" w14:textId="6DDB23DB" w:rsidR="00AA2285" w:rsidRDefault="00AA2285" w:rsidP="00AA2285">
      <w:pPr>
        <w:pStyle w:val="Lijstalinea"/>
        <w:rPr>
          <w:lang w:val="en-US"/>
        </w:rPr>
      </w:pPr>
      <w:r>
        <w:rPr>
          <w:lang w:val="en-US"/>
        </w:rPr>
        <w:t>500mcL of serum sample</w:t>
      </w:r>
    </w:p>
    <w:p w14:paraId="6E501772" w14:textId="1EF4AA65" w:rsidR="00AA2285" w:rsidRDefault="00AA2285" w:rsidP="00AA2285">
      <w:pPr>
        <w:pStyle w:val="Lijstalinea"/>
        <w:rPr>
          <w:lang w:val="en-US"/>
        </w:rPr>
      </w:pPr>
      <w:r w:rsidRPr="00965D01">
        <w:rPr>
          <w:lang w:val="en-US"/>
        </w:rPr>
        <w:t>Electrochemiluminescence immunoassay</w:t>
      </w:r>
    </w:p>
    <w:p w14:paraId="35A01F67" w14:textId="3F704EF5" w:rsidR="00AA0874" w:rsidRDefault="00AA2285" w:rsidP="00AA0874">
      <w:pPr>
        <w:pStyle w:val="Lijstalinea"/>
        <w:rPr>
          <w:lang w:val="en-US"/>
        </w:rPr>
      </w:pPr>
      <w:r>
        <w:rPr>
          <w:lang w:val="en-US"/>
        </w:rPr>
        <w:t xml:space="preserve">Device: </w:t>
      </w:r>
      <w:r w:rsidR="00540208" w:rsidRPr="00965D01">
        <w:rPr>
          <w:lang w:val="en-US"/>
        </w:rPr>
        <w:t xml:space="preserve">Roche </w:t>
      </w:r>
      <w:r w:rsidR="00F65E77" w:rsidRPr="004734E5">
        <w:rPr>
          <w:lang w:val="en-US"/>
        </w:rPr>
        <w:t xml:space="preserve">E170 Modular Analyzer Roche; Gen III </w:t>
      </w:r>
      <w:r w:rsidR="00F65E77">
        <w:rPr>
          <w:lang w:val="en-US"/>
        </w:rPr>
        <w:t xml:space="preserve">, </w:t>
      </w:r>
      <w:r w:rsidR="00540208" w:rsidRPr="00965D01">
        <w:rPr>
          <w:lang w:val="en-US"/>
        </w:rPr>
        <w:t>CobasPRO®</w:t>
      </w:r>
    </w:p>
    <w:p w14:paraId="24556F6D" w14:textId="6657CF64" w:rsidR="00D3375E" w:rsidRPr="00B1203C" w:rsidRDefault="00D3375E" w:rsidP="00D3375E">
      <w:pPr>
        <w:rPr>
          <w:lang w:val="en-US"/>
        </w:rPr>
      </w:pPr>
      <w:r>
        <w:rPr>
          <w:lang w:val="en-US"/>
        </w:rPr>
        <w:t xml:space="preserve">Corrective factors </w:t>
      </w:r>
      <w:r w:rsidR="005C02D0">
        <w:rPr>
          <w:lang w:val="en-US"/>
        </w:rPr>
        <w:t xml:space="preserve">from </w:t>
      </w:r>
      <w:r w:rsidR="005C02D0" w:rsidRPr="005C02D0">
        <w:rPr>
          <w:lang w:val="en-US"/>
        </w:rPr>
        <w:t>Roche Diagnostics, Mannheim, Germany</w:t>
      </w:r>
      <w:r w:rsidR="005C02D0">
        <w:rPr>
          <w:lang w:val="en-US"/>
        </w:rPr>
        <w:t xml:space="preserve"> were used to harmonize inter assay differences </w:t>
      </w:r>
      <w:r w:rsidR="00B1203C">
        <w:rPr>
          <w:lang w:val="en-US"/>
        </w:rPr>
        <w:t>for</w:t>
      </w:r>
      <w:r w:rsidR="00F87C6B">
        <w:rPr>
          <w:lang w:val="en-US"/>
        </w:rPr>
        <w:t xml:space="preserve"> sex hormone </w:t>
      </w:r>
      <w:r w:rsidR="00B1203C">
        <w:rPr>
          <w:lang w:val="en-US"/>
        </w:rPr>
        <w:t>measurements.</w:t>
      </w:r>
    </w:p>
    <w:p w14:paraId="42BBB464" w14:textId="77777777" w:rsidR="00091730" w:rsidRDefault="00091730" w:rsidP="00DB037E">
      <w:pPr>
        <w:pStyle w:val="Lijstalinea"/>
        <w:rPr>
          <w:lang w:val="en-US"/>
        </w:rPr>
      </w:pPr>
    </w:p>
    <w:p w14:paraId="2C27D9D4" w14:textId="274FFD78" w:rsidR="00B46BDB" w:rsidRPr="00C202FF" w:rsidRDefault="00B46BDB" w:rsidP="00DB037E">
      <w:pPr>
        <w:pStyle w:val="Lijstalinea"/>
      </w:pPr>
      <w:r w:rsidRPr="00C202FF">
        <w:rPr>
          <w:b/>
          <w:bCs/>
          <w:u w:val="single"/>
        </w:rPr>
        <w:t>Reference:</w:t>
      </w:r>
    </w:p>
    <w:p w14:paraId="0FDC6E8A" w14:textId="77777777" w:rsidR="00B46BDB" w:rsidRPr="00844F0B" w:rsidRDefault="00B46BDB" w:rsidP="00B46BDB">
      <w:r>
        <w:t xml:space="preserve">1. Laboratoriumgids Klinische Biologie UZGent (2025). Consulted 2025-08-14 via URL: </w:t>
      </w:r>
      <w:r w:rsidRPr="00DB7512">
        <w:t>https://labgids.uzgent.be/</w:t>
      </w:r>
    </w:p>
    <w:p w14:paraId="4F9AA7B2" w14:textId="77777777" w:rsidR="00E3684C" w:rsidRDefault="00E3684C" w:rsidP="00E3684C">
      <w:pPr>
        <w:rPr>
          <w:lang w:val="en-US"/>
        </w:rPr>
      </w:pPr>
    </w:p>
    <w:p w14:paraId="1EEC89EC" w14:textId="77777777" w:rsidR="00E3684C" w:rsidRDefault="00E3684C" w:rsidP="00E3684C">
      <w:pPr>
        <w:rPr>
          <w:lang w:val="en-US"/>
        </w:rPr>
      </w:pPr>
    </w:p>
    <w:p w14:paraId="3F80152F" w14:textId="77777777" w:rsidR="00E3684C" w:rsidRDefault="00E3684C" w:rsidP="00E3684C">
      <w:pPr>
        <w:rPr>
          <w:lang w:val="en-US"/>
        </w:rPr>
      </w:pPr>
    </w:p>
    <w:p w14:paraId="7B0E36C8" w14:textId="77777777" w:rsidR="00E3684C" w:rsidRPr="00E3684C" w:rsidRDefault="00E3684C" w:rsidP="00E3684C">
      <w:pPr>
        <w:rPr>
          <w:lang w:val="en-US"/>
        </w:rPr>
      </w:pPr>
    </w:p>
    <w:sectPr w:rsidR="00E3684C" w:rsidRPr="00E3684C" w:rsidSect="00B46BDB">
      <w:pgSz w:w="12240" w:h="15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E035E5"/>
    <w:multiLevelType w:val="hybridMultilevel"/>
    <w:tmpl w:val="87241642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0259B3"/>
    <w:multiLevelType w:val="hybridMultilevel"/>
    <w:tmpl w:val="D65E70EA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3E0504"/>
    <w:multiLevelType w:val="hybridMultilevel"/>
    <w:tmpl w:val="31001F8E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0D7D55"/>
    <w:multiLevelType w:val="hybridMultilevel"/>
    <w:tmpl w:val="3FF4D116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F84591"/>
    <w:multiLevelType w:val="hybridMultilevel"/>
    <w:tmpl w:val="1B84199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130019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9341D3"/>
    <w:multiLevelType w:val="hybridMultilevel"/>
    <w:tmpl w:val="3FF4D11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204765"/>
    <w:multiLevelType w:val="hybridMultilevel"/>
    <w:tmpl w:val="49B079CC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5872976">
    <w:abstractNumId w:val="6"/>
  </w:num>
  <w:num w:numId="2" w16cid:durableId="932782792">
    <w:abstractNumId w:val="0"/>
  </w:num>
  <w:num w:numId="3" w16cid:durableId="1877963201">
    <w:abstractNumId w:val="1"/>
  </w:num>
  <w:num w:numId="4" w16cid:durableId="1237982001">
    <w:abstractNumId w:val="3"/>
  </w:num>
  <w:num w:numId="5" w16cid:durableId="123937482">
    <w:abstractNumId w:val="5"/>
  </w:num>
  <w:num w:numId="6" w16cid:durableId="419103705">
    <w:abstractNumId w:val="2"/>
  </w:num>
  <w:num w:numId="7" w16cid:durableId="43294128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BDB"/>
    <w:rsid w:val="000656BE"/>
    <w:rsid w:val="00091730"/>
    <w:rsid w:val="00137EBA"/>
    <w:rsid w:val="002B5A40"/>
    <w:rsid w:val="002C08B3"/>
    <w:rsid w:val="002C5555"/>
    <w:rsid w:val="002C7364"/>
    <w:rsid w:val="003207FD"/>
    <w:rsid w:val="00392A51"/>
    <w:rsid w:val="003B09C1"/>
    <w:rsid w:val="0041000E"/>
    <w:rsid w:val="00410687"/>
    <w:rsid w:val="004734E5"/>
    <w:rsid w:val="004A062B"/>
    <w:rsid w:val="005363D0"/>
    <w:rsid w:val="00540208"/>
    <w:rsid w:val="00555864"/>
    <w:rsid w:val="005C02D0"/>
    <w:rsid w:val="00896010"/>
    <w:rsid w:val="008B0287"/>
    <w:rsid w:val="00930B81"/>
    <w:rsid w:val="00960FC0"/>
    <w:rsid w:val="00965D01"/>
    <w:rsid w:val="009C0D40"/>
    <w:rsid w:val="00A26B92"/>
    <w:rsid w:val="00AA0874"/>
    <w:rsid w:val="00AA2285"/>
    <w:rsid w:val="00AA6A5B"/>
    <w:rsid w:val="00AC24B0"/>
    <w:rsid w:val="00AF5005"/>
    <w:rsid w:val="00B1203C"/>
    <w:rsid w:val="00B46BDB"/>
    <w:rsid w:val="00BC0901"/>
    <w:rsid w:val="00C202FF"/>
    <w:rsid w:val="00C829E2"/>
    <w:rsid w:val="00D3375E"/>
    <w:rsid w:val="00D45BCD"/>
    <w:rsid w:val="00DB037E"/>
    <w:rsid w:val="00DF7CC6"/>
    <w:rsid w:val="00E3684C"/>
    <w:rsid w:val="00F5359C"/>
    <w:rsid w:val="00F65E77"/>
    <w:rsid w:val="00F87C6B"/>
    <w:rsid w:val="00F87D43"/>
    <w:rsid w:val="00FC0E2D"/>
    <w:rsid w:val="00FD6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5ADD11"/>
  <w15:chartTrackingRefBased/>
  <w15:docId w15:val="{C4D296A3-18D8-4263-97F8-B486238B5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B46BDB"/>
  </w:style>
  <w:style w:type="paragraph" w:styleId="Kop1">
    <w:name w:val="heading 1"/>
    <w:basedOn w:val="Standaard"/>
    <w:next w:val="Standaard"/>
    <w:link w:val="Kop1Char"/>
    <w:uiPriority w:val="9"/>
    <w:qFormat/>
    <w:rsid w:val="00B46B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B46B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B46BD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B46B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B46B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B46B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B46B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B46B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B46B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B46B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rsid w:val="00B46B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B46B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B46BDB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B46BDB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B46BDB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B46BDB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B46BDB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B46BD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B46B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B46B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B46B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B46B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B46B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B46BDB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B46BDB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B46BDB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B46B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B46BDB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B46BDB"/>
    <w:rPr>
      <w:b/>
      <w:bCs/>
      <w:smallCaps/>
      <w:color w:val="0F4761" w:themeColor="accent1" w:themeShade="BF"/>
      <w:spacing w:val="5"/>
    </w:rPr>
  </w:style>
  <w:style w:type="paragraph" w:styleId="HTML-voorafopgemaakt">
    <w:name w:val="HTML Preformatted"/>
    <w:basedOn w:val="Standaard"/>
    <w:link w:val="HTML-voorafopgemaaktChar"/>
    <w:uiPriority w:val="99"/>
    <w:semiHidden/>
    <w:unhideWhenUsed/>
    <w:rsid w:val="00540208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-voorafopgemaaktChar">
    <w:name w:val="HTML - vooraf opgemaakt Char"/>
    <w:basedOn w:val="Standaardalinea-lettertype"/>
    <w:link w:val="HTML-voorafopgemaakt"/>
    <w:uiPriority w:val="99"/>
    <w:semiHidden/>
    <w:rsid w:val="00540208"/>
    <w:rPr>
      <w:rFonts w:ascii="Consolas" w:hAnsi="Consolas"/>
      <w:sz w:val="20"/>
      <w:szCs w:val="20"/>
    </w:rPr>
  </w:style>
  <w:style w:type="table" w:styleId="Tabelraster">
    <w:name w:val="Table Grid"/>
    <w:basedOn w:val="Standaardtabel"/>
    <w:uiPriority w:val="39"/>
    <w:rsid w:val="00A26B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702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7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7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3</Pages>
  <Words>487</Words>
  <Characters>2684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Vervalcke Jeroen</dc:creator>
  <cp:keywords/>
  <dc:description/>
  <cp:lastModifiedBy>Vervalcke Jeroen</cp:lastModifiedBy>
  <cp:revision>4</cp:revision>
  <dcterms:created xsi:type="dcterms:W3CDTF">2025-12-29T10:01:00Z</dcterms:created>
  <dcterms:modified xsi:type="dcterms:W3CDTF">2025-12-29T12:43:00Z</dcterms:modified>
</cp:coreProperties>
</file>