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5D4814" w14:textId="0AD8D76E" w:rsidR="00230AC1" w:rsidRPr="003A3558" w:rsidRDefault="00230AC1" w:rsidP="00230AC1">
      <w:pPr>
        <w:pStyle w:val="Caption"/>
        <w:keepNext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</w: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Table_3. \* ARABIC </w:instrTex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Pr="003A3558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1</w: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 Plasmids used in this study</w:t>
      </w:r>
    </w:p>
    <w:p w14:paraId="76A30C91" w14:textId="77777777" w:rsidR="00230AC1" w:rsidRPr="00FA7D1F" w:rsidRDefault="00230AC1" w:rsidP="00230AC1"/>
    <w:tbl>
      <w:tblPr>
        <w:tblStyle w:val="LightShading1"/>
        <w:tblW w:w="9248" w:type="dxa"/>
        <w:tblLayout w:type="fixed"/>
        <w:tblLook w:val="04A0" w:firstRow="1" w:lastRow="0" w:firstColumn="1" w:lastColumn="0" w:noHBand="0" w:noVBand="1"/>
      </w:tblPr>
      <w:tblGrid>
        <w:gridCol w:w="1560"/>
        <w:gridCol w:w="1451"/>
        <w:gridCol w:w="1276"/>
        <w:gridCol w:w="2234"/>
        <w:gridCol w:w="2727"/>
      </w:tblGrid>
      <w:tr w:rsidR="00230AC1" w14:paraId="5FB2C2E2" w14:textId="77777777" w:rsidTr="001316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82606B1" w14:textId="77777777" w:rsidR="00230AC1" w:rsidRPr="00A06112" w:rsidRDefault="00230AC1" w:rsidP="00131642">
            <w:pPr>
              <w:spacing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A06112">
              <w:rPr>
                <w:rFonts w:ascii="Times New Roman" w:hAnsi="Times New Roman" w:cs="Times New Roman"/>
                <w:sz w:val="24"/>
                <w:szCs w:val="24"/>
              </w:rPr>
              <w:t>Plasmid</w:t>
            </w:r>
          </w:p>
        </w:tc>
        <w:tc>
          <w:tcPr>
            <w:tcW w:w="1451" w:type="dxa"/>
          </w:tcPr>
          <w:p w14:paraId="15DBA36C" w14:textId="77777777" w:rsidR="00230AC1" w:rsidRDefault="00230AC1" w:rsidP="0013164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Gene cloned</w:t>
            </w:r>
          </w:p>
        </w:tc>
        <w:tc>
          <w:tcPr>
            <w:tcW w:w="1276" w:type="dxa"/>
          </w:tcPr>
          <w:p w14:paraId="26192806" w14:textId="77777777" w:rsidR="00230AC1" w:rsidRDefault="00230AC1" w:rsidP="0013164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Promoter</w:t>
            </w:r>
          </w:p>
        </w:tc>
        <w:tc>
          <w:tcPr>
            <w:tcW w:w="2234" w:type="dxa"/>
          </w:tcPr>
          <w:p w14:paraId="2E213417" w14:textId="77777777" w:rsidR="00230AC1" w:rsidRDefault="00230AC1" w:rsidP="0013164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Antibiotic resistance</w:t>
            </w:r>
          </w:p>
        </w:tc>
        <w:tc>
          <w:tcPr>
            <w:tcW w:w="2727" w:type="dxa"/>
          </w:tcPr>
          <w:p w14:paraId="4AD81BE3" w14:textId="77777777" w:rsidR="00230AC1" w:rsidRDefault="00230AC1" w:rsidP="00131642">
            <w:pPr>
              <w:spacing w:line="240" w:lineRule="auto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References</w:t>
            </w:r>
          </w:p>
        </w:tc>
      </w:tr>
      <w:tr w:rsidR="00230AC1" w14:paraId="59F38CCF" w14:textId="77777777" w:rsidTr="00131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FFFFF" w:themeFill="background1"/>
          </w:tcPr>
          <w:p w14:paraId="67EB35C3" w14:textId="77777777" w:rsidR="00230AC1" w:rsidRPr="00A06112" w:rsidRDefault="00230AC1" w:rsidP="0013164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112">
              <w:rPr>
                <w:rFonts w:ascii="Times New Roman" w:hAnsi="Times New Roman" w:cs="Times New Roman"/>
                <w:sz w:val="24"/>
                <w:szCs w:val="24"/>
              </w:rPr>
              <w:t>pQE60Aco</w:t>
            </w:r>
          </w:p>
        </w:tc>
        <w:tc>
          <w:tcPr>
            <w:tcW w:w="1451" w:type="dxa"/>
            <w:shd w:val="clear" w:color="auto" w:fill="FFFFFF" w:themeFill="background1"/>
          </w:tcPr>
          <w:p w14:paraId="457A55A1" w14:textId="77777777" w:rsidR="00230AC1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Aconitase</w:t>
            </w:r>
          </w:p>
        </w:tc>
        <w:tc>
          <w:tcPr>
            <w:tcW w:w="1276" w:type="dxa"/>
            <w:shd w:val="clear" w:color="auto" w:fill="FFFFFF" w:themeFill="background1"/>
          </w:tcPr>
          <w:p w14:paraId="0133C886" w14:textId="77777777" w:rsidR="00230AC1" w:rsidRPr="00B32974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r w:rsidRPr="00B32974">
              <w:rPr>
                <w:rFonts w:ascii="Times New Roman" w:hAnsi="Times New Roman" w:cs="Times New Roman"/>
                <w:i/>
                <w:sz w:val="24"/>
                <w:szCs w:val="24"/>
              </w:rPr>
              <w:t>Lac</w:t>
            </w:r>
          </w:p>
        </w:tc>
        <w:tc>
          <w:tcPr>
            <w:tcW w:w="2234" w:type="dxa"/>
            <w:shd w:val="clear" w:color="auto" w:fill="FFFFFF" w:themeFill="background1"/>
          </w:tcPr>
          <w:p w14:paraId="3AA077A6" w14:textId="77777777" w:rsidR="00230AC1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Ampicillin</w:t>
            </w:r>
          </w:p>
        </w:tc>
        <w:tc>
          <w:tcPr>
            <w:tcW w:w="2727" w:type="dxa"/>
            <w:shd w:val="clear" w:color="auto" w:fill="FFFFFF" w:themeFill="background1"/>
          </w:tcPr>
          <w:p w14:paraId="391AF346" w14:textId="77777777" w:rsidR="00230AC1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Chaudhuri, </w:t>
            </w:r>
            <w:r w:rsidRPr="00103CF8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2001</w:t>
            </w:r>
          </w:p>
        </w:tc>
      </w:tr>
      <w:tr w:rsidR="00230AC1" w14:paraId="152BA913" w14:textId="77777777" w:rsidTr="00131642">
        <w:trPr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</w:tcPr>
          <w:p w14:paraId="6F6DCCDE" w14:textId="77777777" w:rsidR="00230AC1" w:rsidRPr="00A06112" w:rsidRDefault="00230AC1" w:rsidP="0013164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06112">
              <w:rPr>
                <w:rFonts w:ascii="Times New Roman" w:hAnsi="Times New Roman" w:cs="Times New Roman"/>
                <w:sz w:val="24"/>
                <w:szCs w:val="24"/>
              </w:rPr>
              <w:t>pETAco</w:t>
            </w:r>
            <w:proofErr w:type="spellEnd"/>
          </w:p>
        </w:tc>
        <w:tc>
          <w:tcPr>
            <w:tcW w:w="1451" w:type="dxa"/>
          </w:tcPr>
          <w:p w14:paraId="62596186" w14:textId="77777777" w:rsidR="00230AC1" w:rsidRDefault="00230AC1" w:rsidP="0013164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Aconitase</w:t>
            </w:r>
          </w:p>
        </w:tc>
        <w:tc>
          <w:tcPr>
            <w:tcW w:w="1276" w:type="dxa"/>
          </w:tcPr>
          <w:p w14:paraId="19FF3BB5" w14:textId="77777777" w:rsidR="00230AC1" w:rsidRDefault="00230AC1" w:rsidP="0013164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T7</w:t>
            </w:r>
            <w:r w:rsidRPr="00B32974">
              <w:rPr>
                <w:rFonts w:ascii="Times New Roman" w:hAnsi="Times New Roman" w:cs="Times New Roman"/>
                <w:i/>
                <w:sz w:val="24"/>
                <w:szCs w:val="24"/>
              </w:rPr>
              <w:t>lac</w:t>
            </w:r>
          </w:p>
        </w:tc>
        <w:tc>
          <w:tcPr>
            <w:tcW w:w="2234" w:type="dxa"/>
          </w:tcPr>
          <w:p w14:paraId="6FA2430D" w14:textId="77777777" w:rsidR="00230AC1" w:rsidRDefault="00230AC1" w:rsidP="0013164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Kanamycin</w:t>
            </w:r>
          </w:p>
        </w:tc>
        <w:tc>
          <w:tcPr>
            <w:tcW w:w="2727" w:type="dxa"/>
          </w:tcPr>
          <w:p w14:paraId="3EF341AF" w14:textId="77777777" w:rsidR="00230AC1" w:rsidRDefault="00230AC1" w:rsidP="00131642">
            <w:pPr>
              <w:spacing w:line="240" w:lineRule="auto"/>
              <w:jc w:val="both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This study</w:t>
            </w:r>
          </w:p>
        </w:tc>
      </w:tr>
      <w:tr w:rsidR="00230AC1" w14:paraId="3D90B355" w14:textId="77777777" w:rsidTr="00131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60" w:type="dxa"/>
            <w:shd w:val="clear" w:color="auto" w:fill="FFFFFF" w:themeFill="background1"/>
          </w:tcPr>
          <w:p w14:paraId="4701F0DA" w14:textId="77777777" w:rsidR="00230AC1" w:rsidRPr="00A06112" w:rsidRDefault="00230AC1" w:rsidP="00131642">
            <w:pPr>
              <w:spacing w:line="24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06112">
              <w:rPr>
                <w:rFonts w:ascii="Times New Roman" w:hAnsi="Times New Roman" w:cs="Times New Roman"/>
                <w:sz w:val="24"/>
                <w:szCs w:val="24"/>
              </w:rPr>
              <w:t>pGro7</w:t>
            </w:r>
          </w:p>
        </w:tc>
        <w:tc>
          <w:tcPr>
            <w:tcW w:w="1451" w:type="dxa"/>
            <w:shd w:val="clear" w:color="auto" w:fill="FFFFFF" w:themeFill="background1"/>
          </w:tcPr>
          <w:p w14:paraId="3081C8D1" w14:textId="77777777" w:rsidR="00230AC1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GroEL/ES</w:t>
            </w:r>
          </w:p>
        </w:tc>
        <w:tc>
          <w:tcPr>
            <w:tcW w:w="1276" w:type="dxa"/>
            <w:shd w:val="clear" w:color="auto" w:fill="FFFFFF" w:themeFill="background1"/>
          </w:tcPr>
          <w:p w14:paraId="7E01C9CC" w14:textId="77777777" w:rsidR="00230AC1" w:rsidRPr="00B32974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i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i/>
                <w:sz w:val="24"/>
                <w:szCs w:val="24"/>
              </w:rPr>
              <w:t>arab</w:t>
            </w:r>
            <w:proofErr w:type="spellEnd"/>
          </w:p>
        </w:tc>
        <w:tc>
          <w:tcPr>
            <w:tcW w:w="2234" w:type="dxa"/>
            <w:shd w:val="clear" w:color="auto" w:fill="FFFFFF" w:themeFill="background1"/>
          </w:tcPr>
          <w:p w14:paraId="25A78914" w14:textId="77777777" w:rsidR="00230AC1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Chloramphenicol</w:t>
            </w:r>
          </w:p>
        </w:tc>
        <w:tc>
          <w:tcPr>
            <w:tcW w:w="2727" w:type="dxa"/>
            <w:shd w:val="clear" w:color="auto" w:fill="FFFFFF" w:themeFill="background1"/>
          </w:tcPr>
          <w:p w14:paraId="27428262" w14:textId="77777777" w:rsidR="00230AC1" w:rsidRDefault="00230AC1" w:rsidP="00131642">
            <w:pPr>
              <w:spacing w:line="240" w:lineRule="auto"/>
              <w:jc w:val="both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Nishihara, </w:t>
            </w:r>
            <w:r w:rsidRPr="00103CF8">
              <w:rPr>
                <w:rFonts w:ascii="Times New Roman" w:hAnsi="Times New Roman" w:cs="Times New Roman"/>
                <w:i/>
                <w:sz w:val="24"/>
                <w:szCs w:val="24"/>
              </w:rPr>
              <w:t>et al.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, 1998.</w:t>
            </w:r>
          </w:p>
        </w:tc>
      </w:tr>
    </w:tbl>
    <w:p w14:paraId="733C9386" w14:textId="77777777" w:rsidR="00230AC1" w:rsidRDefault="00230AC1" w:rsidP="00230AC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5F47F1A" w14:textId="4A9D2D1F" w:rsidR="00230AC1" w:rsidRPr="003A3558" w:rsidRDefault="00230AC1" w:rsidP="00230AC1">
      <w:pPr>
        <w:pStyle w:val="Caption"/>
        <w:keepNext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</w: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Table_3. \* ARABIC </w:instrTex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Pr="003A3558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2</w: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 Primer sequence designed for PCR amplification of aconitase gene</w:t>
      </w:r>
    </w:p>
    <w:tbl>
      <w:tblPr>
        <w:tblStyle w:val="LightShading1"/>
        <w:tblW w:w="7838" w:type="dxa"/>
        <w:jc w:val="center"/>
        <w:tblLook w:val="04A0" w:firstRow="1" w:lastRow="0" w:firstColumn="1" w:lastColumn="0" w:noHBand="0" w:noVBand="1"/>
      </w:tblPr>
      <w:tblGrid>
        <w:gridCol w:w="2244"/>
        <w:gridCol w:w="5594"/>
      </w:tblGrid>
      <w:tr w:rsidR="00230AC1" w14:paraId="42636363" w14:textId="77777777" w:rsidTr="001316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27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dxa"/>
            <w:hideMark/>
          </w:tcPr>
          <w:p w14:paraId="3FBCF95D" w14:textId="77777777" w:rsidR="00230AC1" w:rsidRDefault="00230AC1" w:rsidP="00131642">
            <w:pPr>
              <w:pStyle w:val="BodyTextIndent"/>
              <w:spacing w:before="100" w:beforeAutospacing="1" w:line="480" w:lineRule="auto"/>
              <w:ind w:left="0"/>
              <w:rPr>
                <w:b w:val="0"/>
                <w:bCs w:val="0"/>
              </w:rPr>
            </w:pPr>
            <w:r>
              <w:t>Primers</w:t>
            </w:r>
          </w:p>
        </w:tc>
        <w:tc>
          <w:tcPr>
            <w:tcW w:w="5594" w:type="dxa"/>
            <w:hideMark/>
          </w:tcPr>
          <w:p w14:paraId="4FB7346F" w14:textId="77777777" w:rsidR="00230AC1" w:rsidRDefault="00230AC1" w:rsidP="00131642">
            <w:pPr>
              <w:pStyle w:val="BodyTextIndent"/>
              <w:spacing w:before="100" w:beforeAutospacing="1" w:line="480" w:lineRule="auto"/>
              <w:ind w:left="0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</w:pPr>
            <w:r>
              <w:t xml:space="preserve">Sequence </w:t>
            </w:r>
            <w:r w:rsidRPr="00443F47">
              <w:rPr>
                <w:vertAlign w:val="superscript"/>
              </w:rPr>
              <w:t>#</w:t>
            </w:r>
          </w:p>
        </w:tc>
      </w:tr>
      <w:tr w:rsidR="00230AC1" w14:paraId="0DAE6525" w14:textId="77777777" w:rsidTr="00131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dxa"/>
            <w:shd w:val="clear" w:color="auto" w:fill="auto"/>
            <w:hideMark/>
          </w:tcPr>
          <w:p w14:paraId="79E8975E" w14:textId="77777777" w:rsidR="00230AC1" w:rsidRDefault="00230AC1" w:rsidP="00131642">
            <w:pPr>
              <w:pStyle w:val="BodyTextIndent"/>
              <w:spacing w:before="100" w:beforeAutospacing="1" w:line="480" w:lineRule="auto"/>
              <w:ind w:left="0"/>
            </w:pPr>
            <w:r>
              <w:t>Forward Primer</w:t>
            </w:r>
          </w:p>
        </w:tc>
        <w:tc>
          <w:tcPr>
            <w:tcW w:w="5594" w:type="dxa"/>
            <w:shd w:val="clear" w:color="auto" w:fill="auto"/>
            <w:hideMark/>
          </w:tcPr>
          <w:p w14:paraId="6B03D926" w14:textId="77777777" w:rsidR="00230AC1" w:rsidRDefault="00230AC1" w:rsidP="00131642">
            <w:pPr>
              <w:pStyle w:val="BodyTextIndent"/>
              <w:spacing w:before="100" w:beforeAutospacing="1" w:line="480" w:lineRule="auto"/>
              <w:ind w:left="0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</w:pPr>
            <w:r>
              <w:t>5’ TTA</w:t>
            </w:r>
            <w:r>
              <w:rPr>
                <w:b/>
                <w:bCs/>
              </w:rPr>
              <w:t>CATATG</w:t>
            </w:r>
            <w:r>
              <w:t>CTGGATTCAAAAGTCAACC 3’</w:t>
            </w:r>
          </w:p>
        </w:tc>
      </w:tr>
      <w:tr w:rsidR="00230AC1" w14:paraId="6E3E3D07" w14:textId="77777777" w:rsidTr="00131642">
        <w:trPr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2244" w:type="dxa"/>
            <w:hideMark/>
          </w:tcPr>
          <w:p w14:paraId="766AE3ED" w14:textId="77777777" w:rsidR="00230AC1" w:rsidRDefault="00230AC1" w:rsidP="00131642">
            <w:pPr>
              <w:pStyle w:val="BodyTextIndent"/>
              <w:spacing w:before="100" w:beforeAutospacing="1" w:line="480" w:lineRule="auto"/>
              <w:ind w:left="0"/>
            </w:pPr>
            <w:r>
              <w:t>Reverse Primer</w:t>
            </w:r>
          </w:p>
        </w:tc>
        <w:tc>
          <w:tcPr>
            <w:tcW w:w="5594" w:type="dxa"/>
            <w:hideMark/>
          </w:tcPr>
          <w:p w14:paraId="7DB6F0BB" w14:textId="77777777" w:rsidR="00230AC1" w:rsidRDefault="00230AC1" w:rsidP="00131642">
            <w:pPr>
              <w:pStyle w:val="BodyTextIndent"/>
              <w:spacing w:before="100" w:beforeAutospacing="1" w:line="480" w:lineRule="auto"/>
              <w:ind w:left="0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</w:pPr>
            <w:r>
              <w:t>5’ TTT</w:t>
            </w:r>
            <w:r>
              <w:rPr>
                <w:b/>
                <w:bCs/>
              </w:rPr>
              <w:t>AAGCTT</w:t>
            </w:r>
            <w:r>
              <w:t>TTATTTCTTCTCATCGGC 3’</w:t>
            </w:r>
          </w:p>
        </w:tc>
      </w:tr>
    </w:tbl>
    <w:p w14:paraId="64B82290" w14:textId="77777777" w:rsidR="00230AC1" w:rsidRPr="00443F47" w:rsidRDefault="00230AC1" w:rsidP="00230AC1">
      <w:pPr>
        <w:pStyle w:val="BodyTextIndent"/>
        <w:spacing w:before="100" w:beforeAutospacing="1" w:line="240" w:lineRule="auto"/>
        <w:ind w:left="720"/>
      </w:pPr>
      <w:r w:rsidRPr="00443F47">
        <w:rPr>
          <w:vertAlign w:val="superscript"/>
        </w:rPr>
        <w:t>#</w:t>
      </w:r>
      <w:r>
        <w:t xml:space="preserve"> The bold sequences are the restriction digestion recognition sites for </w:t>
      </w:r>
      <w:r w:rsidRPr="00AA1CDB">
        <w:rPr>
          <w:i/>
        </w:rPr>
        <w:t>Nde</w:t>
      </w:r>
      <w:r>
        <w:t xml:space="preserve">I and </w:t>
      </w:r>
      <w:r w:rsidRPr="00AA1CDB">
        <w:rPr>
          <w:i/>
        </w:rPr>
        <w:t>Xho</w:t>
      </w:r>
      <w:r>
        <w:t>I in the forward and reverse primers respectively</w:t>
      </w:r>
    </w:p>
    <w:p w14:paraId="0712D33F" w14:textId="77777777" w:rsidR="00230AC1" w:rsidRDefault="00230AC1" w:rsidP="00230AC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783EBEB2" w14:textId="2CFCF249" w:rsidR="00230AC1" w:rsidRPr="003A3558" w:rsidRDefault="00230AC1" w:rsidP="00230AC1">
      <w:pPr>
        <w:pStyle w:val="Caption"/>
        <w:keepNext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S</w: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begin"/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instrText xml:space="preserve"> SEQ Table_3. \* ARABIC </w:instrTex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separate"/>
      </w:r>
      <w:r w:rsidRPr="003A3558">
        <w:rPr>
          <w:rFonts w:ascii="Times New Roman" w:hAnsi="Times New Roman" w:cs="Times New Roman"/>
          <w:b/>
          <w:i w:val="0"/>
          <w:noProof/>
          <w:color w:val="auto"/>
          <w:sz w:val="24"/>
          <w:szCs w:val="24"/>
        </w:rPr>
        <w:t>3</w:t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fldChar w:fldCharType="end"/>
      </w:r>
      <w:r w:rsidRPr="003A3558">
        <w:rPr>
          <w:rFonts w:ascii="Times New Roman" w:hAnsi="Times New Roman" w:cs="Times New Roman"/>
          <w:b/>
          <w:i w:val="0"/>
          <w:color w:val="auto"/>
          <w:sz w:val="24"/>
          <w:szCs w:val="24"/>
        </w:rPr>
        <w:t>. Effect of temperature on the specific growth rate of the induced cells</w:t>
      </w:r>
    </w:p>
    <w:tbl>
      <w:tblPr>
        <w:tblStyle w:val="LightShading1"/>
        <w:tblW w:w="0" w:type="auto"/>
        <w:jc w:val="center"/>
        <w:tblLook w:val="04A0" w:firstRow="1" w:lastRow="0" w:firstColumn="1" w:lastColumn="0" w:noHBand="0" w:noVBand="1"/>
      </w:tblPr>
      <w:tblGrid>
        <w:gridCol w:w="1866"/>
        <w:gridCol w:w="1981"/>
        <w:gridCol w:w="2699"/>
      </w:tblGrid>
      <w:tr w:rsidR="00230AC1" w14:paraId="6FA2FD27" w14:textId="77777777" w:rsidTr="00131642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vMerge w:val="restart"/>
          </w:tcPr>
          <w:p w14:paraId="1A26B651" w14:textId="77777777" w:rsidR="00230AC1" w:rsidRDefault="00230AC1" w:rsidP="00131642">
            <w:pPr>
              <w:spacing w:line="360" w:lineRule="auto"/>
              <w:ind w:right="196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E30E55">
              <w:rPr>
                <w:rFonts w:ascii="Times New Roman" w:hAnsi="Times New Roman" w:cs="Times New Roman"/>
                <w:sz w:val="24"/>
                <w:szCs w:val="24"/>
              </w:rPr>
              <w:t>Temperature</w:t>
            </w:r>
          </w:p>
          <w:p w14:paraId="5A2CFA72" w14:textId="77777777" w:rsidR="00230AC1" w:rsidRPr="00E30E55" w:rsidRDefault="00230AC1" w:rsidP="00131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noProof/>
                <w:sz w:val="24"/>
                <w:szCs w:val="24"/>
                <w:lang w:eastAsia="en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3515FA45" wp14:editId="272EE9E2">
                      <wp:simplePos x="0" y="0"/>
                      <wp:positionH relativeFrom="column">
                        <wp:posOffset>-47625</wp:posOffset>
                      </wp:positionH>
                      <wp:positionV relativeFrom="paragraph">
                        <wp:posOffset>316865</wp:posOffset>
                      </wp:positionV>
                      <wp:extent cx="4153535" cy="0"/>
                      <wp:effectExtent l="8255" t="5715" r="10160" b="13335"/>
                      <wp:wrapNone/>
                      <wp:docPr id="39" name="AutoShape 2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>
                              <a:cxnSpLocks noChangeShapeType="1"/>
                            </wps:cNvCnPr>
                            <wps:spPr bwMode="auto">
                              <a:xfrm>
                                <a:off x="0" y="0"/>
                                <a:ext cx="4153535" cy="0"/>
                              </a:xfrm>
                              <a:prstGeom prst="straightConnector1">
                                <a:avLst/>
                              </a:prstGeom>
                              <a:noFill/>
                              <a:ln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:ln>
                              <a:extLst>
                                <a:ext uri="{909E8E84-426E-40DD-AFC4-6F175D3DCCD1}">
                                  <a14:hiddenFill xmlns:a14="http://schemas.microsoft.com/office/drawing/2010/main">
                                    <a:noFill/>
                                  </a14:hiddenFill>
                                </a:ext>
                              </a:extLst>
                            </wps:spPr>
                            <wps:bodyPr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194B6DD9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AutoShape 2" o:spid="_x0000_s1026" type="#_x0000_t32" style="position:absolute;margin-left:-3.75pt;margin-top:24.95pt;width:327.0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"/>
                  </w:pict>
                </mc:Fallback>
              </mc:AlternateConten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 (°C)</w:t>
            </w:r>
          </w:p>
        </w:tc>
        <w:tc>
          <w:tcPr>
            <w:tcW w:w="4680" w:type="dxa"/>
            <w:gridSpan w:val="2"/>
          </w:tcPr>
          <w:p w14:paraId="0A90CA06" w14:textId="77777777" w:rsidR="00230AC1" w:rsidRPr="00545ED6" w:rsidRDefault="00230AC1" w:rsidP="00131642">
            <w:pPr>
              <w:spacing w:line="360" w:lineRule="auto"/>
              <w:jc w:val="both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Specific growth rate of</w:t>
            </w:r>
            <w:r w:rsidRPr="00545ED6">
              <w:rPr>
                <w:rFonts w:ascii="Times New Roman" w:hAnsi="Times New Roman" w:cs="Times New Roman"/>
                <w:sz w:val="24"/>
                <w:szCs w:val="24"/>
              </w:rPr>
              <w:t xml:space="preserve"> cells expressing (h</w:t>
            </w:r>
            <w:r w:rsidRPr="00545ED6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545ED6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</w:tr>
      <w:tr w:rsidR="00230AC1" w14:paraId="41C2022A" w14:textId="77777777" w:rsidTr="00131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vMerge/>
          </w:tcPr>
          <w:p w14:paraId="5AD6AB1E" w14:textId="77777777" w:rsidR="00230AC1" w:rsidRPr="00E30E55" w:rsidRDefault="00230AC1" w:rsidP="00131642">
            <w:pPr>
              <w:spacing w:line="360" w:lineRule="auto"/>
              <w:jc w:val="both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</w:p>
        </w:tc>
        <w:tc>
          <w:tcPr>
            <w:tcW w:w="1981" w:type="dxa"/>
            <w:shd w:val="clear" w:color="auto" w:fill="FFFFFF" w:themeFill="background1"/>
          </w:tcPr>
          <w:p w14:paraId="786F71BD" w14:textId="77777777" w:rsidR="00230AC1" w:rsidRPr="00E30E55" w:rsidRDefault="00230AC1" w:rsidP="001316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Aconitase</w:t>
            </w:r>
          </w:p>
        </w:tc>
        <w:tc>
          <w:tcPr>
            <w:tcW w:w="2699" w:type="dxa"/>
            <w:shd w:val="clear" w:color="auto" w:fill="FFFFFF" w:themeFill="background1"/>
          </w:tcPr>
          <w:p w14:paraId="666B69AD" w14:textId="77777777" w:rsidR="00230AC1" w:rsidRPr="00E30E55" w:rsidRDefault="00230AC1" w:rsidP="001316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Aconitase &amp; GroEL/ES</w:t>
            </w:r>
          </w:p>
        </w:tc>
      </w:tr>
      <w:tr w:rsidR="00230AC1" w14:paraId="67F5EC15" w14:textId="77777777" w:rsidTr="00131642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4AD9E9D0" w14:textId="77777777" w:rsidR="00230AC1" w:rsidRDefault="00230AC1" w:rsidP="001316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37 °C</w:t>
            </w:r>
          </w:p>
        </w:tc>
        <w:tc>
          <w:tcPr>
            <w:tcW w:w="1981" w:type="dxa"/>
          </w:tcPr>
          <w:p w14:paraId="24EBA143" w14:textId="77777777" w:rsidR="00230AC1" w:rsidRDefault="00230AC1" w:rsidP="00131642">
            <w:pPr>
              <w:spacing w:line="360" w:lineRule="auto"/>
              <w:ind w:firstLine="294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0.412 (0.92</w:t>
            </w:r>
            <w:r w:rsidRPr="0001073E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#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699" w:type="dxa"/>
          </w:tcPr>
          <w:p w14:paraId="7E9652DD" w14:textId="77777777" w:rsidR="00230AC1" w:rsidRDefault="00230AC1" w:rsidP="001316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0.479 (0.89)</w:t>
            </w:r>
          </w:p>
        </w:tc>
      </w:tr>
      <w:tr w:rsidR="00230AC1" w14:paraId="383619AA" w14:textId="77777777" w:rsidTr="00131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shd w:val="clear" w:color="auto" w:fill="FFFFFF" w:themeFill="background1"/>
          </w:tcPr>
          <w:p w14:paraId="606ECEF3" w14:textId="77777777" w:rsidR="00230AC1" w:rsidRDefault="00230AC1" w:rsidP="001316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30 °C</w:t>
            </w:r>
          </w:p>
        </w:tc>
        <w:tc>
          <w:tcPr>
            <w:tcW w:w="1981" w:type="dxa"/>
            <w:shd w:val="clear" w:color="auto" w:fill="FFFFFF" w:themeFill="background1"/>
          </w:tcPr>
          <w:p w14:paraId="16061AA5" w14:textId="77777777" w:rsidR="00230AC1" w:rsidRDefault="00230AC1" w:rsidP="001316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0.34 (0.92)</w:t>
            </w:r>
          </w:p>
        </w:tc>
        <w:tc>
          <w:tcPr>
            <w:tcW w:w="2699" w:type="dxa"/>
            <w:shd w:val="clear" w:color="auto" w:fill="FFFFFF" w:themeFill="background1"/>
          </w:tcPr>
          <w:p w14:paraId="0338E1AB" w14:textId="77777777" w:rsidR="00230AC1" w:rsidRDefault="00230AC1" w:rsidP="001316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0.377 (0.95)</w:t>
            </w:r>
          </w:p>
        </w:tc>
      </w:tr>
      <w:tr w:rsidR="00230AC1" w14:paraId="5D3C32B0" w14:textId="77777777" w:rsidTr="00131642">
        <w:trPr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</w:tcPr>
          <w:p w14:paraId="0E835F9C" w14:textId="77777777" w:rsidR="00230AC1" w:rsidRDefault="00230AC1" w:rsidP="001316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25 °C</w:t>
            </w:r>
          </w:p>
        </w:tc>
        <w:tc>
          <w:tcPr>
            <w:tcW w:w="1981" w:type="dxa"/>
          </w:tcPr>
          <w:p w14:paraId="60F7ADC6" w14:textId="77777777" w:rsidR="00230AC1" w:rsidRDefault="00230AC1" w:rsidP="001316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0.32 (0.9)</w:t>
            </w:r>
          </w:p>
        </w:tc>
        <w:tc>
          <w:tcPr>
            <w:tcW w:w="2699" w:type="dxa"/>
          </w:tcPr>
          <w:p w14:paraId="18D2776C" w14:textId="77777777" w:rsidR="00230AC1" w:rsidRDefault="00230AC1" w:rsidP="00131642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0.36 (0.9)</w:t>
            </w:r>
          </w:p>
        </w:tc>
      </w:tr>
      <w:tr w:rsidR="00230AC1" w14:paraId="5008599A" w14:textId="77777777" w:rsidTr="00131642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567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66" w:type="dxa"/>
            <w:shd w:val="clear" w:color="auto" w:fill="FFFFFF" w:themeFill="background1"/>
          </w:tcPr>
          <w:p w14:paraId="69717C93" w14:textId="77777777" w:rsidR="00230AC1" w:rsidRDefault="00230AC1" w:rsidP="00131642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16 °C</w:t>
            </w:r>
          </w:p>
        </w:tc>
        <w:tc>
          <w:tcPr>
            <w:tcW w:w="1981" w:type="dxa"/>
            <w:shd w:val="clear" w:color="auto" w:fill="FFFFFF" w:themeFill="background1"/>
          </w:tcPr>
          <w:p w14:paraId="41C51028" w14:textId="77777777" w:rsidR="00230AC1" w:rsidRDefault="00230AC1" w:rsidP="001316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0.274 (0.95)</w:t>
            </w:r>
          </w:p>
        </w:tc>
        <w:tc>
          <w:tcPr>
            <w:tcW w:w="2699" w:type="dxa"/>
            <w:shd w:val="clear" w:color="auto" w:fill="FFFFFF" w:themeFill="background1"/>
          </w:tcPr>
          <w:p w14:paraId="4009B8EE" w14:textId="77777777" w:rsidR="00230AC1" w:rsidRDefault="00230AC1" w:rsidP="00131642">
            <w:pPr>
              <w:spacing w:line="36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0.311 (0.97)</w:t>
            </w:r>
          </w:p>
        </w:tc>
      </w:tr>
    </w:tbl>
    <w:p w14:paraId="6053EC61" w14:textId="736CC939" w:rsidR="003E0A0B" w:rsidRDefault="00230AC1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</w:t>
      </w:r>
      <w:r>
        <w:rPr>
          <w:rFonts w:ascii="Times New Roman" w:hAnsi="Times New Roman" w:cs="Times New Roman"/>
          <w:sz w:val="24"/>
          <w:szCs w:val="24"/>
        </w:rPr>
        <w:tab/>
        <w:t xml:space="preserve">       </w:t>
      </w:r>
      <w:r w:rsidRPr="0001073E">
        <w:rPr>
          <w:rFonts w:ascii="Times New Roman" w:hAnsi="Times New Roman" w:cs="Times New Roman"/>
          <w:sz w:val="24"/>
          <w:szCs w:val="24"/>
          <w:vertAlign w:val="superscript"/>
        </w:rPr>
        <w:t>#</w:t>
      </w:r>
      <w:r>
        <w:rPr>
          <w:rFonts w:ascii="Times New Roman" w:hAnsi="Times New Roman" w:cs="Times New Roman"/>
          <w:sz w:val="24"/>
          <w:szCs w:val="24"/>
          <w:vertAlign w:val="superscript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The regression coefficients are provided in brackets.</w:t>
      </w:r>
    </w:p>
    <w:p w14:paraId="2F7073BD" w14:textId="0814E006" w:rsidR="00230AC1" w:rsidRDefault="00230AC1">
      <w:pPr>
        <w:rPr>
          <w:rFonts w:ascii="Times New Roman" w:hAnsi="Times New Roman" w:cs="Times New Roman"/>
          <w:sz w:val="24"/>
          <w:szCs w:val="24"/>
        </w:rPr>
      </w:pPr>
    </w:p>
    <w:p w14:paraId="5309B0CD" w14:textId="03DA112B" w:rsidR="00230AC1" w:rsidRPr="003A3558" w:rsidRDefault="00230AC1" w:rsidP="00230AC1">
      <w:pPr>
        <w:pStyle w:val="Caption"/>
        <w:keepNext/>
        <w:spacing w:line="480" w:lineRule="auto"/>
        <w:rPr>
          <w:rFonts w:ascii="Times New Roman" w:hAnsi="Times New Roman" w:cs="Times New Roman"/>
          <w:b/>
          <w:i w:val="0"/>
          <w:color w:val="auto"/>
          <w:sz w:val="24"/>
          <w:szCs w:val="24"/>
        </w:rPr>
      </w:pPr>
    </w:p>
    <w:p w14:paraId="46564459" w14:textId="77777777" w:rsidR="00230AC1" w:rsidRDefault="00230AC1" w:rsidP="00230AC1">
      <w:pPr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</w:rPr>
      </w:pPr>
    </w:p>
    <w:p w14:paraId="23E2E8CC" w14:textId="77777777" w:rsidR="00230AC1" w:rsidRDefault="00230AC1"/>
    <w:sectPr w:rsidR="00230AC1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0A0B"/>
    <w:rsid w:val="00230AC1"/>
    <w:rsid w:val="002675D9"/>
    <w:rsid w:val="003E0A0B"/>
    <w:rsid w:val="003F6620"/>
    <w:rsid w:val="0094570D"/>
    <w:rsid w:val="00A703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FA46BF"/>
  <w15:chartTrackingRefBased/>
  <w15:docId w15:val="{53413FF8-4467-49D9-9E66-1C6DEFBE03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30AC1"/>
    <w:pPr>
      <w:spacing w:after="200" w:line="27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LightShading1">
    <w:name w:val="Light Shading1"/>
    <w:basedOn w:val="TableNormal"/>
    <w:uiPriority w:val="60"/>
    <w:rsid w:val="00230AC1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230AC1"/>
    <w:pPr>
      <w:spacing w:line="240" w:lineRule="auto"/>
    </w:pPr>
    <w:rPr>
      <w:i/>
      <w:iCs/>
      <w:color w:val="44546A" w:themeColor="text2"/>
      <w:sz w:val="18"/>
      <w:szCs w:val="18"/>
    </w:rPr>
  </w:style>
  <w:style w:type="paragraph" w:styleId="BodyTextIndent">
    <w:name w:val="Body Text Indent"/>
    <w:basedOn w:val="Normal"/>
    <w:link w:val="BodyTextIndentChar"/>
    <w:unhideWhenUsed/>
    <w:rsid w:val="00230AC1"/>
    <w:pPr>
      <w:spacing w:after="0" w:line="360" w:lineRule="auto"/>
      <w:ind w:left="540"/>
      <w:jc w:val="both"/>
    </w:pPr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customStyle="1" w:styleId="BodyTextIndentChar">
    <w:name w:val="Body Text Indent Char"/>
    <w:basedOn w:val="DefaultParagraphFont"/>
    <w:link w:val="BodyTextIndent"/>
    <w:rsid w:val="00230AC1"/>
    <w:rPr>
      <w:rFonts w:ascii="Times New Roman" w:eastAsia="Times New Roman" w:hAnsi="Times New Roman" w:cs="Times New Roman"/>
      <w:sz w:val="24"/>
      <w:szCs w:val="24"/>
      <w:lang w:val="en-US" w:bidi="en-US"/>
    </w:rPr>
  </w:style>
  <w:style w:type="character" w:styleId="SubtleEmphasis">
    <w:name w:val="Subtle Emphasis"/>
    <w:basedOn w:val="DefaultParagraphFont"/>
    <w:uiPriority w:val="19"/>
    <w:qFormat/>
    <w:rsid w:val="00230AC1"/>
    <w:rPr>
      <w:i/>
      <w:iCs/>
      <w:color w:val="808080" w:themeColor="text1" w:themeTint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907</Characters>
  <Application>Microsoft Office Word</Application>
  <DocSecurity>0</DocSecurity>
  <Lines>7</Lines>
  <Paragraphs>2</Paragraphs>
  <ScaleCrop>false</ScaleCrop>
  <Company/>
  <LinksUpToDate>false</LinksUpToDate>
  <CharactersWithSpaces>1063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Sheetal Bandhu</dc:creator>
  <cp:keywords/>
  <dc:description/>
  <cp:lastModifiedBy>Sheetal Bandhu</cp:lastModifiedBy>
  <cp:revision>2</cp:revision>
  <dcterms:created xsi:type="dcterms:W3CDTF">2021-08-14T07:25:00Z</dcterms:created>
  <dcterms:modified xsi:type="dcterms:W3CDTF">2021-08-14T07:25:00Z</dcterms:modified>
</cp:coreProperties>
</file>