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5E70" w14:textId="77777777" w:rsidR="00D43176" w:rsidRPr="000D51F8" w:rsidRDefault="00D43176" w:rsidP="00D43176">
      <w:pPr>
        <w:tabs>
          <w:tab w:val="left" w:pos="2730"/>
        </w:tabs>
        <w:spacing w:line="360" w:lineRule="auto"/>
        <w:rPr>
          <w:rFonts w:ascii="Calibri" w:hAnsi="Calibri" w:cs="Calibri"/>
          <w:b/>
          <w:bCs/>
        </w:rPr>
      </w:pPr>
      <w:r w:rsidRPr="000D51F8">
        <w:rPr>
          <w:rFonts w:ascii="Calibri" w:hAnsi="Calibri" w:cs="Calibri"/>
          <w:b/>
          <w:bCs/>
        </w:rPr>
        <w:t>Postmortem neuropathological assessment</w:t>
      </w:r>
    </w:p>
    <w:p w14:paraId="121CA4CA" w14:textId="4E8376A0" w:rsidR="00D43176" w:rsidRPr="000D51F8" w:rsidRDefault="00D43176" w:rsidP="00D43176">
      <w:pPr>
        <w:tabs>
          <w:tab w:val="left" w:pos="2730"/>
        </w:tabs>
        <w:spacing w:line="360" w:lineRule="auto"/>
        <w:rPr>
          <w:rFonts w:ascii="Calibri" w:hAnsi="Calibri" w:cs="Calibri"/>
          <w:vertAlign w:val="superscript"/>
        </w:rPr>
      </w:pPr>
      <w:r w:rsidRPr="000D51F8">
        <w:rPr>
          <w:rFonts w:ascii="Calibri" w:hAnsi="Calibri" w:cs="Calibri"/>
        </w:rPr>
        <w:t xml:space="preserve">Neuropathological examination was performed according to standardized protocols at the Banc de </w:t>
      </w:r>
      <w:proofErr w:type="spellStart"/>
      <w:r w:rsidRPr="000D51F8">
        <w:rPr>
          <w:rFonts w:ascii="Calibri" w:hAnsi="Calibri" w:cs="Calibri"/>
        </w:rPr>
        <w:t>Teixits</w:t>
      </w:r>
      <w:proofErr w:type="spellEnd"/>
      <w:r w:rsidRPr="000D51F8">
        <w:rPr>
          <w:rFonts w:ascii="Calibri" w:hAnsi="Calibri" w:cs="Calibri"/>
        </w:rPr>
        <w:t xml:space="preserve"> </w:t>
      </w:r>
      <w:proofErr w:type="spellStart"/>
      <w:r w:rsidRPr="000D51F8">
        <w:rPr>
          <w:rFonts w:ascii="Calibri" w:hAnsi="Calibri" w:cs="Calibri"/>
        </w:rPr>
        <w:t>Neurològics</w:t>
      </w:r>
      <w:proofErr w:type="spellEnd"/>
      <w:r w:rsidRPr="000D51F8">
        <w:rPr>
          <w:rFonts w:ascii="Calibri" w:hAnsi="Calibri" w:cs="Calibri"/>
        </w:rPr>
        <w:t xml:space="preserve">.  Half brain hemisphere was dissected in coronal sections and frozen while the other half was fixed by immersion in 4% formalin for 3 weeks. At least 25 representative brain areas were embedded in paraffin, cut at 5 µm and stained with </w:t>
      </w:r>
      <w:proofErr w:type="spellStart"/>
      <w:r w:rsidRPr="000D51F8">
        <w:rPr>
          <w:rFonts w:ascii="Calibri" w:hAnsi="Calibri" w:cs="Calibri"/>
        </w:rPr>
        <w:t>hematoxylin</w:t>
      </w:r>
      <w:proofErr w:type="spellEnd"/>
      <w:r w:rsidRPr="000D51F8">
        <w:rPr>
          <w:rFonts w:ascii="Calibri" w:hAnsi="Calibri" w:cs="Calibri"/>
        </w:rPr>
        <w:t xml:space="preserve"> &amp; eosin. Immunohistochemistry (IHC) was performed using various antibodies including anti-βA4 (6F/3D, Dako, Glostrup, Denmark), anti-tau (AT8, </w:t>
      </w:r>
      <w:proofErr w:type="spellStart"/>
      <w:r w:rsidRPr="000D51F8">
        <w:rPr>
          <w:rFonts w:ascii="Calibri" w:hAnsi="Calibri" w:cs="Calibri"/>
        </w:rPr>
        <w:t>Thermo</w:t>
      </w:r>
      <w:proofErr w:type="spellEnd"/>
      <w:r w:rsidRPr="000D51F8">
        <w:rPr>
          <w:rFonts w:ascii="Calibri" w:hAnsi="Calibri" w:cs="Calibri"/>
        </w:rPr>
        <w:t xml:space="preserve"> Scientific, USA), anti </w:t>
      </w:r>
      <w:proofErr w:type="spellStart"/>
      <w:r w:rsidRPr="000D51F8">
        <w:rPr>
          <w:rFonts w:ascii="Calibri" w:hAnsi="Calibri" w:cs="Calibri"/>
        </w:rPr>
        <w:t>asyn</w:t>
      </w:r>
      <w:proofErr w:type="spellEnd"/>
      <w:r w:rsidRPr="000D51F8">
        <w:rPr>
          <w:rFonts w:ascii="Calibri" w:hAnsi="Calibri" w:cs="Calibri"/>
        </w:rPr>
        <w:t xml:space="preserve"> (5G4, </w:t>
      </w:r>
      <w:proofErr w:type="spellStart"/>
      <w:r w:rsidRPr="000D51F8">
        <w:rPr>
          <w:rFonts w:ascii="Calibri" w:hAnsi="Calibri" w:cs="Calibri"/>
        </w:rPr>
        <w:t>Analytik</w:t>
      </w:r>
      <w:proofErr w:type="spellEnd"/>
      <w:r w:rsidRPr="000D51F8">
        <w:rPr>
          <w:rFonts w:ascii="Calibri" w:hAnsi="Calibri" w:cs="Calibri"/>
        </w:rPr>
        <w:t xml:space="preserve"> Jena, Germany), anti-ubiquitin (P4D1, Cell signalling, USA), anti-α-</w:t>
      </w:r>
      <w:proofErr w:type="spellStart"/>
      <w:r w:rsidRPr="000D51F8">
        <w:rPr>
          <w:rFonts w:ascii="Calibri" w:hAnsi="Calibri" w:cs="Calibri"/>
        </w:rPr>
        <w:t>internexin</w:t>
      </w:r>
      <w:proofErr w:type="spellEnd"/>
      <w:r w:rsidRPr="000D51F8">
        <w:rPr>
          <w:rFonts w:ascii="Calibri" w:hAnsi="Calibri" w:cs="Calibri"/>
        </w:rPr>
        <w:t xml:space="preserve"> (2E3, Invitrogen, USA), and anti </w:t>
      </w:r>
      <w:proofErr w:type="spellStart"/>
      <w:r w:rsidRPr="000D51F8">
        <w:rPr>
          <w:rFonts w:ascii="Calibri" w:hAnsi="Calibri" w:cs="Calibri"/>
        </w:rPr>
        <w:t>phospho</w:t>
      </w:r>
      <w:proofErr w:type="spellEnd"/>
      <w:r w:rsidRPr="000D51F8">
        <w:rPr>
          <w:rFonts w:ascii="Calibri" w:hAnsi="Calibri" w:cs="Calibri"/>
        </w:rPr>
        <w:t xml:space="preserve"> TDP43 (11-9, Cosmo bio co, Japan). All IHQ were counterstained with </w:t>
      </w:r>
      <w:proofErr w:type="spellStart"/>
      <w:r w:rsidRPr="000D51F8">
        <w:rPr>
          <w:rFonts w:ascii="Calibri" w:hAnsi="Calibri" w:cs="Calibri"/>
        </w:rPr>
        <w:t>hematoxylin</w:t>
      </w:r>
      <w:proofErr w:type="spellEnd"/>
      <w:r w:rsidRPr="000D51F8">
        <w:rPr>
          <w:rFonts w:ascii="Calibri" w:hAnsi="Calibri" w:cs="Calibri"/>
        </w:rPr>
        <w:t>. The usual references for diagnosis and staging are compiled in a recent publication.</w:t>
      </w:r>
      <w:r w:rsidR="000D51F8" w:rsidRPr="000D51F8">
        <w:rPr>
          <w:rFonts w:ascii="Calibri" w:hAnsi="Calibri" w:cs="Calibri"/>
          <w:vertAlign w:val="superscript"/>
        </w:rPr>
        <w:t>1</w:t>
      </w:r>
      <w:r w:rsidRPr="000D51F8">
        <w:rPr>
          <w:rFonts w:ascii="Calibri" w:hAnsi="Calibri" w:cs="Calibri"/>
        </w:rPr>
        <w:t xml:space="preserve"> Specifically, for progressive supranuclear palsy we used the staging by Kovacs et al.,</w:t>
      </w:r>
      <w:r w:rsidR="000D51F8" w:rsidRPr="000D51F8">
        <w:rPr>
          <w:rFonts w:ascii="Calibri" w:hAnsi="Calibri" w:cs="Calibri"/>
          <w:vertAlign w:val="superscript"/>
        </w:rPr>
        <w:t>2</w:t>
      </w:r>
      <w:r w:rsidRPr="000D51F8">
        <w:rPr>
          <w:rFonts w:ascii="Calibri" w:hAnsi="Calibri" w:cs="Calibri"/>
        </w:rPr>
        <w:t xml:space="preserve"> for Parkinson’s disease the Braak staging system,</w:t>
      </w:r>
      <w:r w:rsidR="000D51F8" w:rsidRPr="000D51F8">
        <w:rPr>
          <w:rFonts w:ascii="Calibri" w:hAnsi="Calibri" w:cs="Calibri"/>
          <w:vertAlign w:val="superscript"/>
        </w:rPr>
        <w:t>3</w:t>
      </w:r>
      <w:r w:rsidRPr="000D51F8">
        <w:rPr>
          <w:rFonts w:ascii="Calibri" w:hAnsi="Calibri" w:cs="Calibri"/>
        </w:rPr>
        <w:t xml:space="preserve"> for Alzheimer’s disease the ABC score proposed by the National </w:t>
      </w:r>
      <w:proofErr w:type="spellStart"/>
      <w:r w:rsidRPr="000D51F8">
        <w:rPr>
          <w:rFonts w:ascii="Calibri" w:hAnsi="Calibri" w:cs="Calibri"/>
        </w:rPr>
        <w:t>Insititute</w:t>
      </w:r>
      <w:proofErr w:type="spellEnd"/>
      <w:r w:rsidRPr="000D51F8">
        <w:rPr>
          <w:rFonts w:ascii="Calibri" w:hAnsi="Calibri" w:cs="Calibri"/>
        </w:rPr>
        <w:t xml:space="preserve"> on Aging-Alzheimer´s Association</w:t>
      </w:r>
      <w:r w:rsidR="000D51F8" w:rsidRPr="000D51F8">
        <w:rPr>
          <w:rFonts w:ascii="Calibri" w:hAnsi="Calibri" w:cs="Calibri"/>
          <w:vertAlign w:val="superscript"/>
        </w:rPr>
        <w:t>4</w:t>
      </w:r>
      <w:r w:rsidRPr="000D51F8">
        <w:rPr>
          <w:rFonts w:ascii="Calibri" w:hAnsi="Calibri" w:cs="Calibri"/>
        </w:rPr>
        <w:t xml:space="preserve"> and for the limbic-predominant age-related TDP-43 the LATE staging.</w:t>
      </w:r>
      <w:r w:rsidR="000D51F8" w:rsidRPr="000D51F8">
        <w:rPr>
          <w:rFonts w:ascii="Calibri" w:hAnsi="Calibri" w:cs="Calibri"/>
          <w:vertAlign w:val="superscript"/>
        </w:rPr>
        <w:t>5</w:t>
      </w:r>
    </w:p>
    <w:p w14:paraId="2D95F2C1" w14:textId="77777777" w:rsidR="000D51F8" w:rsidRPr="000D51F8" w:rsidRDefault="000D51F8" w:rsidP="00D43176">
      <w:pPr>
        <w:tabs>
          <w:tab w:val="left" w:pos="2730"/>
        </w:tabs>
        <w:spacing w:line="360" w:lineRule="auto"/>
        <w:rPr>
          <w:rFonts w:ascii="Calibri" w:hAnsi="Calibri" w:cs="Calibri"/>
          <w:vertAlign w:val="superscript"/>
        </w:rPr>
      </w:pPr>
    </w:p>
    <w:p w14:paraId="38F295F6" w14:textId="3F5A1381" w:rsidR="000D51F8" w:rsidRPr="000D51F8" w:rsidRDefault="000D51F8" w:rsidP="00D43176">
      <w:pPr>
        <w:tabs>
          <w:tab w:val="left" w:pos="2730"/>
        </w:tabs>
        <w:spacing w:line="360" w:lineRule="auto"/>
        <w:rPr>
          <w:rFonts w:ascii="Calibri" w:hAnsi="Calibri" w:cs="Calibri"/>
          <w:b/>
          <w:bCs/>
        </w:rPr>
      </w:pPr>
      <w:r w:rsidRPr="000D51F8">
        <w:rPr>
          <w:rFonts w:ascii="Calibri" w:hAnsi="Calibri" w:cs="Calibri"/>
          <w:b/>
          <w:bCs/>
        </w:rPr>
        <w:t>REFERENCES</w:t>
      </w:r>
    </w:p>
    <w:p w14:paraId="2344D748" w14:textId="77777777" w:rsidR="00D43176" w:rsidRPr="000D51F8" w:rsidRDefault="00D43176" w:rsidP="00D43176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D51F8">
        <w:rPr>
          <w:rFonts w:ascii="Calibri" w:hAnsi="Calibri" w:cs="Calibri"/>
        </w:rPr>
        <w:t xml:space="preserve">Aldecoa I, Barroeta I, Carroll SL, et al. Down Syndrome Biobank Consortium: A perspective. </w:t>
      </w:r>
      <w:proofErr w:type="spellStart"/>
      <w:r w:rsidRPr="000D51F8">
        <w:rPr>
          <w:rFonts w:ascii="Calibri" w:hAnsi="Calibri" w:cs="Calibri"/>
          <w:i/>
          <w:iCs/>
        </w:rPr>
        <w:t>Alzheimers</w:t>
      </w:r>
      <w:proofErr w:type="spellEnd"/>
      <w:r w:rsidRPr="000D51F8">
        <w:rPr>
          <w:rFonts w:ascii="Calibri" w:hAnsi="Calibri" w:cs="Calibri"/>
          <w:i/>
          <w:iCs/>
        </w:rPr>
        <w:t xml:space="preserve"> Dement</w:t>
      </w:r>
      <w:r w:rsidRPr="000D51F8">
        <w:rPr>
          <w:rFonts w:ascii="Calibri" w:hAnsi="Calibri" w:cs="Calibri"/>
        </w:rPr>
        <w:t xml:space="preserve">. 2024;20(3):2262-2272. </w:t>
      </w:r>
    </w:p>
    <w:p w14:paraId="23039F87" w14:textId="77777777" w:rsidR="00D43176" w:rsidRPr="000D51F8" w:rsidRDefault="00D43176" w:rsidP="00D43176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D51F8">
        <w:rPr>
          <w:rFonts w:ascii="Calibri" w:hAnsi="Calibri" w:cs="Calibri"/>
        </w:rPr>
        <w:t xml:space="preserve">Kovacs GG, Lukic MJ, Irwin DJ, et al. Distribution patterns of tau pathology in progressive supranuclear palsy. </w:t>
      </w:r>
      <w:r w:rsidRPr="000D51F8">
        <w:rPr>
          <w:rFonts w:ascii="Calibri" w:hAnsi="Calibri" w:cs="Calibri"/>
          <w:i/>
          <w:iCs/>
        </w:rPr>
        <w:t xml:space="preserve">Acta </w:t>
      </w:r>
      <w:proofErr w:type="spellStart"/>
      <w:r w:rsidRPr="000D51F8">
        <w:rPr>
          <w:rFonts w:ascii="Calibri" w:hAnsi="Calibri" w:cs="Calibri"/>
          <w:i/>
          <w:iCs/>
        </w:rPr>
        <w:t>Neuropathol</w:t>
      </w:r>
      <w:proofErr w:type="spellEnd"/>
      <w:r w:rsidRPr="000D51F8">
        <w:rPr>
          <w:rFonts w:ascii="Calibri" w:hAnsi="Calibri" w:cs="Calibri"/>
        </w:rPr>
        <w:t xml:space="preserve">. 2020;140(2):99-119. </w:t>
      </w:r>
    </w:p>
    <w:p w14:paraId="5D0BC4A0" w14:textId="77777777" w:rsidR="00D43176" w:rsidRPr="000D51F8" w:rsidRDefault="00D43176" w:rsidP="00D43176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D51F8">
        <w:rPr>
          <w:rFonts w:ascii="Calibri" w:hAnsi="Calibri" w:cs="Calibri"/>
        </w:rPr>
        <w:t xml:space="preserve">Braak H, Del </w:t>
      </w:r>
      <w:proofErr w:type="spellStart"/>
      <w:r w:rsidRPr="000D51F8">
        <w:rPr>
          <w:rFonts w:ascii="Calibri" w:hAnsi="Calibri" w:cs="Calibri"/>
        </w:rPr>
        <w:t>Tredici</w:t>
      </w:r>
      <w:proofErr w:type="spellEnd"/>
      <w:r w:rsidRPr="000D51F8">
        <w:rPr>
          <w:rFonts w:ascii="Calibri" w:hAnsi="Calibri" w:cs="Calibri"/>
        </w:rPr>
        <w:t xml:space="preserve"> K, </w:t>
      </w:r>
      <w:proofErr w:type="spellStart"/>
      <w:r w:rsidRPr="000D51F8">
        <w:rPr>
          <w:rFonts w:ascii="Calibri" w:hAnsi="Calibri" w:cs="Calibri"/>
        </w:rPr>
        <w:t>Rüb</w:t>
      </w:r>
      <w:proofErr w:type="spellEnd"/>
      <w:r w:rsidRPr="000D51F8">
        <w:rPr>
          <w:rFonts w:ascii="Calibri" w:hAnsi="Calibri" w:cs="Calibri"/>
        </w:rPr>
        <w:t xml:space="preserve"> U, de Vos RA, Jansen Steur EN, Braak E. Staging of brain pathology related to sporadic Parkinson's disease. </w:t>
      </w:r>
      <w:proofErr w:type="spellStart"/>
      <w:r w:rsidRPr="000D51F8">
        <w:rPr>
          <w:rFonts w:ascii="Calibri" w:hAnsi="Calibri" w:cs="Calibri"/>
          <w:i/>
          <w:iCs/>
        </w:rPr>
        <w:t>Neurobiol</w:t>
      </w:r>
      <w:proofErr w:type="spellEnd"/>
      <w:r w:rsidRPr="000D51F8">
        <w:rPr>
          <w:rFonts w:ascii="Calibri" w:hAnsi="Calibri" w:cs="Calibri"/>
          <w:i/>
          <w:iCs/>
        </w:rPr>
        <w:t xml:space="preserve"> Aging</w:t>
      </w:r>
      <w:r w:rsidRPr="000D51F8">
        <w:rPr>
          <w:rFonts w:ascii="Calibri" w:hAnsi="Calibri" w:cs="Calibri"/>
        </w:rPr>
        <w:t xml:space="preserve">. 2003;24(2):197-211. </w:t>
      </w:r>
    </w:p>
    <w:p w14:paraId="27830C03" w14:textId="77777777" w:rsidR="00D43176" w:rsidRPr="000D51F8" w:rsidRDefault="00D43176" w:rsidP="00D43176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D51F8">
        <w:rPr>
          <w:rFonts w:ascii="Calibri" w:hAnsi="Calibri" w:cs="Calibri"/>
        </w:rPr>
        <w:t xml:space="preserve">Montine TJ, Phelps CH, Beach TG, et al. National Institute on Aging-Alzheimer's Association guidelines for the neuropathologic assessment of Alzheimer's disease: a practical approach. </w:t>
      </w:r>
      <w:r w:rsidRPr="000D51F8">
        <w:rPr>
          <w:rFonts w:ascii="Calibri" w:hAnsi="Calibri" w:cs="Calibri"/>
          <w:i/>
          <w:iCs/>
        </w:rPr>
        <w:t xml:space="preserve">Acta </w:t>
      </w:r>
      <w:proofErr w:type="spellStart"/>
      <w:r w:rsidRPr="000D51F8">
        <w:rPr>
          <w:rFonts w:ascii="Calibri" w:hAnsi="Calibri" w:cs="Calibri"/>
          <w:i/>
          <w:iCs/>
        </w:rPr>
        <w:t>Neuropathol</w:t>
      </w:r>
      <w:proofErr w:type="spellEnd"/>
      <w:r w:rsidRPr="000D51F8">
        <w:rPr>
          <w:rFonts w:ascii="Calibri" w:hAnsi="Calibri" w:cs="Calibri"/>
        </w:rPr>
        <w:t xml:space="preserve">. 2012;123(1):1-11. </w:t>
      </w:r>
    </w:p>
    <w:p w14:paraId="6970996B" w14:textId="77777777" w:rsidR="00D43176" w:rsidRPr="000D51F8" w:rsidRDefault="00D43176" w:rsidP="00D43176">
      <w:pPr>
        <w:pStyle w:val="Prrafodelista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D51F8">
        <w:rPr>
          <w:rFonts w:ascii="Calibri" w:hAnsi="Calibri" w:cs="Calibri"/>
        </w:rPr>
        <w:t xml:space="preserve">Nelson PT, Lee EB, </w:t>
      </w:r>
      <w:proofErr w:type="spellStart"/>
      <w:r w:rsidRPr="000D51F8">
        <w:rPr>
          <w:rFonts w:ascii="Calibri" w:hAnsi="Calibri" w:cs="Calibri"/>
        </w:rPr>
        <w:t>Cykowski</w:t>
      </w:r>
      <w:proofErr w:type="spellEnd"/>
      <w:r w:rsidRPr="000D51F8">
        <w:rPr>
          <w:rFonts w:ascii="Calibri" w:hAnsi="Calibri" w:cs="Calibri"/>
        </w:rPr>
        <w:t xml:space="preserve"> MD, et al. LATE-NC staging in routine neuropathologic diagnosis: an update. </w:t>
      </w:r>
      <w:r w:rsidRPr="000D51F8">
        <w:rPr>
          <w:rFonts w:ascii="Calibri" w:hAnsi="Calibri" w:cs="Calibri"/>
          <w:i/>
          <w:iCs/>
        </w:rPr>
        <w:t xml:space="preserve">Acta </w:t>
      </w:r>
      <w:proofErr w:type="spellStart"/>
      <w:r w:rsidRPr="000D51F8">
        <w:rPr>
          <w:rFonts w:ascii="Calibri" w:hAnsi="Calibri" w:cs="Calibri"/>
          <w:i/>
          <w:iCs/>
        </w:rPr>
        <w:t>Neuropathol</w:t>
      </w:r>
      <w:proofErr w:type="spellEnd"/>
      <w:r w:rsidRPr="000D51F8">
        <w:rPr>
          <w:rFonts w:ascii="Calibri" w:hAnsi="Calibri" w:cs="Calibri"/>
        </w:rPr>
        <w:t xml:space="preserve">. 2023;145(2):159-173. </w:t>
      </w:r>
    </w:p>
    <w:p w14:paraId="203E590C" w14:textId="77777777" w:rsidR="00FC088A" w:rsidRDefault="00FC088A"/>
    <w:sectPr w:rsidR="00FC088A" w:rsidSect="00867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26A01"/>
    <w:multiLevelType w:val="hybridMultilevel"/>
    <w:tmpl w:val="FF063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8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76"/>
    <w:rsid w:val="00032981"/>
    <w:rsid w:val="000D51F8"/>
    <w:rsid w:val="00194521"/>
    <w:rsid w:val="001B0B5D"/>
    <w:rsid w:val="001F78AE"/>
    <w:rsid w:val="00232BDD"/>
    <w:rsid w:val="00245673"/>
    <w:rsid w:val="002551E1"/>
    <w:rsid w:val="003659DE"/>
    <w:rsid w:val="004E7B64"/>
    <w:rsid w:val="006C579A"/>
    <w:rsid w:val="007113E8"/>
    <w:rsid w:val="00792A1E"/>
    <w:rsid w:val="00867DCC"/>
    <w:rsid w:val="00871A19"/>
    <w:rsid w:val="009221E7"/>
    <w:rsid w:val="00953B3B"/>
    <w:rsid w:val="00A37D80"/>
    <w:rsid w:val="00AF0789"/>
    <w:rsid w:val="00BB14D3"/>
    <w:rsid w:val="00BC1EC5"/>
    <w:rsid w:val="00CD4169"/>
    <w:rsid w:val="00D43176"/>
    <w:rsid w:val="00D925E9"/>
    <w:rsid w:val="00DF477C"/>
    <w:rsid w:val="00E70DBD"/>
    <w:rsid w:val="00EC0D37"/>
    <w:rsid w:val="00EF2F81"/>
    <w:rsid w:val="00F14135"/>
    <w:rsid w:val="00FC088A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B9E3"/>
  <w15:chartTrackingRefBased/>
  <w15:docId w15:val="{1DA970A9-248F-49FB-9B88-A9B00CA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76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D43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3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3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3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3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3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3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3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317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317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317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317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317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317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317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317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317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43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317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3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317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4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317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431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31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3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317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43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PAINOUS, CELIA (ICN)</dc:creator>
  <cp:keywords/>
  <dc:description/>
  <cp:lastModifiedBy>PAINOUS, CELIA (ICN)</cp:lastModifiedBy>
  <cp:revision>2</cp:revision>
  <dcterms:created xsi:type="dcterms:W3CDTF">2025-12-13T12:19:00Z</dcterms:created>
  <dcterms:modified xsi:type="dcterms:W3CDTF">2025-12-26T13:46:00Z</dcterms:modified>
</cp:coreProperties>
</file>