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20069" w:type="dxa"/>
        <w:tblLayout w:type="fixed"/>
        <w:tblLook w:val="04A0" w:firstRow="1" w:lastRow="0" w:firstColumn="1" w:lastColumn="0" w:noHBand="0" w:noVBand="1"/>
      </w:tblPr>
      <w:tblGrid>
        <w:gridCol w:w="1094"/>
        <w:gridCol w:w="452"/>
        <w:gridCol w:w="619"/>
        <w:gridCol w:w="619"/>
        <w:gridCol w:w="737"/>
        <w:gridCol w:w="650"/>
        <w:gridCol w:w="782"/>
        <w:gridCol w:w="867"/>
        <w:gridCol w:w="1444"/>
        <w:gridCol w:w="781"/>
        <w:gridCol w:w="1021"/>
        <w:gridCol w:w="812"/>
        <w:gridCol w:w="781"/>
        <w:gridCol w:w="570"/>
        <w:gridCol w:w="948"/>
        <w:gridCol w:w="774"/>
        <w:gridCol w:w="855"/>
        <w:gridCol w:w="946"/>
        <w:gridCol w:w="787"/>
        <w:gridCol w:w="656"/>
        <w:gridCol w:w="861"/>
        <w:gridCol w:w="576"/>
        <w:gridCol w:w="476"/>
        <w:gridCol w:w="508"/>
        <w:gridCol w:w="688"/>
        <w:gridCol w:w="765"/>
      </w:tblGrid>
      <w:tr w:rsidR="003337AE" w:rsidRPr="00C33DC6" w14:paraId="0FA125FF" w14:textId="77777777" w:rsidTr="003337AE">
        <w:trPr>
          <w:trHeight w:val="480"/>
        </w:trPr>
        <w:tc>
          <w:tcPr>
            <w:tcW w:w="1094" w:type="dxa"/>
            <w:hideMark/>
          </w:tcPr>
          <w:p w14:paraId="44235773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Study (Author name) year</w:t>
            </w:r>
          </w:p>
        </w:tc>
        <w:tc>
          <w:tcPr>
            <w:tcW w:w="452" w:type="dxa"/>
            <w:hideMark/>
          </w:tcPr>
          <w:p w14:paraId="1ADE9F29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Year</w:t>
            </w:r>
          </w:p>
        </w:tc>
        <w:tc>
          <w:tcPr>
            <w:tcW w:w="619" w:type="dxa"/>
            <w:hideMark/>
          </w:tcPr>
          <w:p w14:paraId="698CAD33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Country</w:t>
            </w:r>
          </w:p>
        </w:tc>
        <w:tc>
          <w:tcPr>
            <w:tcW w:w="619" w:type="dxa"/>
            <w:hideMark/>
          </w:tcPr>
          <w:p w14:paraId="50471F71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Journal, Country</w:t>
            </w:r>
          </w:p>
        </w:tc>
        <w:tc>
          <w:tcPr>
            <w:tcW w:w="737" w:type="dxa"/>
            <w:hideMark/>
          </w:tcPr>
          <w:p w14:paraId="538E0CB7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Population</w:t>
            </w:r>
          </w:p>
        </w:tc>
        <w:tc>
          <w:tcPr>
            <w:tcW w:w="650" w:type="dxa"/>
            <w:hideMark/>
          </w:tcPr>
          <w:p w14:paraId="0B8A9A15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Staging </w:t>
            </w:r>
          </w:p>
        </w:tc>
        <w:tc>
          <w:tcPr>
            <w:tcW w:w="782" w:type="dxa"/>
            <w:hideMark/>
          </w:tcPr>
          <w:p w14:paraId="5F45C3AF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Mean age</w:t>
            </w:r>
          </w:p>
        </w:tc>
        <w:tc>
          <w:tcPr>
            <w:tcW w:w="867" w:type="dxa"/>
            <w:hideMark/>
          </w:tcPr>
          <w:p w14:paraId="12710949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Gender (male/female)</w:t>
            </w:r>
          </w:p>
        </w:tc>
        <w:tc>
          <w:tcPr>
            <w:tcW w:w="1444" w:type="dxa"/>
            <w:hideMark/>
          </w:tcPr>
          <w:p w14:paraId="157E00E6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CTRI number </w:t>
            </w:r>
          </w:p>
        </w:tc>
        <w:tc>
          <w:tcPr>
            <w:tcW w:w="781" w:type="dxa"/>
            <w:hideMark/>
          </w:tcPr>
          <w:p w14:paraId="1DF5470E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Type of study</w:t>
            </w:r>
          </w:p>
        </w:tc>
        <w:tc>
          <w:tcPr>
            <w:tcW w:w="1021" w:type="dxa"/>
            <w:hideMark/>
          </w:tcPr>
          <w:p w14:paraId="65B3B335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Intervention</w:t>
            </w:r>
          </w:p>
        </w:tc>
        <w:tc>
          <w:tcPr>
            <w:tcW w:w="812" w:type="dxa"/>
            <w:hideMark/>
          </w:tcPr>
          <w:p w14:paraId="39EEF144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Comparator</w:t>
            </w:r>
          </w:p>
        </w:tc>
        <w:tc>
          <w:tcPr>
            <w:tcW w:w="781" w:type="dxa"/>
            <w:hideMark/>
          </w:tcPr>
          <w:p w14:paraId="1EAA7E98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Duration</w:t>
            </w:r>
          </w:p>
        </w:tc>
        <w:tc>
          <w:tcPr>
            <w:tcW w:w="570" w:type="dxa"/>
            <w:hideMark/>
          </w:tcPr>
          <w:p w14:paraId="0DC74C3D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Sample size</w:t>
            </w:r>
          </w:p>
        </w:tc>
        <w:tc>
          <w:tcPr>
            <w:tcW w:w="948" w:type="dxa"/>
            <w:hideMark/>
          </w:tcPr>
          <w:p w14:paraId="31C46A6C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Randomization y/N</w:t>
            </w:r>
          </w:p>
        </w:tc>
        <w:tc>
          <w:tcPr>
            <w:tcW w:w="774" w:type="dxa"/>
            <w:hideMark/>
          </w:tcPr>
          <w:p w14:paraId="573375CB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Blinding </w:t>
            </w:r>
          </w:p>
        </w:tc>
        <w:tc>
          <w:tcPr>
            <w:tcW w:w="855" w:type="dxa"/>
            <w:hideMark/>
          </w:tcPr>
          <w:p w14:paraId="6C3ACE4D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Dose </w:t>
            </w:r>
          </w:p>
        </w:tc>
        <w:tc>
          <w:tcPr>
            <w:tcW w:w="946" w:type="dxa"/>
            <w:hideMark/>
          </w:tcPr>
          <w:p w14:paraId="27094CD8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Formulation</w:t>
            </w:r>
          </w:p>
        </w:tc>
        <w:tc>
          <w:tcPr>
            <w:tcW w:w="787" w:type="dxa"/>
            <w:hideMark/>
          </w:tcPr>
          <w:p w14:paraId="2AD5D176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Outcome assessed </w:t>
            </w:r>
          </w:p>
        </w:tc>
        <w:tc>
          <w:tcPr>
            <w:tcW w:w="656" w:type="dxa"/>
            <w:hideMark/>
          </w:tcPr>
          <w:p w14:paraId="67D17149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Pain levels (VAS)</w:t>
            </w:r>
          </w:p>
        </w:tc>
        <w:tc>
          <w:tcPr>
            <w:tcW w:w="861" w:type="dxa"/>
            <w:hideMark/>
          </w:tcPr>
          <w:p w14:paraId="68F3DA0E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inflammation</w:t>
            </w:r>
          </w:p>
        </w:tc>
        <w:tc>
          <w:tcPr>
            <w:tcW w:w="576" w:type="dxa"/>
            <w:hideMark/>
          </w:tcPr>
          <w:p w14:paraId="6E01316F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redness</w:t>
            </w:r>
          </w:p>
        </w:tc>
        <w:tc>
          <w:tcPr>
            <w:tcW w:w="476" w:type="dxa"/>
            <w:hideMark/>
          </w:tcPr>
          <w:p w14:paraId="3ED2742C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effect size </w:t>
            </w:r>
          </w:p>
        </w:tc>
        <w:tc>
          <w:tcPr>
            <w:tcW w:w="508" w:type="dxa"/>
            <w:hideMark/>
          </w:tcPr>
          <w:p w14:paraId="2ABF97C6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follow up </w:t>
            </w:r>
          </w:p>
        </w:tc>
        <w:tc>
          <w:tcPr>
            <w:tcW w:w="688" w:type="dxa"/>
            <w:hideMark/>
          </w:tcPr>
          <w:p w14:paraId="132E4DF7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adverse effects </w:t>
            </w:r>
          </w:p>
        </w:tc>
        <w:tc>
          <w:tcPr>
            <w:tcW w:w="765" w:type="dxa"/>
            <w:hideMark/>
          </w:tcPr>
          <w:p w14:paraId="7271B7B2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Grade</w:t>
            </w:r>
          </w:p>
        </w:tc>
      </w:tr>
      <w:tr w:rsidR="003337AE" w:rsidRPr="00C33DC6" w14:paraId="734D4385" w14:textId="77777777" w:rsidTr="003337AE">
        <w:trPr>
          <w:trHeight w:val="1500"/>
        </w:trPr>
        <w:tc>
          <w:tcPr>
            <w:tcW w:w="1094" w:type="dxa"/>
            <w:hideMark/>
          </w:tcPr>
          <w:p w14:paraId="343B648E" w14:textId="6B9C3542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proofErr w:type="spellStart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Delavarian</w:t>
            </w:r>
            <w:proofErr w:type="spellEnd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 Z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 et al 2019</w:t>
            </w:r>
          </w:p>
        </w:tc>
        <w:tc>
          <w:tcPr>
            <w:tcW w:w="452" w:type="dxa"/>
            <w:hideMark/>
          </w:tcPr>
          <w:p w14:paraId="658D68E9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2018</w:t>
            </w:r>
          </w:p>
        </w:tc>
        <w:tc>
          <w:tcPr>
            <w:tcW w:w="619" w:type="dxa"/>
            <w:hideMark/>
          </w:tcPr>
          <w:p w14:paraId="7CFE9DDD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Iran </w:t>
            </w:r>
          </w:p>
        </w:tc>
        <w:tc>
          <w:tcPr>
            <w:tcW w:w="619" w:type="dxa"/>
            <w:hideMark/>
          </w:tcPr>
          <w:p w14:paraId="13BC5CDF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</w:p>
        </w:tc>
        <w:tc>
          <w:tcPr>
            <w:tcW w:w="737" w:type="dxa"/>
            <w:hideMark/>
          </w:tcPr>
          <w:p w14:paraId="3C438910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32</w:t>
            </w:r>
          </w:p>
        </w:tc>
        <w:tc>
          <w:tcPr>
            <w:tcW w:w="650" w:type="dxa"/>
            <w:hideMark/>
          </w:tcPr>
          <w:p w14:paraId="05EE118B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</w:p>
        </w:tc>
        <w:tc>
          <w:tcPr>
            <w:tcW w:w="782" w:type="dxa"/>
            <w:hideMark/>
          </w:tcPr>
          <w:p w14:paraId="1923B619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62.18+15.07 (Study) 55.87+15.33 (Control)</w:t>
            </w:r>
          </w:p>
        </w:tc>
        <w:tc>
          <w:tcPr>
            <w:tcW w:w="867" w:type="dxa"/>
            <w:hideMark/>
          </w:tcPr>
          <w:p w14:paraId="0A0DA431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19/13</w:t>
            </w:r>
          </w:p>
        </w:tc>
        <w:tc>
          <w:tcPr>
            <w:tcW w:w="1444" w:type="dxa"/>
            <w:hideMark/>
          </w:tcPr>
          <w:p w14:paraId="4860ADBD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</w:p>
        </w:tc>
        <w:tc>
          <w:tcPr>
            <w:tcW w:w="781" w:type="dxa"/>
            <w:hideMark/>
          </w:tcPr>
          <w:p w14:paraId="3FF5FF81" w14:textId="77777777" w:rsidR="003337AE" w:rsidRPr="00C33DC6" w:rsidRDefault="003337AE" w:rsidP="00C33DC6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Double-blind randomized clinical trial </w:t>
            </w:r>
          </w:p>
        </w:tc>
        <w:tc>
          <w:tcPr>
            <w:tcW w:w="1021" w:type="dxa"/>
            <w:hideMark/>
          </w:tcPr>
          <w:p w14:paraId="5B57DB84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Oral nanocurcumin (</w:t>
            </w:r>
            <w:proofErr w:type="spellStart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SinaCurcumin</w:t>
            </w:r>
            <w:proofErr w:type="spellEnd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®) at a dose of 80 mg/day</w:t>
            </w:r>
          </w:p>
        </w:tc>
        <w:tc>
          <w:tcPr>
            <w:tcW w:w="812" w:type="dxa"/>
            <w:hideMark/>
          </w:tcPr>
          <w:p w14:paraId="548D471F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Placebo tablets containing lactose</w:t>
            </w:r>
          </w:p>
        </w:tc>
        <w:tc>
          <w:tcPr>
            <w:tcW w:w="781" w:type="dxa"/>
            <w:hideMark/>
          </w:tcPr>
          <w:p w14:paraId="4AEE46E1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7, 14, 21, 28, 35, and 42 of the radiotherapy course</w:t>
            </w:r>
          </w:p>
        </w:tc>
        <w:tc>
          <w:tcPr>
            <w:tcW w:w="570" w:type="dxa"/>
            <w:hideMark/>
          </w:tcPr>
          <w:p w14:paraId="3221FEAE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15 - study and 14- Control </w:t>
            </w:r>
          </w:p>
        </w:tc>
        <w:tc>
          <w:tcPr>
            <w:tcW w:w="948" w:type="dxa"/>
            <w:hideMark/>
          </w:tcPr>
          <w:p w14:paraId="5D3423FD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Y</w:t>
            </w:r>
          </w:p>
        </w:tc>
        <w:tc>
          <w:tcPr>
            <w:tcW w:w="774" w:type="dxa"/>
            <w:hideMark/>
          </w:tcPr>
          <w:p w14:paraId="34558564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both practitioners and patients were unaware of the medications used</w:t>
            </w:r>
          </w:p>
        </w:tc>
        <w:tc>
          <w:tcPr>
            <w:tcW w:w="855" w:type="dxa"/>
            <w:hideMark/>
          </w:tcPr>
          <w:p w14:paraId="4FEB170F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80 mg/day of nanocurcumin</w:t>
            </w:r>
          </w:p>
        </w:tc>
        <w:tc>
          <w:tcPr>
            <w:tcW w:w="946" w:type="dxa"/>
            <w:hideMark/>
          </w:tcPr>
          <w:p w14:paraId="08E06A1A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proofErr w:type="spellStart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Nanomicelles</w:t>
            </w:r>
            <w:proofErr w:type="spellEnd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 of curcumin, specifically </w:t>
            </w:r>
            <w:proofErr w:type="spellStart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SinaCurcumin</w:t>
            </w:r>
            <w:proofErr w:type="spellEnd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®</w:t>
            </w:r>
          </w:p>
        </w:tc>
        <w:tc>
          <w:tcPr>
            <w:tcW w:w="787" w:type="dxa"/>
            <w:hideMark/>
          </w:tcPr>
          <w:p w14:paraId="24531E25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Severity of oral mucositis (OM) and side effects</w:t>
            </w:r>
          </w:p>
        </w:tc>
        <w:tc>
          <w:tcPr>
            <w:tcW w:w="656" w:type="dxa"/>
            <w:hideMark/>
          </w:tcPr>
          <w:p w14:paraId="23B83BD9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</w:p>
        </w:tc>
        <w:tc>
          <w:tcPr>
            <w:tcW w:w="861" w:type="dxa"/>
            <w:hideMark/>
          </w:tcPr>
          <w:p w14:paraId="6DDCB577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GB"/>
                <w14:ligatures w14:val="none"/>
              </w:rPr>
            </w:pPr>
          </w:p>
        </w:tc>
        <w:tc>
          <w:tcPr>
            <w:tcW w:w="576" w:type="dxa"/>
            <w:hideMark/>
          </w:tcPr>
          <w:p w14:paraId="472A9AEE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GB"/>
                <w14:ligatures w14:val="none"/>
              </w:rPr>
            </w:pPr>
          </w:p>
        </w:tc>
        <w:tc>
          <w:tcPr>
            <w:tcW w:w="476" w:type="dxa"/>
            <w:hideMark/>
          </w:tcPr>
          <w:p w14:paraId="48866A50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GB"/>
                <w14:ligatures w14:val="none"/>
              </w:rPr>
            </w:pPr>
          </w:p>
        </w:tc>
        <w:tc>
          <w:tcPr>
            <w:tcW w:w="508" w:type="dxa"/>
            <w:hideMark/>
          </w:tcPr>
          <w:p w14:paraId="67A94E56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GB"/>
                <w14:ligatures w14:val="none"/>
              </w:rPr>
            </w:pPr>
          </w:p>
        </w:tc>
        <w:tc>
          <w:tcPr>
            <w:tcW w:w="688" w:type="dxa"/>
            <w:hideMark/>
          </w:tcPr>
          <w:p w14:paraId="652F19D3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No significant changes </w:t>
            </w:r>
          </w:p>
        </w:tc>
        <w:tc>
          <w:tcPr>
            <w:tcW w:w="765" w:type="dxa"/>
            <w:hideMark/>
          </w:tcPr>
          <w:p w14:paraId="5AFE92A9" w14:textId="0B27434D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Grade 0 :  No mucositis, Grade 1: Erythema, Grade 2: 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Patchy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 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pseudo membrane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 ( &lt;1.5cmin </w:t>
            </w:r>
            <w:proofErr w:type="spellStart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dia</w:t>
            </w:r>
            <w:proofErr w:type="spellEnd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, 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non-contagious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), Grade 3: 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Confluent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 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pseudo membrane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 (&gt;1.5 cm), Grade 4: Necrosis or deep 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ulceration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 </w:t>
            </w:r>
          </w:p>
        </w:tc>
      </w:tr>
      <w:tr w:rsidR="003337AE" w:rsidRPr="00C33DC6" w14:paraId="5EBC5FFC" w14:textId="77777777" w:rsidTr="003337AE">
        <w:trPr>
          <w:trHeight w:val="1760"/>
        </w:trPr>
        <w:tc>
          <w:tcPr>
            <w:tcW w:w="1094" w:type="dxa"/>
            <w:hideMark/>
          </w:tcPr>
          <w:p w14:paraId="76243542" w14:textId="250B56AF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Ramezani V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 et al 2023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.</w:t>
            </w:r>
          </w:p>
        </w:tc>
        <w:tc>
          <w:tcPr>
            <w:tcW w:w="452" w:type="dxa"/>
            <w:hideMark/>
          </w:tcPr>
          <w:p w14:paraId="661C0D0D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2023</w:t>
            </w:r>
          </w:p>
        </w:tc>
        <w:tc>
          <w:tcPr>
            <w:tcW w:w="619" w:type="dxa"/>
            <w:hideMark/>
          </w:tcPr>
          <w:p w14:paraId="5D2D9119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Iran </w:t>
            </w:r>
          </w:p>
        </w:tc>
        <w:tc>
          <w:tcPr>
            <w:tcW w:w="619" w:type="dxa"/>
            <w:hideMark/>
          </w:tcPr>
          <w:p w14:paraId="66F96E19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</w:p>
        </w:tc>
        <w:tc>
          <w:tcPr>
            <w:tcW w:w="737" w:type="dxa"/>
            <w:hideMark/>
          </w:tcPr>
          <w:p w14:paraId="0A0196A4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45</w:t>
            </w:r>
          </w:p>
        </w:tc>
        <w:tc>
          <w:tcPr>
            <w:tcW w:w="650" w:type="dxa"/>
            <w:hideMark/>
          </w:tcPr>
          <w:p w14:paraId="79FCD815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Patients with grades 1 to 3 of radiation-induced oral mucositis</w:t>
            </w:r>
          </w:p>
        </w:tc>
        <w:tc>
          <w:tcPr>
            <w:tcW w:w="782" w:type="dxa"/>
            <w:hideMark/>
          </w:tcPr>
          <w:p w14:paraId="73FA9AE8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53.36 years (SD: 15.99)</w:t>
            </w:r>
          </w:p>
        </w:tc>
        <w:tc>
          <w:tcPr>
            <w:tcW w:w="867" w:type="dxa"/>
            <w:hideMark/>
          </w:tcPr>
          <w:p w14:paraId="7015AB18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23 men and 14 women </w:t>
            </w:r>
          </w:p>
        </w:tc>
        <w:tc>
          <w:tcPr>
            <w:tcW w:w="1444" w:type="dxa"/>
            <w:hideMark/>
          </w:tcPr>
          <w:p w14:paraId="0A519874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IRCT20190810044500N17</w:t>
            </w:r>
          </w:p>
        </w:tc>
        <w:tc>
          <w:tcPr>
            <w:tcW w:w="781" w:type="dxa"/>
            <w:hideMark/>
          </w:tcPr>
          <w:p w14:paraId="775260CC" w14:textId="77777777" w:rsidR="003337AE" w:rsidRPr="00C33DC6" w:rsidRDefault="003337AE" w:rsidP="00C33DC6">
            <w:pPr>
              <w:spacing w:after="24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Randomized controlled trial 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br/>
            </w:r>
          </w:p>
        </w:tc>
        <w:tc>
          <w:tcPr>
            <w:tcW w:w="1021" w:type="dxa"/>
            <w:hideMark/>
          </w:tcPr>
          <w:p w14:paraId="2E5856F7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Curcumin mouthwash (0.1% w/v) and curcumin-</w:t>
            </w:r>
            <w:proofErr w:type="spellStart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nanocapsule</w:t>
            </w:r>
            <w:proofErr w:type="spellEnd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 (40 mg curcuminoids) </w:t>
            </w:r>
          </w:p>
        </w:tc>
        <w:tc>
          <w:tcPr>
            <w:tcW w:w="812" w:type="dxa"/>
            <w:hideMark/>
          </w:tcPr>
          <w:p w14:paraId="0E0D07F1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Placebo mouthwash</w:t>
            </w:r>
          </w:p>
        </w:tc>
        <w:tc>
          <w:tcPr>
            <w:tcW w:w="781" w:type="dxa"/>
            <w:hideMark/>
          </w:tcPr>
          <w:p w14:paraId="24F66399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3 weeks (follow-up evaluations conducted weekly)</w:t>
            </w:r>
          </w:p>
        </w:tc>
        <w:tc>
          <w:tcPr>
            <w:tcW w:w="570" w:type="dxa"/>
            <w:hideMark/>
          </w:tcPr>
          <w:p w14:paraId="1B579D28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15 per group </w:t>
            </w:r>
          </w:p>
        </w:tc>
        <w:tc>
          <w:tcPr>
            <w:tcW w:w="948" w:type="dxa"/>
            <w:hideMark/>
          </w:tcPr>
          <w:p w14:paraId="0B34C055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Y</w:t>
            </w:r>
          </w:p>
        </w:tc>
        <w:tc>
          <w:tcPr>
            <w:tcW w:w="774" w:type="dxa"/>
            <w:hideMark/>
          </w:tcPr>
          <w:p w14:paraId="01C32438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patients were unaware of the treatment</w:t>
            </w:r>
          </w:p>
        </w:tc>
        <w:tc>
          <w:tcPr>
            <w:tcW w:w="855" w:type="dxa"/>
            <w:hideMark/>
          </w:tcPr>
          <w:p w14:paraId="365139AF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Curcumin mouthwash (0.1% w/v) and curcumin-</w:t>
            </w:r>
            <w:proofErr w:type="spellStart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nanocapsule</w:t>
            </w:r>
            <w:proofErr w:type="spellEnd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 (40 mg) </w:t>
            </w:r>
          </w:p>
        </w:tc>
        <w:tc>
          <w:tcPr>
            <w:tcW w:w="946" w:type="dxa"/>
            <w:hideMark/>
          </w:tcPr>
          <w:p w14:paraId="651EB109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Oral and topical formulations </w:t>
            </w:r>
          </w:p>
        </w:tc>
        <w:tc>
          <w:tcPr>
            <w:tcW w:w="787" w:type="dxa"/>
            <w:hideMark/>
          </w:tcPr>
          <w:p w14:paraId="657A9B88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Severity of oral mucositis (OM) and pain/burning levels</w:t>
            </w:r>
          </w:p>
        </w:tc>
        <w:tc>
          <w:tcPr>
            <w:tcW w:w="656" w:type="dxa"/>
            <w:hideMark/>
          </w:tcPr>
          <w:p w14:paraId="2BAD9483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both curcumin groups compared with the </w:t>
            </w:r>
            <w:proofErr w:type="spellStart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pla</w:t>
            </w:r>
            <w:proofErr w:type="spellEnd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-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br/>
            </w:r>
            <w:proofErr w:type="spellStart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cebo</w:t>
            </w:r>
            <w:proofErr w:type="spellEnd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 group except for weeks 3 vs. 2 (P-Value = 0.81) and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br/>
              <w:t>week 1 vs. baseline (P-Value = 0.29) in the control group</w:t>
            </w:r>
          </w:p>
        </w:tc>
        <w:tc>
          <w:tcPr>
            <w:tcW w:w="861" w:type="dxa"/>
            <w:hideMark/>
          </w:tcPr>
          <w:p w14:paraId="3D2732D7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means (SD) of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br/>
              <w:t xml:space="preserve">WHO and </w:t>
            </w:r>
            <w:proofErr w:type="spellStart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NRSscales</w:t>
            </w:r>
            <w:proofErr w:type="spellEnd"/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 did not significantly differ between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br/>
              <w:t>the three groups over the weeks 1 and 2 while Both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br/>
              <w:t>WHO and NRS scales in each of the curcumin-treated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br/>
              <w:t>groups were significantly reduced at the study periods of</w:t>
            </w: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br/>
              <w:t>week 3 compared to the placebo group (P &lt; 0.001)</w:t>
            </w:r>
          </w:p>
        </w:tc>
        <w:tc>
          <w:tcPr>
            <w:tcW w:w="576" w:type="dxa"/>
            <w:hideMark/>
          </w:tcPr>
          <w:p w14:paraId="23D6465D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</w:p>
        </w:tc>
        <w:tc>
          <w:tcPr>
            <w:tcW w:w="476" w:type="dxa"/>
            <w:hideMark/>
          </w:tcPr>
          <w:p w14:paraId="6E56129B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IN" w:eastAsia="en-GB"/>
                <w14:ligatures w14:val="none"/>
              </w:rPr>
            </w:pPr>
          </w:p>
        </w:tc>
        <w:tc>
          <w:tcPr>
            <w:tcW w:w="508" w:type="dxa"/>
            <w:hideMark/>
          </w:tcPr>
          <w:p w14:paraId="7714C6AE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3 weeks </w:t>
            </w:r>
          </w:p>
        </w:tc>
        <w:tc>
          <w:tcPr>
            <w:tcW w:w="688" w:type="dxa"/>
            <w:hideMark/>
          </w:tcPr>
          <w:p w14:paraId="73170382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 xml:space="preserve">No significant changes </w:t>
            </w:r>
          </w:p>
        </w:tc>
        <w:tc>
          <w:tcPr>
            <w:tcW w:w="765" w:type="dxa"/>
            <w:hideMark/>
          </w:tcPr>
          <w:p w14:paraId="54EE8DA2" w14:textId="77777777" w:rsidR="003337AE" w:rsidRPr="00C33DC6" w:rsidRDefault="003337AE" w:rsidP="00C33DC6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</w:pPr>
            <w:r w:rsidRPr="00C33DC6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:lang w:val="en-IN" w:eastAsia="en-GB"/>
                <w14:ligatures w14:val="none"/>
              </w:rPr>
              <w:t>WHO scale</w:t>
            </w:r>
          </w:p>
        </w:tc>
      </w:tr>
    </w:tbl>
    <w:p w14:paraId="6B76BB48" w14:textId="77777777" w:rsidR="00813223" w:rsidRDefault="00813223"/>
    <w:sectPr w:rsidR="00813223" w:rsidSect="00C33DC6">
      <w:pgSz w:w="23820" w:h="168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DC6"/>
    <w:rsid w:val="00044389"/>
    <w:rsid w:val="00046EF7"/>
    <w:rsid w:val="000E2454"/>
    <w:rsid w:val="001072FA"/>
    <w:rsid w:val="00115121"/>
    <w:rsid w:val="00136E4E"/>
    <w:rsid w:val="00150701"/>
    <w:rsid w:val="00291104"/>
    <w:rsid w:val="002B2B26"/>
    <w:rsid w:val="002F5994"/>
    <w:rsid w:val="00310C74"/>
    <w:rsid w:val="003337AE"/>
    <w:rsid w:val="00366CBE"/>
    <w:rsid w:val="003C694C"/>
    <w:rsid w:val="003F46F7"/>
    <w:rsid w:val="00400022"/>
    <w:rsid w:val="0042115A"/>
    <w:rsid w:val="0042736A"/>
    <w:rsid w:val="00470409"/>
    <w:rsid w:val="004E3027"/>
    <w:rsid w:val="00561D63"/>
    <w:rsid w:val="00677BA7"/>
    <w:rsid w:val="006B216F"/>
    <w:rsid w:val="006E32DF"/>
    <w:rsid w:val="0072649E"/>
    <w:rsid w:val="00813223"/>
    <w:rsid w:val="00825966"/>
    <w:rsid w:val="008344E3"/>
    <w:rsid w:val="00841F9E"/>
    <w:rsid w:val="008656D9"/>
    <w:rsid w:val="008A6D0C"/>
    <w:rsid w:val="008B0A14"/>
    <w:rsid w:val="008C7E45"/>
    <w:rsid w:val="00950E7A"/>
    <w:rsid w:val="009A0DC9"/>
    <w:rsid w:val="00A020FF"/>
    <w:rsid w:val="00A45D82"/>
    <w:rsid w:val="00A500AE"/>
    <w:rsid w:val="00AF22F8"/>
    <w:rsid w:val="00B01B52"/>
    <w:rsid w:val="00B16DB9"/>
    <w:rsid w:val="00B25FBF"/>
    <w:rsid w:val="00B262F2"/>
    <w:rsid w:val="00B748E1"/>
    <w:rsid w:val="00B85320"/>
    <w:rsid w:val="00B85360"/>
    <w:rsid w:val="00C33DC6"/>
    <w:rsid w:val="00C650D5"/>
    <w:rsid w:val="00CA77F9"/>
    <w:rsid w:val="00CE61E9"/>
    <w:rsid w:val="00CF72E6"/>
    <w:rsid w:val="00DE097F"/>
    <w:rsid w:val="00E03A1B"/>
    <w:rsid w:val="00EF13BA"/>
    <w:rsid w:val="00F07F41"/>
    <w:rsid w:val="00F16330"/>
    <w:rsid w:val="00F16F6E"/>
    <w:rsid w:val="00F633C7"/>
    <w:rsid w:val="00F93F0F"/>
    <w:rsid w:val="00FB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8FDE92"/>
  <w15:chartTrackingRefBased/>
  <w15:docId w15:val="{53A3DF4C-14D6-024B-B68C-BF16CE860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3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3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3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3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3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3DC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3DC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3DC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3DC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3DC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3DC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3DC6"/>
    <w:rPr>
      <w:rFonts w:eastAsiaTheme="majorEastAsia" w:cstheme="majorBidi"/>
      <w:color w:val="2F5496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3DC6"/>
    <w:rPr>
      <w:rFonts w:eastAsiaTheme="majorEastAsia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3DC6"/>
    <w:rPr>
      <w:rFonts w:eastAsiaTheme="majorEastAsia" w:cstheme="majorBidi"/>
      <w:color w:val="2F5496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3DC6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3DC6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3DC6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3DC6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C33D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3DC6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3DC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3DC6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C33DC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3DC6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C33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3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3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3DC6"/>
    <w:rPr>
      <w:i/>
      <w:iCs/>
      <w:color w:val="2F5496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C33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33D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311</Words>
  <Characters>1774</Characters>
  <Application>Microsoft Office Word</Application>
  <DocSecurity>0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Monal Yuwanati</dc:creator>
  <cp:keywords/>
  <dc:description/>
  <cp:lastModifiedBy>Monal Yuwanati</cp:lastModifiedBy>
  <cp:revision>2</cp:revision>
  <dcterms:created xsi:type="dcterms:W3CDTF">2025-08-31T13:11:00Z</dcterms:created>
  <dcterms:modified xsi:type="dcterms:W3CDTF">2025-08-31T13:14:00Z</dcterms:modified>
</cp:coreProperties>
</file>