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934AB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left="-420" w:leftChars="-200" w:firstLine="0" w:firstLineChars="0"/>
        <w:textAlignment w:val="auto"/>
        <w:rPr>
          <w:rFonts w:hint="default" w:ascii="Arial" w:hAnsi="Arial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eTable 4:  Statistical results of nodal degree centrality (Dc).</w:t>
      </w:r>
      <w:r>
        <w:rPr>
          <w:rFonts w:hint="default" w:ascii="Arial" w:hAnsi="Arial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4"/>
        <w:tblW w:w="846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982"/>
        <w:gridCol w:w="1076"/>
        <w:gridCol w:w="1057"/>
        <w:gridCol w:w="952"/>
        <w:gridCol w:w="943"/>
        <w:gridCol w:w="971"/>
        <w:gridCol w:w="1200"/>
      </w:tblGrid>
      <w:tr w14:paraId="744C9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4" w:type="dxa"/>
            <w:tcBorders>
              <w:left w:val="nil"/>
              <w:right w:val="nil"/>
            </w:tcBorders>
            <w:vAlign w:val="center"/>
          </w:tcPr>
          <w:p w14:paraId="60A0C2B9">
            <w:pPr>
              <w:jc w:val="center"/>
              <w:rPr>
                <w:rFonts w:hint="default" w:ascii="Arial" w:hAnsi="Arial" w:cs="Arial" w:eastAsiaTheme="minorEastAsia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Group</w:t>
            </w:r>
          </w:p>
        </w:tc>
        <w:tc>
          <w:tcPr>
            <w:tcW w:w="982" w:type="dxa"/>
            <w:tcBorders>
              <w:left w:val="nil"/>
              <w:right w:val="nil"/>
            </w:tcBorders>
            <w:vAlign w:val="center"/>
          </w:tcPr>
          <w:p w14:paraId="4ECF102D">
            <w:pPr>
              <w:jc w:val="center"/>
              <w:rPr>
                <w:rFonts w:hint="default" w:ascii="Arial" w:hAnsi="Arial" w:cs="Arial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Band</w:t>
            </w:r>
          </w:p>
        </w:tc>
        <w:tc>
          <w:tcPr>
            <w:tcW w:w="1076" w:type="dxa"/>
            <w:tcBorders>
              <w:left w:val="nil"/>
              <w:right w:val="nil"/>
            </w:tcBorders>
            <w:vAlign w:val="center"/>
          </w:tcPr>
          <w:p w14:paraId="733E3A5A">
            <w:pPr>
              <w:jc w:val="center"/>
              <w:rPr>
                <w:rFonts w:hint="default"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Region</w:t>
            </w:r>
          </w:p>
        </w:tc>
        <w:tc>
          <w:tcPr>
            <w:tcW w:w="1057" w:type="dxa"/>
            <w:tcBorders>
              <w:left w:val="nil"/>
              <w:right w:val="nil"/>
            </w:tcBorders>
            <w:vAlign w:val="center"/>
          </w:tcPr>
          <w:p w14:paraId="37BD6C75">
            <w:pPr>
              <w:jc w:val="center"/>
              <w:rPr>
                <w:rFonts w:hint="default"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hint="default"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or </w:t>
            </w:r>
            <w:r>
              <w:rPr>
                <w:rFonts w:hint="default"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</w:t>
            </w:r>
          </w:p>
        </w:tc>
        <w:tc>
          <w:tcPr>
            <w:tcW w:w="952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04AFCC82">
            <w:pPr>
              <w:jc w:val="center"/>
              <w:rPr>
                <w:rFonts w:hint="default"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943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6270D088">
            <w:pPr>
              <w:jc w:val="center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i/>
                <w:iCs/>
                <w:color w:val="000000" w:themeColor="text1"/>
                <w:spacing w:val="0"/>
                <w:sz w:val="20"/>
                <w:szCs w:val="20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 w:themeColor="text1"/>
                <w:spacing w:val="0"/>
                <w:sz w:val="20"/>
                <w:szCs w:val="20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(fdr)</w:t>
            </w:r>
          </w:p>
        </w:tc>
        <w:tc>
          <w:tcPr>
            <w:tcW w:w="971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13413D4D">
            <w:pPr>
              <w:jc w:val="center"/>
              <w:rPr>
                <w:rFonts w:hint="default" w:ascii="Arial" w:hAnsi="Arial" w:eastAsia="Helvetica" w:cs="Arial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Arial" w:hAnsi="Arial" w:eastAsia="Helvetica" w:cs="Arial"/>
                <w:b/>
                <w:bCs/>
                <w:i/>
                <w:iCs/>
                <w:caps w:val="0"/>
                <w:color w:val="000000" w:themeColor="text1"/>
                <w:spacing w:val="0"/>
                <w:sz w:val="20"/>
                <w:szCs w:val="20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or </w:t>
            </w:r>
            <m:oMath>
              <m:acc>
                <m:accPr>
                  <m:ctrlPr>
                    <w:rPr>
                      <w:rFonts w:hint="default" w:ascii="Cambria Math" w:hAnsi="Cambria Math" w:cs="Arial"/>
                      <w:b/>
                      <w:bCs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accPr>
                <m:e>
                  <m:r>
                    <m:rPr>
                      <m:nor/>
                      <m:sty m:val="bi"/>
                    </m:rPr>
                    <w:rPr>
                      <w:rFonts w:hint="default" w:ascii="Cambria Math" w:hAnsi="Cambria Math" w:cs="Arial"/>
                      <w:b/>
                      <w:bCs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p</m:t>
                  </m:r>
                  <m:ctrlPr>
                    <w:rPr>
                      <w:rFonts w:hint="default" w:ascii="Cambria Math" w:hAnsi="Cambria Math" w:cs="Arial"/>
                      <w:b/>
                      <w:bCs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acc>
            </m:oMath>
          </w:p>
        </w:tc>
        <w:tc>
          <w:tcPr>
            <w:tcW w:w="1200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1ED3D422">
            <w:pPr>
              <w:jc w:val="center"/>
              <w:rPr>
                <w:rFonts w:hint="default" w:ascii="Cambria Math" w:hAnsi="Cambria Math" w:cs="Arial" w:eastAsiaTheme="minorEastAsia"/>
                <w:b/>
                <w:bCs/>
                <w:i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  <w:oMath/>
              </w:rPr>
            </w:pPr>
            <w:r>
              <w:rPr>
                <w:rFonts w:hint="default" w:ascii="Arial" w:hAnsi="Arial" w:cs="Arial"/>
                <w:b/>
                <w:bCs/>
                <w:i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Power</w:t>
            </w:r>
          </w:p>
        </w:tc>
      </w:tr>
      <w:tr w14:paraId="36825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left w:val="nil"/>
              <w:bottom w:val="nil"/>
              <w:right w:val="nil"/>
            </w:tcBorders>
            <w:vAlign w:val="center"/>
          </w:tcPr>
          <w:p w14:paraId="6162124B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</w:t>
            </w:r>
          </w:p>
        </w:tc>
        <w:tc>
          <w:tcPr>
            <w:tcW w:w="982" w:type="dxa"/>
            <w:tcBorders>
              <w:left w:val="nil"/>
              <w:bottom w:val="nil"/>
              <w:right w:val="nil"/>
            </w:tcBorders>
            <w:vAlign w:val="center"/>
          </w:tcPr>
          <w:p w14:paraId="3D09CEF9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Theta</w:t>
            </w:r>
          </w:p>
        </w:tc>
        <w:tc>
          <w:tcPr>
            <w:tcW w:w="1076" w:type="dxa"/>
            <w:tcBorders>
              <w:left w:val="nil"/>
              <w:bottom w:val="nil"/>
              <w:right w:val="nil"/>
            </w:tcBorders>
            <w:vAlign w:val="center"/>
          </w:tcPr>
          <w:p w14:paraId="60E98F9C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L-T</w:t>
            </w:r>
          </w:p>
        </w:tc>
        <w:tc>
          <w:tcPr>
            <w:tcW w:w="1057" w:type="dxa"/>
            <w:tcBorders>
              <w:left w:val="nil"/>
              <w:bottom w:val="nil"/>
              <w:right w:val="nil"/>
            </w:tcBorders>
            <w:vAlign w:val="center"/>
          </w:tcPr>
          <w:p w14:paraId="6AE8A9EF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i/>
                <w:i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=2.513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0769B98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0.023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08D8C98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0.049</w:t>
            </w:r>
          </w:p>
        </w:tc>
        <w:tc>
          <w:tcPr>
            <w:tcW w:w="97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6F61C9E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i/>
                <w:i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=0.592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D3B8CD7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65.9%</w:t>
            </w:r>
          </w:p>
        </w:tc>
      </w:tr>
      <w:tr w14:paraId="294D7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DD53B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059DE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9A9C2">
            <w:pPr>
              <w:pStyle w:val="2"/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7B304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33F04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98985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25701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1F309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E40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548DD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51A33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Beta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B1636">
            <w:pPr>
              <w:pStyle w:val="2"/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M-C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81E6A2">
            <w:pPr>
              <w:pStyle w:val="2"/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i/>
                <w:i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=3.026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55F23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10B15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0.029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5445D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i/>
                <w:i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=0.713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0E6DF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81.4%</w:t>
            </w:r>
          </w:p>
        </w:tc>
      </w:tr>
      <w:tr w14:paraId="36572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7EA4F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078AA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0D8D8">
            <w:pPr>
              <w:pStyle w:val="2"/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61601">
            <w:pPr>
              <w:pStyle w:val="2"/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97F5A9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DCE07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F6F51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E7140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F56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31E91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4D4DC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Delta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6C82E">
            <w:pPr>
              <w:pStyle w:val="2"/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R-F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E18082">
            <w:pPr>
              <w:pStyle w:val="2"/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i/>
                <w:i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=-2.884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88F4A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F67FF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0.025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CFA88E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i/>
                <w:i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=0.662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D1461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77.9%</w:t>
            </w:r>
          </w:p>
        </w:tc>
      </w:tr>
      <w:tr w14:paraId="4C5BE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67F8F4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66571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C3C159">
            <w:pPr>
              <w:pStyle w:val="2"/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L-O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A3D63">
            <w:pPr>
              <w:pStyle w:val="2"/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i/>
                <w:i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=-2.793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254A2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7E1F1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0.043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86AC1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i/>
                <w:i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=0.641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AB4E77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75.2%</w:t>
            </w:r>
          </w:p>
        </w:tc>
      </w:tr>
      <w:tr w14:paraId="16B32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AE84C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397314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AC95E">
            <w:pPr>
              <w:pStyle w:val="2"/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1AA239">
            <w:pPr>
              <w:pStyle w:val="2"/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088F7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0D3DA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D2098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24EBC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167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AF8320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54832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Alpha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B01FD">
            <w:pPr>
              <w:pStyle w:val="2"/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R-C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7D352">
            <w:pPr>
              <w:pStyle w:val="2"/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i/>
                <w:i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=3.583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A2341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CBE17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0.013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075B7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i/>
                <w:i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=0.822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A7F5E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92.3%</w:t>
            </w:r>
          </w:p>
        </w:tc>
      </w:tr>
      <w:tr w14:paraId="1530C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9CD72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26C3A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2FF85">
            <w:pPr>
              <w:pStyle w:val="2"/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M-C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86900F">
            <w:pPr>
              <w:pStyle w:val="2"/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i/>
                <w:i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=2.658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33CC2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0.021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028C0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0.047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6F8F19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i/>
                <w:i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=0.610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BB99C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71.0%</w:t>
            </w:r>
          </w:p>
        </w:tc>
      </w:tr>
      <w:tr w14:paraId="5BADF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C600F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577CC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2DE0FE">
            <w:pPr>
              <w:pStyle w:val="2"/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L-T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00C9F">
            <w:pPr>
              <w:pStyle w:val="2"/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i/>
                <w:i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=3.588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1227A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7986AF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83793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i/>
                <w:i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=0.823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3006C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92.4%</w:t>
            </w:r>
          </w:p>
        </w:tc>
      </w:tr>
      <w:tr w14:paraId="19580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2D273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74D8DE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0DC83">
            <w:pPr>
              <w:pStyle w:val="2"/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F85D5">
            <w:pPr>
              <w:pStyle w:val="2"/>
              <w:widowControl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C3F4E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DC0DF0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BC6ED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50469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77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C2A88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6C0AE6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Beta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2E4796">
            <w:pPr>
              <w:pStyle w:val="2"/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L-F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363C5D">
            <w:pPr>
              <w:pStyle w:val="2"/>
              <w:widowControl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i/>
                <w:i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=-2.799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22728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9694F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0.027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1FA07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i/>
                <w:i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=0.642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D0F1F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75.4%</w:t>
            </w:r>
          </w:p>
        </w:tc>
      </w:tr>
      <w:tr w14:paraId="0A41E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0B3A2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B54BFD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22E5E">
            <w:pPr>
              <w:pStyle w:val="2"/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AEFEF">
            <w:pPr>
              <w:pStyle w:val="2"/>
              <w:widowControl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7FCCA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080F2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DE81D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A591B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48B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AFFFAD0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EDC440E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Gamma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1D7BC23">
            <w:pPr>
              <w:pStyle w:val="2"/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L-C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CD8F178">
            <w:pPr>
              <w:pStyle w:val="2"/>
              <w:widowControl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i/>
                <w:i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=2.713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6DDFF78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0.018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C26043D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0.045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C8E3362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i/>
                <w:i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=0.622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A5EB256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72.8%</w:t>
            </w:r>
          </w:p>
        </w:tc>
      </w:tr>
    </w:tbl>
    <w:p w14:paraId="6E91F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i/>
          <w:iCs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(fdr)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 xml:space="preserve">FDR-corrected </w:t>
      </w:r>
      <w:r>
        <w:rPr>
          <w:rFonts w:hint="default" w:ascii="Times New Roman" w:hAnsi="Times New Roman" w:eastAsia="Helvetica" w:cs="Times New Roman"/>
          <w:b w:val="0"/>
          <w:bCs w:val="0"/>
          <w:i/>
          <w:iCs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value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. </w:t>
      </w:r>
    </w:p>
    <w:p w14:paraId="25E62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9"/>
          <w:sz w:val="20"/>
          <w:szCs w:val="2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i/>
          <w:iCs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: </w:t>
      </w:r>
      <w:r>
        <w:rPr>
          <w:rStyle w:val="6"/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Cohen’s</w:t>
      </w:r>
      <w:r>
        <w:rPr>
          <w:rStyle w:val="6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6"/>
          <w:rFonts w:hint="default" w:ascii="Times New Roman" w:hAnsi="Times New Roman" w:eastAsia="宋体" w:cs="Times New Roman"/>
          <w:b w:val="0"/>
          <w:bCs w:val="0"/>
          <w:i/>
          <w:iCs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Style w:val="6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 w14:paraId="433C8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m:oMath>
        <m:acc>
          <m:accPr>
            <m:ctrlPr>
              <w:rPr>
                <w:rFonts w:hint="default" w:ascii="Cambria Math" w:hAnsi="Cambria Math" w:cs="Times New Roman"/>
                <w:b w:val="0"/>
                <w:bCs w:val="0"/>
                <w:i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fill="FFFFFF"/>
                <w14:textFill>
                  <w14:solidFill>
                    <w14:schemeClr w14:val="tx1"/>
                  </w14:solidFill>
                </w14:textFill>
              </w:rPr>
            </m:ctrlPr>
          </m:accPr>
          <m:e>
            <m:r>
              <m:rPr>
                <m:nor/>
              </m:rPr>
              <w:rPr>
                <w:rFonts w:hint="default" w:ascii="Times New Roman" w:hAnsi="Times New Roman" w:cs="Times New Roman"/>
                <w:b w:val="0"/>
                <w:bCs w:val="0"/>
                <w:i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m:t>p</m:t>
            </m:r>
            <m:ctrlPr>
              <w:rPr>
                <w:rFonts w:hint="default" w:ascii="Cambria Math" w:hAnsi="Cambria Math" w:cs="Times New Roman"/>
                <w:b w:val="0"/>
                <w:bCs w:val="0"/>
                <w:i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fill="FFFFFF"/>
                <w14:textFill>
                  <w14:solidFill>
                    <w14:schemeClr w14:val="tx1"/>
                  </w14:solidFill>
                </w14:textFill>
              </w:rPr>
            </m:ctrlPr>
          </m:e>
        </m:acc>
      </m:oMath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: Estimated effect size in nonparametric power analysis.</w:t>
      </w:r>
    </w:p>
    <w:p w14:paraId="399B012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42501"/>
    <w:rsid w:val="1C342501"/>
    <w:rsid w:val="20061318"/>
    <w:rsid w:val="39FB0130"/>
    <w:rsid w:val="6C7C09FC"/>
    <w:rsid w:val="7D0D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2025-12-29T04:16:00Z</dcterms:created>
  <dc:creator>淇</dc:creator>
  <cp:lastModifiedBy>淇</cp:lastModifiedBy>
  <dcterms:modified xsi:type="dcterms:W3CDTF">2025-12-29T04:18:17Z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6BCDC91A96A94076BF47353869F9E270_13</vt:lpwstr>
  </property>
  <property fmtid="{D5CDD505-2E9C-101B-9397-08002B2CF9AE}" pid="4" name="KSOTemplateDocerSaveRecord">
    <vt:lpwstr>eyJoZGlkIjoiMTRlODZmNTcwMjQxMzcyYzI0NzE1ZjVjOTU4ZTVhYzciLCJ1c2VySWQiOiI0MTUzOTMyNDAifQ==</vt:lpwstr>
  </property>
</Properties>
</file>