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B24E6" w:rsidRPr="00792054" w:rsidRDefault="00CB24E6">
      <w:pPr>
        <w:rPr>
          <w:rFonts w:ascii="Times New Roman" w:hAnsi="Times New Roman" w:cs="Times New Roman"/>
        </w:rPr>
      </w:pPr>
      <w:r w:rsidRPr="00792054">
        <w:rPr>
          <w:rFonts w:ascii="Times New Roman" w:hAnsi="Times New Roman" w:cs="Times New Roman"/>
        </w:rPr>
        <w:t xml:space="preserve">Table 1: Characteristics of included studies </w:t>
      </w:r>
    </w:p>
    <w:p w:rsidR="00CB24E6" w:rsidRDefault="00CB24E6"/>
    <w:tbl>
      <w:tblPr>
        <w:tblStyle w:val="TableGrid"/>
        <w:tblW w:w="13942" w:type="dxa"/>
        <w:tblLayout w:type="fixed"/>
        <w:tblLook w:val="04A0" w:firstRow="1" w:lastRow="0" w:firstColumn="1" w:lastColumn="0" w:noHBand="0" w:noVBand="1"/>
      </w:tblPr>
      <w:tblGrid>
        <w:gridCol w:w="562"/>
        <w:gridCol w:w="777"/>
        <w:gridCol w:w="554"/>
        <w:gridCol w:w="1504"/>
        <w:gridCol w:w="851"/>
        <w:gridCol w:w="792"/>
        <w:gridCol w:w="1008"/>
        <w:gridCol w:w="1299"/>
        <w:gridCol w:w="1190"/>
        <w:gridCol w:w="1270"/>
        <w:gridCol w:w="1245"/>
        <w:gridCol w:w="807"/>
        <w:gridCol w:w="1045"/>
        <w:gridCol w:w="1038"/>
      </w:tblGrid>
      <w:tr w:rsidR="0087684A" w:rsidRPr="0087684A" w:rsidTr="00D166E8">
        <w:trPr>
          <w:trHeight w:val="315"/>
        </w:trPr>
        <w:tc>
          <w:tcPr>
            <w:tcW w:w="562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>S. No</w:t>
            </w:r>
          </w:p>
        </w:tc>
        <w:tc>
          <w:tcPr>
            <w:tcW w:w="777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>Authors</w:t>
            </w:r>
          </w:p>
        </w:tc>
        <w:tc>
          <w:tcPr>
            <w:tcW w:w="554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>Year</w:t>
            </w:r>
          </w:p>
        </w:tc>
        <w:tc>
          <w:tcPr>
            <w:tcW w:w="1504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 xml:space="preserve">Sample size </w:t>
            </w:r>
          </w:p>
        </w:tc>
        <w:tc>
          <w:tcPr>
            <w:tcW w:w="851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>OKC (S)</w:t>
            </w:r>
          </w:p>
        </w:tc>
        <w:tc>
          <w:tcPr>
            <w:tcW w:w="792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>Marker analysed</w:t>
            </w:r>
          </w:p>
        </w:tc>
        <w:tc>
          <w:tcPr>
            <w:tcW w:w="1008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>Number of Recurrence</w:t>
            </w:r>
          </w:p>
        </w:tc>
        <w:tc>
          <w:tcPr>
            <w:tcW w:w="1299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 xml:space="preserve">Marker expression (% or dichomatous) </w:t>
            </w:r>
          </w:p>
        </w:tc>
        <w:tc>
          <w:tcPr>
            <w:tcW w:w="1190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>C</w:t>
            </w: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 xml:space="preserve">yclin D expression in non- recurrent 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>OKC</w:t>
            </w:r>
          </w:p>
        </w:tc>
        <w:tc>
          <w:tcPr>
            <w:tcW w:w="1270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>Cycl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>in</w:t>
            </w: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 xml:space="preserve"> D1 exp in recurrent </w:t>
            </w:r>
          </w:p>
        </w:tc>
        <w:tc>
          <w:tcPr>
            <w:tcW w:w="1245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>Recurrence / High expression</w:t>
            </w:r>
          </w:p>
        </w:tc>
        <w:tc>
          <w:tcPr>
            <w:tcW w:w="807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>Recurrence / Low expression</w:t>
            </w:r>
          </w:p>
        </w:tc>
        <w:tc>
          <w:tcPr>
            <w:tcW w:w="1045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 xml:space="preserve">Recurrence (number) </w:t>
            </w:r>
          </w:p>
        </w:tc>
        <w:tc>
          <w:tcPr>
            <w:tcW w:w="1038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  <w:t>Follow up</w:t>
            </w:r>
          </w:p>
        </w:tc>
      </w:tr>
      <w:tr w:rsidR="0087684A" w:rsidRPr="0087684A" w:rsidTr="00D166E8">
        <w:trPr>
          <w:trHeight w:val="315"/>
        </w:trPr>
        <w:tc>
          <w:tcPr>
            <w:tcW w:w="562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1</w:t>
            </w:r>
          </w:p>
        </w:tc>
        <w:tc>
          <w:tcPr>
            <w:tcW w:w="777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Vera-</w:t>
            </w:r>
            <w:proofErr w:type="spellStart"/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Sirera</w:t>
            </w:r>
            <w:proofErr w:type="spellEnd"/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et al</w:t>
            </w:r>
          </w:p>
        </w:tc>
        <w:tc>
          <w:tcPr>
            <w:tcW w:w="554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2015</w:t>
            </w:r>
          </w:p>
        </w:tc>
        <w:tc>
          <w:tcPr>
            <w:tcW w:w="1504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58 cases , 46 examples of KCOT ( 6 were considered to be S-KCOT) and 12 of OOC</w:t>
            </w:r>
          </w:p>
        </w:tc>
        <w:tc>
          <w:tcPr>
            <w:tcW w:w="851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40</w:t>
            </w:r>
          </w:p>
        </w:tc>
        <w:tc>
          <w:tcPr>
            <w:tcW w:w="792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CCD1</w:t>
            </w:r>
          </w:p>
        </w:tc>
        <w:tc>
          <w:tcPr>
            <w:tcW w:w="1008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14 cases </w:t>
            </w:r>
          </w:p>
        </w:tc>
        <w:tc>
          <w:tcPr>
            <w:tcW w:w="1299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all parabasal cells of S-KCOT tissues were positive for CCD1, as were 70% and 40% of such cells of NS-KCOT and OOC tissues.S-KCOT epithelium stained to a depth of 60.37±8.70%, principally because the parabasal cell layer was thick, whereas the staining depths of NS-KCOT and OOC epithelia were 42.20±6.60% and 28.68±10.60% respectively</w:t>
            </w:r>
          </w:p>
        </w:tc>
        <w:tc>
          <w:tcPr>
            <w:tcW w:w="1190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42</w:t>
            </w: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.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91</w:t>
            </w:r>
            <w:r w:rsidR="00D166E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±</w:t>
            </w:r>
            <w:r w:rsidR="00D166E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3</w:t>
            </w: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.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28 %</w:t>
            </w:r>
          </w:p>
        </w:tc>
        <w:tc>
          <w:tcPr>
            <w:tcW w:w="1270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47</w:t>
            </w: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.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67</w:t>
            </w: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±</w:t>
            </w: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9</w:t>
            </w: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%</w:t>
            </w:r>
          </w:p>
        </w:tc>
        <w:tc>
          <w:tcPr>
            <w:tcW w:w="1245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42</w:t>
            </w:r>
            <w:r w:rsidRPr="00D166E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.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20</w:t>
            </w:r>
            <w:r w:rsidRPr="00D166E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±</w:t>
            </w:r>
            <w:r w:rsidRPr="00D166E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6</w:t>
            </w:r>
            <w:r w:rsidRPr="00D166E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. 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60</w:t>
            </w:r>
            <w:r w:rsidRPr="00D166E8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% </w:t>
            </w:r>
          </w:p>
        </w:tc>
        <w:tc>
          <w:tcPr>
            <w:tcW w:w="807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IN" w:eastAsia="en-GB"/>
              </w:rPr>
            </w:pPr>
          </w:p>
        </w:tc>
        <w:tc>
          <w:tcPr>
            <w:tcW w:w="1045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All patients with S-KCOT experienced recurrences; the mean number of recurrences was 3±1.41 over a mean follow-up time of 112±76.1 months. 35% of patients with NS_KCOT (14 of 40) experienced recurrences (an average of 1.4±0.6 relapses) over 29.6±31.04 months of follow-up.</w:t>
            </w:r>
          </w:p>
        </w:tc>
        <w:tc>
          <w:tcPr>
            <w:tcW w:w="1038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S-KCOT - 112±76.1 months &amp; NS-KCOT - 29.6±31.04 months</w:t>
            </w:r>
          </w:p>
        </w:tc>
      </w:tr>
      <w:tr w:rsidR="0087684A" w:rsidRPr="0087684A" w:rsidTr="00D166E8">
        <w:trPr>
          <w:trHeight w:val="315"/>
        </w:trPr>
        <w:tc>
          <w:tcPr>
            <w:tcW w:w="562" w:type="dxa"/>
            <w:hideMark/>
          </w:tcPr>
          <w:p w:rsidR="0087684A" w:rsidRPr="0087684A" w:rsidRDefault="00D166E8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2</w:t>
            </w:r>
          </w:p>
        </w:tc>
        <w:tc>
          <w:tcPr>
            <w:tcW w:w="777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Doll</w:t>
            </w: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et al</w:t>
            </w:r>
          </w:p>
        </w:tc>
        <w:tc>
          <w:tcPr>
            <w:tcW w:w="554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2018</w:t>
            </w:r>
          </w:p>
        </w:tc>
        <w:tc>
          <w:tcPr>
            <w:tcW w:w="1504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80</w:t>
            </w:r>
          </w:p>
        </w:tc>
        <w:tc>
          <w:tcPr>
            <w:tcW w:w="851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50 -primary + 11 </w:t>
            </w:r>
            <w:proofErr w:type="spellStart"/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recurrnace</w:t>
            </w:r>
            <w:proofErr w:type="spellEnd"/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(type not mentioned) 47 sporadic </w:t>
            </w:r>
          </w:p>
        </w:tc>
        <w:tc>
          <w:tcPr>
            <w:tcW w:w="792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Ki-67, p53 and cyclin D1</w:t>
            </w:r>
          </w:p>
        </w:tc>
        <w:tc>
          <w:tcPr>
            <w:tcW w:w="1008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11</w:t>
            </w:r>
          </w:p>
        </w:tc>
        <w:tc>
          <w:tcPr>
            <w:tcW w:w="1299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all 54 samples evaluated, with a mean number of positive cells per high power field (HPF) being 20.6 ± 13.1 SD. The expression of cyclin D1 was significantly higher (P = 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lastRenderedPageBreak/>
              <w:t xml:space="preserve">0.001) in </w:t>
            </w:r>
            <w:proofErr w:type="spellStart"/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syndromal</w:t>
            </w:r>
            <w:proofErr w:type="spellEnd"/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lesions (33.5 ±13.2 SD) than non-</w:t>
            </w:r>
            <w:proofErr w:type="spellStart"/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syndromal</w:t>
            </w:r>
            <w:proofErr w:type="spellEnd"/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(16.1 ± 9.5 SD) case </w:t>
            </w:r>
          </w:p>
        </w:tc>
        <w:tc>
          <w:tcPr>
            <w:tcW w:w="1190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lastRenderedPageBreak/>
              <w:t>15.0 ± 11.0</w:t>
            </w:r>
          </w:p>
        </w:tc>
        <w:tc>
          <w:tcPr>
            <w:tcW w:w="1270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17.9 ± 6.0 </w:t>
            </w:r>
          </w:p>
        </w:tc>
        <w:tc>
          <w:tcPr>
            <w:tcW w:w="1245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</w:p>
        </w:tc>
        <w:tc>
          <w:tcPr>
            <w:tcW w:w="807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(16.1 + 9.5 SD) Lower expression, no significant difference (P = 0.243) between cyclin 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lastRenderedPageBreak/>
              <w:t>D1 expression in non-</w:t>
            </w:r>
            <w:proofErr w:type="spellStart"/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syndromal</w:t>
            </w:r>
            <w:proofErr w:type="spellEnd"/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primary </w:t>
            </w:r>
            <w:proofErr w:type="spellStart"/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tumors</w:t>
            </w:r>
            <w:proofErr w:type="spellEnd"/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(15.0 ±</w:t>
            </w: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11.0 SD) in comparison to non-syndrome recurrent lesions (17.9 + 6.0 SD).</w:t>
            </w:r>
          </w:p>
        </w:tc>
        <w:tc>
          <w:tcPr>
            <w:tcW w:w="1045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lastRenderedPageBreak/>
              <w:t xml:space="preserve">Out of the 80 odontogenic </w:t>
            </w:r>
            <w:proofErr w:type="spellStart"/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keratocysts</w:t>
            </w:r>
            <w:proofErr w:type="spellEnd"/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included in this study, 69 were primary (50 sporadic; 19 syndrome-associated), and 11 were 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lastRenderedPageBreak/>
              <w:t>relapsing. The median time to recurrence (n = 11) after initial surgical therapy was 3.6 years (ranging from 1.5 to 13.2 years). Of these, eight cases (72.8%) occurred within the first 5 years of follow-up</w:t>
            </w:r>
          </w:p>
        </w:tc>
        <w:tc>
          <w:tcPr>
            <w:tcW w:w="1038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lastRenderedPageBreak/>
              <w:t xml:space="preserve">mean - 1.5 years </w:t>
            </w:r>
          </w:p>
        </w:tc>
      </w:tr>
      <w:tr w:rsidR="0087684A" w:rsidRPr="0087684A" w:rsidTr="00D166E8">
        <w:trPr>
          <w:trHeight w:val="315"/>
        </w:trPr>
        <w:tc>
          <w:tcPr>
            <w:tcW w:w="562" w:type="dxa"/>
            <w:hideMark/>
          </w:tcPr>
          <w:p w:rsidR="0087684A" w:rsidRPr="0087684A" w:rsidRDefault="00D166E8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3</w:t>
            </w:r>
          </w:p>
        </w:tc>
        <w:tc>
          <w:tcPr>
            <w:tcW w:w="777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Gurge</w:t>
            </w: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l et al</w:t>
            </w:r>
          </w:p>
        </w:tc>
        <w:tc>
          <w:tcPr>
            <w:tcW w:w="554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2014</w:t>
            </w:r>
          </w:p>
        </w:tc>
        <w:tc>
          <w:tcPr>
            <w:tcW w:w="1504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KOT were classified as sporadic (n = 18) or NBCCS-KOT (n = 5) using previously described criteria for this syndrome (28). In the sporadic group, KOT were classified as primary (n = 10), if they had not received treatment previously or, recurrent (n = 8), if patients had received prior treatment.</w:t>
            </w:r>
          </w:p>
        </w:tc>
        <w:tc>
          <w:tcPr>
            <w:tcW w:w="851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18</w:t>
            </w:r>
          </w:p>
        </w:tc>
        <w:tc>
          <w:tcPr>
            <w:tcW w:w="792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SHH, SMO, SUFU, PTCH1, GLI1, CCND1, BCL2</w:t>
            </w:r>
          </w:p>
        </w:tc>
        <w:tc>
          <w:tcPr>
            <w:tcW w:w="1008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8</w:t>
            </w:r>
          </w:p>
        </w:tc>
        <w:tc>
          <w:tcPr>
            <w:tcW w:w="1299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Over expression in all the KOCT cases, Recurrent KOT (n = 8) exhibited high levels of SMO (P = 0.035), PTCH1 (P = 0.048), CCND1 (P = 0.048),and BCL2 (P = 0.045). We found no statistical difference in the immunostaining of CCND1 between primary and recurrent KOT (Mann–Whitney test, P = 0.88), or between sporadic and NBCCS-KOT (Mann–Whitney test, P = 0.7688</w:t>
            </w:r>
          </w:p>
        </w:tc>
        <w:tc>
          <w:tcPr>
            <w:tcW w:w="1190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overexpression of CCND1 in recurrent KOT, (P = 0.048)</w:t>
            </w:r>
          </w:p>
        </w:tc>
        <w:tc>
          <w:tcPr>
            <w:tcW w:w="1270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found no statistical difference in the immunostaining of CCND1 between primary and recurrent KOT (Mann–Whitney test, P = 0.88)</w:t>
            </w:r>
          </w:p>
        </w:tc>
        <w:tc>
          <w:tcPr>
            <w:tcW w:w="1245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All KOT high expression / 8 recurrence High expression , Nucleus 83%; n = 19) and cytoplasm KOT (65%; n = 15).</w:t>
            </w: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br/>
              <w:t>NBCCS-KOT.</w:t>
            </w:r>
          </w:p>
        </w:tc>
        <w:tc>
          <w:tcPr>
            <w:tcW w:w="807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</w:p>
        </w:tc>
        <w:tc>
          <w:tcPr>
            <w:tcW w:w="1045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KOT recurrences occurred at 24 month on average following the initial treatment</w:t>
            </w:r>
          </w:p>
        </w:tc>
        <w:tc>
          <w:tcPr>
            <w:tcW w:w="1038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&lt;12 10 (43.5), 12–24 8 (34.8), 24 4 (17.4), No information 1 (4.3) </w:t>
            </w:r>
          </w:p>
        </w:tc>
      </w:tr>
      <w:tr w:rsidR="00D166E8" w:rsidRPr="0087684A" w:rsidTr="00D166E8">
        <w:trPr>
          <w:trHeight w:val="315"/>
        </w:trPr>
        <w:tc>
          <w:tcPr>
            <w:tcW w:w="562" w:type="dxa"/>
            <w:hideMark/>
          </w:tcPr>
          <w:p w:rsidR="0087684A" w:rsidRPr="0087684A" w:rsidRDefault="00D166E8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lastRenderedPageBreak/>
              <w:t>4</w:t>
            </w:r>
          </w:p>
        </w:tc>
        <w:tc>
          <w:tcPr>
            <w:tcW w:w="777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Ibrahim</w:t>
            </w:r>
            <w: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 et al.</w:t>
            </w:r>
          </w:p>
        </w:tc>
        <w:tc>
          <w:tcPr>
            <w:tcW w:w="554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2016</w:t>
            </w:r>
          </w:p>
        </w:tc>
        <w:tc>
          <w:tcPr>
            <w:tcW w:w="1504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8 patients of nonsyndromic KCOT</w:t>
            </w:r>
          </w:p>
        </w:tc>
        <w:tc>
          <w:tcPr>
            <w:tcW w:w="851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8</w:t>
            </w:r>
          </w:p>
        </w:tc>
        <w:tc>
          <w:tcPr>
            <w:tcW w:w="792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bcl-2, p53, Cyclin D1, and Proliferating Cell Nuclear Antigen</w:t>
            </w:r>
          </w:p>
        </w:tc>
        <w:tc>
          <w:tcPr>
            <w:tcW w:w="1008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2</w:t>
            </w:r>
          </w:p>
        </w:tc>
        <w:tc>
          <w:tcPr>
            <w:tcW w:w="1299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Positive staining for nonsyndromic specimens was 37.5% (3 of 8 patients), Highest score of 6 (1 of which was recurrent) </w:t>
            </w:r>
          </w:p>
        </w:tc>
        <w:tc>
          <w:tcPr>
            <w:tcW w:w="1190" w:type="dxa"/>
            <w:hideMark/>
          </w:tcPr>
          <w:p w:rsidR="0087684A" w:rsidRPr="0087684A" w:rsidRDefault="0087684A" w:rsidP="0087684A">
            <w:pPr>
              <w:spacing w:after="24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</w:p>
        </w:tc>
        <w:tc>
          <w:tcPr>
            <w:tcW w:w="1270" w:type="dxa"/>
          </w:tcPr>
          <w:p w:rsidR="0087684A" w:rsidRPr="0087684A" w:rsidRDefault="0087684A" w:rsidP="0087684A">
            <w:pPr>
              <w:spacing w:after="240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</w:p>
        </w:tc>
        <w:tc>
          <w:tcPr>
            <w:tcW w:w="1245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37.5% (3 of 8 patients) positive with high score of 6. 1/3 had recurrence score 6 , other recurrence case showed 0 score </w:t>
            </w:r>
          </w:p>
        </w:tc>
        <w:tc>
          <w:tcPr>
            <w:tcW w:w="807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</w:p>
        </w:tc>
        <w:tc>
          <w:tcPr>
            <w:tcW w:w="1045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 xml:space="preserve">Two patients (22.2%) were diagnosed with recurrence, between 3 to 7 years following first surgery </w:t>
            </w:r>
          </w:p>
        </w:tc>
        <w:tc>
          <w:tcPr>
            <w:tcW w:w="1038" w:type="dxa"/>
            <w:hideMark/>
          </w:tcPr>
          <w:p w:rsidR="0087684A" w:rsidRPr="0087684A" w:rsidRDefault="0087684A" w:rsidP="0087684A">
            <w:pPr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</w:pPr>
            <w:r w:rsidRPr="0087684A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IN" w:eastAsia="en-GB"/>
              </w:rPr>
              <w:t>Range of follow-up as stated in the clinical descriptions, was between 2 and 8 years</w:t>
            </w:r>
          </w:p>
        </w:tc>
      </w:tr>
    </w:tbl>
    <w:p w:rsidR="00F6085A" w:rsidRDefault="00F6085A"/>
    <w:p w:rsidR="00F6085A" w:rsidRDefault="00F6085A"/>
    <w:p w:rsidR="00F6085A" w:rsidRDefault="00F6085A"/>
    <w:p w:rsidR="00F6085A" w:rsidRDefault="00F6085A"/>
    <w:p w:rsidR="0087684A" w:rsidRDefault="0087684A"/>
    <w:p w:rsidR="0087684A" w:rsidRDefault="0087684A"/>
    <w:p w:rsidR="0087684A" w:rsidRDefault="0087684A"/>
    <w:p w:rsidR="0087684A" w:rsidRDefault="0087684A"/>
    <w:p w:rsidR="0087684A" w:rsidRDefault="0087684A"/>
    <w:p w:rsidR="0087684A" w:rsidRDefault="0087684A"/>
    <w:p w:rsidR="0087684A" w:rsidRDefault="0087684A"/>
    <w:p w:rsidR="0087684A" w:rsidRDefault="0087684A"/>
    <w:p w:rsidR="0087684A" w:rsidRDefault="0087684A"/>
    <w:p w:rsidR="0087684A" w:rsidRDefault="0087684A"/>
    <w:p w:rsidR="0087684A" w:rsidRDefault="0087684A"/>
    <w:p w:rsidR="0087684A" w:rsidRDefault="0087684A"/>
    <w:p w:rsidR="0087684A" w:rsidRDefault="0087684A"/>
    <w:p w:rsidR="0087684A" w:rsidRDefault="0087684A"/>
    <w:p w:rsidR="0087684A" w:rsidRDefault="0087684A"/>
    <w:p w:rsidR="0087684A" w:rsidRDefault="0087684A"/>
    <w:p w:rsidR="00D166E8" w:rsidRDefault="00D166E8"/>
    <w:p w:rsidR="009622AC" w:rsidRDefault="009622AC" w:rsidP="00DF06CA"/>
    <w:p w:rsidR="00F6085A" w:rsidRDefault="00F6085A"/>
    <w:sectPr w:rsidR="00F6085A" w:rsidSect="00CB24E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24E6"/>
    <w:rsid w:val="00044389"/>
    <w:rsid w:val="00046EF7"/>
    <w:rsid w:val="000E2454"/>
    <w:rsid w:val="001072FA"/>
    <w:rsid w:val="00115121"/>
    <w:rsid w:val="00136E4E"/>
    <w:rsid w:val="00150701"/>
    <w:rsid w:val="0022727B"/>
    <w:rsid w:val="00291104"/>
    <w:rsid w:val="002B2B26"/>
    <w:rsid w:val="002F5994"/>
    <w:rsid w:val="003006B1"/>
    <w:rsid w:val="00310C74"/>
    <w:rsid w:val="00366CBE"/>
    <w:rsid w:val="003955B3"/>
    <w:rsid w:val="003C694C"/>
    <w:rsid w:val="003F46F7"/>
    <w:rsid w:val="00400022"/>
    <w:rsid w:val="0042115A"/>
    <w:rsid w:val="0042736A"/>
    <w:rsid w:val="00470409"/>
    <w:rsid w:val="00561D63"/>
    <w:rsid w:val="00667188"/>
    <w:rsid w:val="00677BA7"/>
    <w:rsid w:val="006B216F"/>
    <w:rsid w:val="006D6B40"/>
    <w:rsid w:val="0072649E"/>
    <w:rsid w:val="00792054"/>
    <w:rsid w:val="00813223"/>
    <w:rsid w:val="00825966"/>
    <w:rsid w:val="008344E3"/>
    <w:rsid w:val="00841F9E"/>
    <w:rsid w:val="008656D9"/>
    <w:rsid w:val="0087684A"/>
    <w:rsid w:val="008A6D0C"/>
    <w:rsid w:val="008B0A14"/>
    <w:rsid w:val="008C7E45"/>
    <w:rsid w:val="00950E7A"/>
    <w:rsid w:val="009622AC"/>
    <w:rsid w:val="009A0DC9"/>
    <w:rsid w:val="00A020FF"/>
    <w:rsid w:val="00A45D82"/>
    <w:rsid w:val="00A500AE"/>
    <w:rsid w:val="00AC1889"/>
    <w:rsid w:val="00AF22F8"/>
    <w:rsid w:val="00B01B52"/>
    <w:rsid w:val="00B16DB9"/>
    <w:rsid w:val="00B25FBF"/>
    <w:rsid w:val="00B748E1"/>
    <w:rsid w:val="00B85320"/>
    <w:rsid w:val="00B85360"/>
    <w:rsid w:val="00C053DA"/>
    <w:rsid w:val="00C650D5"/>
    <w:rsid w:val="00CA77F9"/>
    <w:rsid w:val="00CB24E6"/>
    <w:rsid w:val="00CE61E9"/>
    <w:rsid w:val="00CF72E6"/>
    <w:rsid w:val="00D166E8"/>
    <w:rsid w:val="00D53D23"/>
    <w:rsid w:val="00DE097F"/>
    <w:rsid w:val="00DE3123"/>
    <w:rsid w:val="00DF06CA"/>
    <w:rsid w:val="00E03A1B"/>
    <w:rsid w:val="00EF13BA"/>
    <w:rsid w:val="00F07C78"/>
    <w:rsid w:val="00F07F41"/>
    <w:rsid w:val="00F16330"/>
    <w:rsid w:val="00F16F6E"/>
    <w:rsid w:val="00F6085A"/>
    <w:rsid w:val="00F633C7"/>
    <w:rsid w:val="00F93F0F"/>
    <w:rsid w:val="00FB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FE8C9"/>
  <w15:docId w15:val="{694264B2-6081-2140-BD2F-71B281483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889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24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24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24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24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24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24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24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24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24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24E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24E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24E6"/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24E6"/>
    <w:rPr>
      <w:rFonts w:eastAsiaTheme="majorEastAsia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24E6"/>
    <w:rPr>
      <w:rFonts w:eastAsiaTheme="majorEastAsia" w:cstheme="majorBidi"/>
      <w:color w:val="2F5496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24E6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24E6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24E6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24E6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CB24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24E6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24E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24E6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CB24E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24E6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CB24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24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24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24E6"/>
    <w:rPr>
      <w:i/>
      <w:iCs/>
      <w:color w:val="2F5496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CB24E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B24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6085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IN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27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Monal Yuwanati</dc:creator>
  <cp:keywords/>
  <dc:description/>
  <cp:lastModifiedBy>Monal Yuwanati</cp:lastModifiedBy>
  <cp:revision>14</cp:revision>
  <dcterms:created xsi:type="dcterms:W3CDTF">2025-05-15T03:16:00Z</dcterms:created>
  <dcterms:modified xsi:type="dcterms:W3CDTF">2025-06-06T09:37:00Z</dcterms:modified>
</cp:coreProperties>
</file>