
<file path=[Content_Types].xml><?xml version="1.0" encoding="utf-8"?>
<Types xmlns="http://schemas.openxmlformats.org/package/2006/content-types">
  <Default Extension="tiff" ContentType="image/tif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53ACA03">
      <w:pPr>
        <w:spacing w:before="156" w:beforeLines="50" w:after="156" w:afterLines="50" w:line="480" w:lineRule="auto"/>
        <w:rPr>
          <w:color w:val="000000" w:themeColor="text1"/>
          <w:lang w:val="en-US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/>
          <w:color w:val="000000" w:themeColor="text1"/>
          <w:kern w:val="0"/>
          <w:sz w:val="24"/>
          <w14:textFill>
            <w14:solidFill>
              <w14:schemeClr w14:val="tx1"/>
            </w14:solidFill>
          </w14:textFill>
        </w:rPr>
        <w:t>Supplemental Material</w:t>
      </w:r>
      <w:r>
        <w:rPr>
          <w:rFonts w:hint="eastAsia"/>
          <w:color w:val="000000" w:themeColor="text1"/>
          <w:lang w:val="en-US"/>
          <w14:textFill>
            <w14:solidFill>
              <w14:schemeClr w14:val="tx1"/>
            </w14:solidFill>
          </w14:textFill>
        </w:rPr>
        <w:br w:type="textWrapping"/>
      </w:r>
      <w:r>
        <w:rPr>
          <w:rFonts w:hint="eastAsia"/>
          <w:color w:val="000000" w:themeColor="text1"/>
          <w:lang w:val="en-US"/>
          <w14:textFill>
            <w14:solidFill>
              <w14:schemeClr w14:val="tx1"/>
            </w14:solidFill>
          </w14:textFill>
        </w:rPr>
        <w:t>1.</w:t>
      </w:r>
      <w:r>
        <w:rPr>
          <w:rFonts w:hint="eastAsia" w:eastAsia="宋体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 xml:space="preserve"> </w:t>
      </w:r>
      <w:r>
        <w:rPr>
          <w:rFonts w:hint="eastAsia"/>
          <w:color w:val="000000" w:themeColor="text1"/>
          <w:lang w:val="en-US"/>
          <w14:textFill>
            <w14:solidFill>
              <w14:schemeClr w14:val="tx1"/>
            </w14:solidFill>
          </w14:textFill>
        </w:rPr>
        <w:t xml:space="preserve">Supplementary Tables </w:t>
      </w:r>
    </w:p>
    <w:p w14:paraId="4B64AAA8">
      <w:pPr>
        <w:spacing w:before="156" w:beforeLines="50" w:after="156" w:afterLines="50" w:line="480" w:lineRule="auto"/>
        <w:rPr>
          <w:color w:val="000000" w:themeColor="text1"/>
          <w:lang w:val="en-US"/>
          <w14:textFill>
            <w14:solidFill>
              <w14:schemeClr w14:val="tx1"/>
            </w14:solidFill>
          </w14:textFill>
        </w:rPr>
      </w:pPr>
      <w:r>
        <w:rPr>
          <w:rFonts w:hint="eastAsia" w:eastAsia="宋体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2</w:t>
      </w:r>
      <w:r>
        <w:rPr>
          <w:rFonts w:hint="eastAsia"/>
          <w:color w:val="000000" w:themeColor="text1"/>
          <w:lang w:val="en-US"/>
          <w14:textFill>
            <w14:solidFill>
              <w14:schemeClr w14:val="tx1"/>
            </w14:solidFill>
          </w14:textFill>
        </w:rPr>
        <w:t xml:space="preserve">. Supplementary Figures </w:t>
      </w:r>
    </w:p>
    <w:p w14:paraId="6FF3D980">
      <w:pPr>
        <w:spacing w:before="156" w:beforeLines="50" w:after="156" w:afterLines="50" w:line="480" w:lineRule="auto"/>
        <w:rPr>
          <w:b/>
          <w:bCs/>
          <w:color w:val="000000" w:themeColor="text1"/>
          <w:lang w:val="en-US"/>
          <w14:textFill>
            <w14:solidFill>
              <w14:schemeClr w14:val="tx1"/>
            </w14:solidFill>
          </w14:textFill>
        </w:rPr>
      </w:pPr>
    </w:p>
    <w:p w14:paraId="78EC07F8">
      <w:pPr>
        <w:spacing w:before="156" w:beforeLines="50" w:after="156" w:afterLines="50" w:line="480" w:lineRule="auto"/>
        <w:rPr>
          <w:b/>
          <w:bCs/>
          <w:color w:val="000000" w:themeColor="text1"/>
          <w:lang w:val="en-US"/>
          <w14:textFill>
            <w14:solidFill>
              <w14:schemeClr w14:val="tx1"/>
            </w14:solidFill>
          </w14:textFill>
        </w:rPr>
      </w:pPr>
    </w:p>
    <w:p w14:paraId="11FABAB2">
      <w:pPr>
        <w:spacing w:before="156" w:beforeLines="50" w:after="156" w:afterLines="50" w:line="480" w:lineRule="auto"/>
        <w:rPr>
          <w:b/>
          <w:bCs/>
          <w:color w:val="000000" w:themeColor="text1"/>
          <w:lang w:val="en-US"/>
          <w14:textFill>
            <w14:solidFill>
              <w14:schemeClr w14:val="tx1"/>
            </w14:solidFill>
          </w14:textFill>
        </w:rPr>
      </w:pPr>
    </w:p>
    <w:p w14:paraId="5AD8ED0B">
      <w:pPr>
        <w:spacing w:before="156" w:beforeLines="50" w:after="156" w:afterLines="50" w:line="480" w:lineRule="auto"/>
        <w:rPr>
          <w:b/>
          <w:bCs/>
          <w:color w:val="000000" w:themeColor="text1"/>
          <w:lang w:val="en-US"/>
          <w14:textFill>
            <w14:solidFill>
              <w14:schemeClr w14:val="tx1"/>
            </w14:solidFill>
          </w14:textFill>
        </w:rPr>
      </w:pPr>
    </w:p>
    <w:p w14:paraId="4F0AA98B">
      <w:pPr>
        <w:spacing w:before="156" w:beforeLines="50" w:after="156" w:afterLines="50" w:line="480" w:lineRule="auto"/>
        <w:rPr>
          <w:b/>
          <w:bCs/>
          <w:color w:val="000000" w:themeColor="text1"/>
          <w:lang w:val="en-US"/>
          <w14:textFill>
            <w14:solidFill>
              <w14:schemeClr w14:val="tx1"/>
            </w14:solidFill>
          </w14:textFill>
        </w:rPr>
      </w:pPr>
    </w:p>
    <w:p w14:paraId="67171E93">
      <w:pPr>
        <w:spacing w:before="156" w:beforeLines="50" w:after="156" w:afterLines="50" w:line="480" w:lineRule="auto"/>
        <w:rPr>
          <w:b/>
          <w:bCs/>
          <w:color w:val="000000" w:themeColor="text1"/>
          <w:lang w:val="en-US"/>
          <w14:textFill>
            <w14:solidFill>
              <w14:schemeClr w14:val="tx1"/>
            </w14:solidFill>
          </w14:textFill>
        </w:rPr>
      </w:pPr>
    </w:p>
    <w:p w14:paraId="7CFCC883">
      <w:pPr>
        <w:spacing w:before="156" w:beforeLines="50" w:after="156" w:afterLines="50" w:line="480" w:lineRule="auto"/>
        <w:rPr>
          <w:b/>
          <w:bCs/>
          <w:color w:val="000000" w:themeColor="text1"/>
          <w:lang w:val="en-US"/>
          <w14:textFill>
            <w14:solidFill>
              <w14:schemeClr w14:val="tx1"/>
            </w14:solidFill>
          </w14:textFill>
        </w:rPr>
      </w:pPr>
    </w:p>
    <w:p w14:paraId="08A54500">
      <w:pPr>
        <w:spacing w:before="156" w:beforeLines="50" w:after="156" w:afterLines="50" w:line="480" w:lineRule="auto"/>
        <w:rPr>
          <w:b/>
          <w:bCs/>
          <w:color w:val="000000" w:themeColor="text1"/>
          <w:lang w:val="en-US"/>
          <w14:textFill>
            <w14:solidFill>
              <w14:schemeClr w14:val="tx1"/>
            </w14:solidFill>
          </w14:textFill>
        </w:rPr>
      </w:pPr>
    </w:p>
    <w:p w14:paraId="4754CAC5">
      <w:pPr>
        <w:spacing w:before="156" w:beforeLines="50" w:after="156" w:afterLines="50" w:line="480" w:lineRule="auto"/>
        <w:rPr>
          <w:b/>
          <w:bCs/>
          <w:color w:val="000000" w:themeColor="text1"/>
          <w:lang w:val="en-US"/>
          <w14:textFill>
            <w14:solidFill>
              <w14:schemeClr w14:val="tx1"/>
            </w14:solidFill>
          </w14:textFill>
        </w:rPr>
      </w:pPr>
    </w:p>
    <w:p w14:paraId="1AF3C322">
      <w:pPr>
        <w:spacing w:before="156" w:beforeLines="50" w:after="156" w:afterLines="50" w:line="480" w:lineRule="auto"/>
        <w:rPr>
          <w:b/>
          <w:bCs/>
          <w:color w:val="000000" w:themeColor="text1"/>
          <w:lang w:val="en-US"/>
          <w14:textFill>
            <w14:solidFill>
              <w14:schemeClr w14:val="tx1"/>
            </w14:solidFill>
          </w14:textFill>
        </w:rPr>
      </w:pPr>
    </w:p>
    <w:p w14:paraId="1491A17B">
      <w:pPr>
        <w:spacing w:before="156" w:beforeLines="50" w:after="156" w:afterLines="50" w:line="480" w:lineRule="auto"/>
        <w:rPr>
          <w:b/>
          <w:bCs/>
          <w:color w:val="000000" w:themeColor="text1"/>
          <w:lang w:val="en-US"/>
          <w14:textFill>
            <w14:solidFill>
              <w14:schemeClr w14:val="tx1"/>
            </w14:solidFill>
          </w14:textFill>
        </w:rPr>
      </w:pPr>
    </w:p>
    <w:p w14:paraId="31ECB304">
      <w:pPr>
        <w:spacing w:before="156" w:beforeLines="50" w:after="156" w:afterLines="50" w:line="480" w:lineRule="auto"/>
        <w:rPr>
          <w:b/>
          <w:bCs/>
          <w:color w:val="000000" w:themeColor="text1"/>
          <w:lang w:val="en-US"/>
          <w14:textFill>
            <w14:solidFill>
              <w14:schemeClr w14:val="tx1"/>
            </w14:solidFill>
          </w14:textFill>
        </w:rPr>
      </w:pPr>
    </w:p>
    <w:p w14:paraId="609C774B">
      <w:pPr>
        <w:spacing w:before="156" w:beforeLines="50" w:after="156" w:afterLines="50" w:line="480" w:lineRule="auto"/>
        <w:rPr>
          <w:b/>
          <w:bCs/>
          <w:color w:val="000000" w:themeColor="text1"/>
          <w:lang w:val="en-US"/>
          <w14:textFill>
            <w14:solidFill>
              <w14:schemeClr w14:val="tx1"/>
            </w14:solidFill>
          </w14:textFill>
        </w:rPr>
      </w:pPr>
    </w:p>
    <w:p w14:paraId="6D996617">
      <w:pPr>
        <w:spacing w:before="156" w:beforeLines="50" w:after="156" w:afterLines="50" w:line="480" w:lineRule="auto"/>
        <w:rPr>
          <w:b/>
          <w:bCs/>
          <w:color w:val="000000" w:themeColor="text1"/>
          <w:lang w:val="en-US"/>
          <w14:textFill>
            <w14:solidFill>
              <w14:schemeClr w14:val="tx1"/>
            </w14:solidFill>
          </w14:textFill>
        </w:rPr>
      </w:pPr>
    </w:p>
    <w:p w14:paraId="4E83D124">
      <w:pPr>
        <w:spacing w:before="156" w:beforeLines="50" w:after="156" w:afterLines="50" w:line="480" w:lineRule="auto"/>
        <w:rPr>
          <w:b/>
          <w:bCs/>
          <w:color w:val="000000" w:themeColor="text1"/>
          <w:lang w:val="en-US"/>
          <w14:textFill>
            <w14:solidFill>
              <w14:schemeClr w14:val="tx1"/>
            </w14:solidFill>
          </w14:textFill>
        </w:rPr>
      </w:pPr>
    </w:p>
    <w:p w14:paraId="30EE6523">
      <w:pPr>
        <w:rPr>
          <w:rFonts w:eastAsia="宋体"/>
          <w:b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b/>
          <w:bCs/>
          <w:color w:val="000000" w:themeColor="text1"/>
          <w:sz w:val="28"/>
          <w:szCs w:val="28"/>
          <w:lang w:val="en-US"/>
          <w14:textFill>
            <w14:solidFill>
              <w14:schemeClr w14:val="tx1"/>
            </w14:solidFill>
          </w14:textFill>
        </w:rPr>
        <w:t>Supplementary Table</w:t>
      </w:r>
      <w:r>
        <w:rPr>
          <w:rFonts w:hint="eastAsia" w:eastAsia="宋体"/>
          <w:b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s</w:t>
      </w:r>
    </w:p>
    <w:p w14:paraId="44AAAF07">
      <w:pPr>
        <w:rPr>
          <w:rFonts w:eastAsia="宋体"/>
          <w:b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</w:p>
    <w:p w14:paraId="63098C0A">
      <w:pPr>
        <w:spacing w:after="312" w:afterLines="100"/>
        <w:rPr>
          <w:rFonts w:hint="eastAsia" w:eastAsia="宋体"/>
          <w:b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b/>
          <w:bCs/>
          <w:color w:val="000000" w:themeColor="text1"/>
          <w:lang w:val="en-US"/>
          <w14:textFill>
            <w14:solidFill>
              <w14:schemeClr w14:val="tx1"/>
            </w14:solidFill>
          </w14:textFill>
        </w:rPr>
        <w:t>Table S</w:t>
      </w:r>
      <w:r>
        <w:rPr>
          <w:rFonts w:eastAsia="宋体"/>
          <w:b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 xml:space="preserve">1 </w:t>
      </w:r>
      <w:r>
        <w:rPr>
          <w:b/>
          <w:bCs/>
          <w:color w:val="000000" w:themeColor="text1"/>
          <w14:textFill>
            <w14:solidFill>
              <w14:schemeClr w14:val="tx1"/>
            </w14:solidFill>
          </w14:textFill>
        </w:rPr>
        <w:t>The basic characteristic of the enrolled volunteer</w:t>
      </w:r>
      <w:r>
        <w:rPr>
          <w:rFonts w:hint="eastAsia" w:eastAsia="宋体"/>
          <w:b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s</w:t>
      </w:r>
    </w:p>
    <w:tbl>
      <w:tblPr>
        <w:tblStyle w:val="5"/>
        <w:tblW w:w="9008" w:type="dxa"/>
        <w:jc w:val="center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85"/>
        <w:gridCol w:w="2490"/>
        <w:gridCol w:w="1890"/>
        <w:gridCol w:w="1043"/>
      </w:tblGrid>
      <w:tr w14:paraId="5280479B">
        <w:trPr>
          <w:trHeight w:val="289" w:hRule="atLeast"/>
          <w:jc w:val="center"/>
        </w:trPr>
        <w:tc>
          <w:tcPr>
            <w:tcW w:w="3300" w:type="dxa"/>
            <w:tcBorders>
              <w:top w:val="single" w:color="000000" w:sz="12" w:space="0"/>
              <w:left w:val="nil"/>
              <w:bottom w:val="single" w:color="000000" w:sz="4" w:space="0"/>
              <w:right w:val="nil"/>
              <w:tl2br w:val="nil"/>
            </w:tcBorders>
            <w:shd w:val="clear" w:color="auto" w:fill="FFFFFF"/>
            <w:noWrap/>
            <w:vAlign w:val="center"/>
          </w:tcPr>
          <w:p w14:paraId="004E3613">
            <w:pPr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Variables</w:t>
            </w:r>
          </w:p>
        </w:tc>
        <w:tc>
          <w:tcPr>
            <w:tcW w:w="2292" w:type="dxa"/>
            <w:tcBorders>
              <w:top w:val="single" w:color="000000" w:sz="12" w:space="0"/>
              <w:left w:val="nil"/>
              <w:bottom w:val="single" w:color="000000" w:sz="4" w:space="0"/>
              <w:right w:val="nil"/>
            </w:tcBorders>
            <w:shd w:val="clear" w:color="auto" w:fill="FFFFFF"/>
            <w:noWrap/>
            <w:vAlign w:val="center"/>
          </w:tcPr>
          <w:p w14:paraId="537D3398">
            <w:pPr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HC (N = 45)</w:t>
            </w:r>
          </w:p>
        </w:tc>
        <w:tc>
          <w:tcPr>
            <w:tcW w:w="1740" w:type="dxa"/>
            <w:tcBorders>
              <w:top w:val="single" w:color="000000" w:sz="12" w:space="0"/>
              <w:left w:val="nil"/>
              <w:bottom w:val="single" w:color="000000" w:sz="4" w:space="0"/>
              <w:right w:val="nil"/>
            </w:tcBorders>
            <w:shd w:val="clear" w:color="auto" w:fill="FFFFFF"/>
            <w:noWrap/>
            <w:vAlign w:val="center"/>
          </w:tcPr>
          <w:p w14:paraId="05312D02">
            <w:pPr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CKD (N = 75)</w:t>
            </w:r>
          </w:p>
        </w:tc>
        <w:tc>
          <w:tcPr>
            <w:tcW w:w="960" w:type="dxa"/>
            <w:tcBorders>
              <w:top w:val="single" w:color="000000" w:sz="12" w:space="0"/>
              <w:left w:val="nil"/>
              <w:bottom w:val="single" w:color="000000" w:sz="4" w:space="0"/>
              <w:right w:val="nil"/>
            </w:tcBorders>
            <w:shd w:val="clear" w:color="auto" w:fill="FFFFFF"/>
            <w:noWrap/>
            <w:vAlign w:val="center"/>
          </w:tcPr>
          <w:p w14:paraId="4A985EF9">
            <w:pPr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P-value</w:t>
            </w:r>
          </w:p>
        </w:tc>
      </w:tr>
      <w:tr w14:paraId="0A6FCA4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9" w:hRule="atLeast"/>
          <w:jc w:val="center"/>
        </w:trPr>
        <w:tc>
          <w:tcPr>
            <w:tcW w:w="0" w:type="auto"/>
            <w:tcBorders>
              <w:top w:val="single" w:color="000000" w:sz="4" w:space="0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1E47D449">
            <w:pPr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Age, y</w:t>
            </w:r>
          </w:p>
        </w:tc>
        <w:tc>
          <w:tcPr>
            <w:tcW w:w="0" w:type="auto"/>
            <w:tcBorders>
              <w:top w:val="single" w:color="000000" w:sz="4" w:space="0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44A7B93B">
            <w:pPr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</w:rPr>
              <w:t>35.2 ± 5.8</w:t>
            </w:r>
          </w:p>
        </w:tc>
        <w:tc>
          <w:tcPr>
            <w:tcW w:w="0" w:type="auto"/>
            <w:tcBorders>
              <w:top w:val="single" w:color="000000" w:sz="4" w:space="0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7179D590">
            <w:pPr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</w:rPr>
              <w:t>35.6 ± 5.7</w:t>
            </w:r>
          </w:p>
        </w:tc>
        <w:tc>
          <w:tcPr>
            <w:tcW w:w="0" w:type="auto"/>
            <w:tcBorders>
              <w:top w:val="single" w:color="000000" w:sz="4" w:space="0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6A02D9F0">
            <w:pPr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</w:rPr>
              <w:t>.740</w:t>
            </w:r>
          </w:p>
        </w:tc>
      </w:tr>
      <w:tr w14:paraId="740795F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9" w:hRule="atLeast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7DB06D9E">
            <w:pPr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Male, n</w:t>
            </w:r>
            <w:r>
              <w:rPr>
                <w:rFonts w:hint="eastAsia" w:eastAsia="宋体"/>
                <w:color w:val="000000"/>
                <w:lang w:val="en-US" w:eastAsia="zh-CN" w:bidi="ar"/>
              </w:rPr>
              <w:t xml:space="preserve"> </w:t>
            </w:r>
            <w:r>
              <w:rPr>
                <w:rFonts w:eastAsia="宋体"/>
                <w:color w:val="000000"/>
                <w:lang w:val="en-US" w:eastAsia="zh-CN" w:bidi="ar"/>
              </w:rPr>
              <w:t>(%)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746A4673">
            <w:pPr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21 (46.7%)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2C1D93F4">
            <w:pPr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46 (61.3%)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05C1B9F5">
            <w:pPr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0.169</w:t>
            </w:r>
          </w:p>
        </w:tc>
      </w:tr>
      <w:tr w14:paraId="1AB40CF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9" w:hRule="atLeast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6210F3C7">
            <w:pPr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Current smoker, n (%)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3F650B69">
            <w:pPr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8 (17.8%)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22738720">
            <w:pPr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23 (30.7%)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45139125">
            <w:pPr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0.178</w:t>
            </w:r>
          </w:p>
        </w:tc>
      </w:tr>
      <w:tr w14:paraId="7411334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9" w:hRule="atLeast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08620F04">
            <w:pPr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Platelet counts, ×10</w:t>
            </w:r>
            <w:r>
              <w:rPr>
                <w:rFonts w:eastAsia="宋体"/>
                <w:color w:val="000000"/>
                <w:vertAlign w:val="superscript"/>
                <w:lang w:val="en-US" w:eastAsia="zh-CN" w:bidi="ar"/>
              </w:rPr>
              <w:t>9</w:t>
            </w:r>
            <w:r>
              <w:rPr>
                <w:rFonts w:eastAsia="宋体"/>
                <w:color w:val="000000"/>
                <w:lang w:val="en-US" w:eastAsia="zh-CN" w:bidi="ar"/>
              </w:rPr>
              <w:t>/L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34E6B12B">
            <w:pPr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252.4 ± 67.1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1127989D">
            <w:pPr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212.5 ± 69.9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37167848">
            <w:pPr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0.003</w:t>
            </w:r>
          </w:p>
        </w:tc>
      </w:tr>
      <w:tr w14:paraId="37F9D328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9" w:hRule="atLeast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52EA064F">
            <w:pPr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Plateletcrit, %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7700EFEB">
            <w:pPr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0.3 ± 0.1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7A0107CC">
            <w:pPr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0.2 ± 0.1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14952003">
            <w:pPr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0.002</w:t>
            </w:r>
          </w:p>
        </w:tc>
      </w:tr>
      <w:tr w14:paraId="68152D8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9" w:hRule="atLeast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062664A0">
            <w:pPr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Mean platelet volume, fl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09EEFF5B">
            <w:pPr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10.5 ± 1.3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30C70680">
            <w:pPr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10.7 ± 1.2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5E511811">
            <w:pPr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0.448</w:t>
            </w:r>
          </w:p>
        </w:tc>
      </w:tr>
      <w:tr w14:paraId="305BC87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9" w:hRule="atLeast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0F80565C">
            <w:pPr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Platelet-large cell ratio, %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497DB162">
            <w:pPr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27.5 ± 8.1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760ACBA6">
            <w:pPr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35.8 ± 48.8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17339159">
            <w:pPr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0.152</w:t>
            </w:r>
          </w:p>
        </w:tc>
      </w:tr>
      <w:tr w14:paraId="0A7BE49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9" w:hRule="atLeast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4C27565A">
            <w:pPr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Platelet distribution width, %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1C28869A">
            <w:pPr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13.2 ± 2.7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59C0757F">
            <w:pPr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13.3 ± 3.3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476861C7">
            <w:pPr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0.935</w:t>
            </w:r>
          </w:p>
        </w:tc>
      </w:tr>
      <w:tr w14:paraId="6805D03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9" w:hRule="atLeast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4DFC36E9">
            <w:pPr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Lymphocyte count, ×10</w:t>
            </w:r>
            <w:r>
              <w:rPr>
                <w:rFonts w:eastAsia="宋体"/>
                <w:color w:val="000000"/>
                <w:vertAlign w:val="superscript"/>
                <w:lang w:val="en-US" w:eastAsia="zh-CN" w:bidi="ar"/>
              </w:rPr>
              <w:t>9</w:t>
            </w:r>
            <w:r>
              <w:rPr>
                <w:rFonts w:eastAsia="宋体"/>
                <w:color w:val="000000"/>
                <w:lang w:val="en-US" w:eastAsia="zh-CN" w:bidi="ar"/>
              </w:rPr>
              <w:t>/L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5FD3773D">
            <w:pPr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2.2 ± 0.9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4E923CE5">
            <w:pPr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1.6 ± 0.6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5B36FFF2">
            <w:pPr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&lt;.001</w:t>
            </w:r>
          </w:p>
        </w:tc>
      </w:tr>
      <w:tr w14:paraId="2AB4FA7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9" w:hRule="atLeast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4210A325">
            <w:pPr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Lymphocyte percentage, %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134F96E3">
            <w:pPr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28.1 ± 8.3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6F5C5123">
            <w:pPr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23.0 ± 7.6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43A1A147">
            <w:pPr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&lt;.001</w:t>
            </w:r>
          </w:p>
        </w:tc>
      </w:tr>
      <w:tr w14:paraId="288CD91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9" w:hRule="atLeast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7BFA2AC7">
            <w:pPr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Uric acid, μmol/L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47481C4A">
            <w:pPr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344.4 ± 64.3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3472106F">
            <w:pPr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519.5 ± 597.7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16ED4C17">
            <w:pPr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0.014</w:t>
            </w:r>
          </w:p>
        </w:tc>
      </w:tr>
      <w:tr w14:paraId="459ED83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9" w:hRule="atLeast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3E6FF1F6">
            <w:pPr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Urea, mmol/L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67A23837">
            <w:pPr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5.1 ± 1.6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55538B9E">
            <w:pPr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18.3 ± 9.7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01200CFC">
            <w:pPr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&lt;.001</w:t>
            </w:r>
          </w:p>
        </w:tc>
      </w:tr>
      <w:tr w14:paraId="52E41B0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9" w:hRule="atLeast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79D8B5ED">
            <w:pPr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SCr, μmol/L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09C84082">
            <w:pPr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66.6 ± 16.0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625F74FF">
            <w:pPr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509.6 ± 302.3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03183634">
            <w:pPr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&lt;.001</w:t>
            </w:r>
          </w:p>
        </w:tc>
      </w:tr>
      <w:tr w14:paraId="2296B9F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9" w:hRule="atLeast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13ED5627">
            <w:pPr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eGFR, mL/min/1.73 m</w:t>
            </w:r>
            <w:r>
              <w:rPr>
                <w:rFonts w:eastAsia="宋体"/>
                <w:color w:val="000000"/>
                <w:vertAlign w:val="superscript"/>
                <w:lang w:val="en-US" w:eastAsia="zh-CN" w:bidi="ar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130EDDA7">
            <w:pPr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113.6 ± 12.5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3C5A0E15">
            <w:pPr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18.6 ± 16.2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65DB213B">
            <w:pPr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&lt;.001</w:t>
            </w:r>
          </w:p>
        </w:tc>
      </w:tr>
      <w:tr w14:paraId="62BB793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9" w:hRule="atLeast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0B68F0EE">
            <w:pPr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Calcium, mmol/L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53EF96C7">
            <w:pPr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2.3 ± 0.2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2978329A">
            <w:pPr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2.1 ± 0.3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0339FD6A">
            <w:pPr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&lt;.001</w:t>
            </w:r>
          </w:p>
        </w:tc>
      </w:tr>
      <w:tr w14:paraId="6F3BA2C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9" w:hRule="atLeast"/>
          <w:jc w:val="center"/>
        </w:trPr>
        <w:tc>
          <w:tcPr>
            <w:tcW w:w="0" w:type="auto"/>
            <w:tcBorders>
              <w:top w:val="nil"/>
              <w:left w:val="nil"/>
              <w:bottom w:val="single" w:color="000000" w:sz="12" w:space="0"/>
              <w:right w:val="nil"/>
            </w:tcBorders>
            <w:shd w:val="clear" w:color="auto" w:fill="FFFFFF"/>
            <w:noWrap/>
            <w:vAlign w:val="center"/>
          </w:tcPr>
          <w:p w14:paraId="4D26052E">
            <w:pPr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Phosphorus, mmol/L</w:t>
            </w:r>
          </w:p>
        </w:tc>
        <w:tc>
          <w:tcPr>
            <w:tcW w:w="0" w:type="auto"/>
            <w:tcBorders>
              <w:top w:val="nil"/>
              <w:left w:val="nil"/>
              <w:bottom w:val="single" w:color="000000" w:sz="12" w:space="0"/>
              <w:right w:val="nil"/>
            </w:tcBorders>
            <w:shd w:val="clear" w:color="auto" w:fill="FFFFFF"/>
            <w:noWrap/>
            <w:vAlign w:val="center"/>
          </w:tcPr>
          <w:p w14:paraId="46A18A28">
            <w:pPr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1.1 ± 0.2</w:t>
            </w:r>
          </w:p>
        </w:tc>
        <w:tc>
          <w:tcPr>
            <w:tcW w:w="0" w:type="auto"/>
            <w:tcBorders>
              <w:top w:val="nil"/>
              <w:left w:val="nil"/>
              <w:bottom w:val="single" w:color="000000" w:sz="12" w:space="0"/>
              <w:right w:val="nil"/>
            </w:tcBorders>
            <w:shd w:val="clear" w:color="auto" w:fill="FFFFFF"/>
            <w:noWrap/>
            <w:vAlign w:val="center"/>
          </w:tcPr>
          <w:p w14:paraId="3E3DEF35">
            <w:pPr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1.5 ± 0.5</w:t>
            </w:r>
          </w:p>
        </w:tc>
        <w:tc>
          <w:tcPr>
            <w:tcW w:w="0" w:type="auto"/>
            <w:tcBorders>
              <w:top w:val="nil"/>
              <w:left w:val="nil"/>
              <w:bottom w:val="single" w:color="000000" w:sz="12" w:space="0"/>
              <w:right w:val="nil"/>
            </w:tcBorders>
            <w:shd w:val="clear" w:color="auto" w:fill="FFFFFF"/>
            <w:noWrap/>
            <w:vAlign w:val="center"/>
          </w:tcPr>
          <w:p w14:paraId="690E9373">
            <w:pPr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&lt;.001</w:t>
            </w:r>
          </w:p>
        </w:tc>
      </w:tr>
    </w:tbl>
    <w:p w14:paraId="5DDFA93E">
      <w:pPr>
        <w:spacing w:before="156" w:beforeLines="50" w:after="156" w:afterLines="50" w:line="480" w:lineRule="auto"/>
        <w:rPr>
          <w:rFonts w:eastAsia="宋体"/>
          <w:szCs w:val="28"/>
          <w:lang w:val="en-US" w:eastAsia="zh-CN"/>
        </w:rPr>
      </w:pPr>
      <w:r>
        <w:rPr>
          <w:szCs w:val="28"/>
          <w:lang w:val="en-US"/>
        </w:rPr>
        <w:t>Abbreviations:</w:t>
      </w:r>
      <w:r>
        <w:rPr>
          <w:rFonts w:hint="eastAsia" w:eastAsia="宋体"/>
          <w:szCs w:val="28"/>
          <w:lang w:val="en-US" w:eastAsia="zh-CN"/>
        </w:rPr>
        <w:t xml:space="preserve"> HC, healthy control; CKD, chronic kidney disease; </w:t>
      </w:r>
      <w:r>
        <w:rPr>
          <w:rFonts w:eastAsia="宋体"/>
          <w:color w:val="000000"/>
          <w:lang w:val="en-US" w:eastAsia="zh-CN" w:bidi="ar"/>
        </w:rPr>
        <w:t>SCr</w:t>
      </w:r>
      <w:r>
        <w:rPr>
          <w:rFonts w:hint="eastAsia" w:eastAsia="宋体"/>
          <w:color w:val="000000"/>
          <w:lang w:val="en-US" w:eastAsia="zh-CN" w:bidi="ar"/>
        </w:rPr>
        <w:t xml:space="preserve">, serum creatinine; </w:t>
      </w:r>
      <w:r>
        <w:rPr>
          <w:rFonts w:hint="eastAsia" w:eastAsia="宋体"/>
          <w:szCs w:val="28"/>
          <w:lang w:val="en-US" w:eastAsia="zh-CN"/>
        </w:rPr>
        <w:t>eGFR, estimated glomerular filtration rate.</w:t>
      </w:r>
    </w:p>
    <w:p w14:paraId="686C9559">
      <w:pPr>
        <w:spacing w:before="156" w:beforeLines="50" w:after="156" w:afterLines="50" w:line="480" w:lineRule="auto"/>
        <w:rPr>
          <w:rFonts w:eastAsia="宋体"/>
          <w:szCs w:val="28"/>
          <w:lang w:val="en-US" w:eastAsia="zh-CN"/>
        </w:rPr>
      </w:pPr>
    </w:p>
    <w:p w14:paraId="28AA71C4">
      <w:pPr>
        <w:spacing w:before="156" w:beforeLines="50" w:after="156" w:afterLines="50" w:line="480" w:lineRule="auto"/>
        <w:rPr>
          <w:rFonts w:eastAsia="宋体"/>
          <w:szCs w:val="28"/>
          <w:lang w:val="en-US" w:eastAsia="zh-CN"/>
        </w:rPr>
      </w:pPr>
    </w:p>
    <w:p w14:paraId="2DDB3E67">
      <w:pPr>
        <w:spacing w:before="156" w:beforeLines="50" w:after="156" w:afterLines="50" w:line="480" w:lineRule="auto"/>
        <w:rPr>
          <w:rFonts w:eastAsia="宋体"/>
          <w:szCs w:val="28"/>
          <w:lang w:val="en-US" w:eastAsia="zh-CN"/>
        </w:rPr>
      </w:pPr>
    </w:p>
    <w:p w14:paraId="4EF5B2DC">
      <w:pPr>
        <w:spacing w:before="156" w:beforeLines="50" w:after="156" w:afterLines="50" w:line="480" w:lineRule="auto"/>
        <w:rPr>
          <w:rFonts w:eastAsia="宋体"/>
          <w:szCs w:val="28"/>
          <w:lang w:val="en-US" w:eastAsia="zh-CN"/>
        </w:rPr>
      </w:pPr>
    </w:p>
    <w:p w14:paraId="42DB79AA">
      <w:pPr>
        <w:spacing w:before="156" w:beforeLines="50" w:after="156" w:afterLines="50" w:line="480" w:lineRule="auto"/>
        <w:rPr>
          <w:rFonts w:eastAsia="宋体"/>
          <w:szCs w:val="28"/>
          <w:lang w:val="en-US" w:eastAsia="zh-CN"/>
        </w:rPr>
      </w:pPr>
    </w:p>
    <w:p w14:paraId="78D73D21">
      <w:pPr>
        <w:spacing w:before="156" w:beforeLines="50" w:after="156" w:afterLines="50" w:line="480" w:lineRule="auto"/>
        <w:rPr>
          <w:rFonts w:eastAsia="宋体"/>
          <w:szCs w:val="28"/>
          <w:lang w:val="en-US" w:eastAsia="zh-CN"/>
        </w:rPr>
      </w:pPr>
    </w:p>
    <w:p w14:paraId="74511B0A">
      <w:pPr>
        <w:spacing w:before="156" w:beforeLines="50" w:after="156" w:afterLines="50" w:line="480" w:lineRule="auto"/>
        <w:rPr>
          <w:rFonts w:eastAsia="宋体"/>
          <w:szCs w:val="28"/>
          <w:lang w:val="en-US" w:eastAsia="zh-CN"/>
        </w:rPr>
      </w:pPr>
    </w:p>
    <w:p w14:paraId="668738CE">
      <w:pPr>
        <w:spacing w:before="156" w:beforeLines="50" w:after="156" w:afterLines="50" w:line="480" w:lineRule="auto"/>
        <w:rPr>
          <w:b/>
          <w:bCs/>
          <w:lang w:val="en-US" w:eastAsia="zh-CN"/>
        </w:rPr>
      </w:pPr>
      <w:r>
        <w:rPr>
          <w:b/>
          <w:bCs/>
        </w:rPr>
        <w:t>Table S</w:t>
      </w:r>
      <w:r>
        <w:rPr>
          <w:rFonts w:hint="eastAsia"/>
          <w:b/>
          <w:bCs/>
          <w:lang w:val="en-US" w:eastAsia="zh-CN"/>
        </w:rPr>
        <w:t>2</w:t>
      </w:r>
      <w:r>
        <w:rPr>
          <w:b/>
          <w:bCs/>
        </w:rPr>
        <w:t xml:space="preserve">. The sequence sets for </w:t>
      </w:r>
      <w:r>
        <w:rPr>
          <w:b/>
          <w:bCs/>
          <w:lang w:val="en-US" w:eastAsia="zh-CN"/>
        </w:rPr>
        <w:t>angimor.</w:t>
      </w:r>
    </w:p>
    <w:tbl>
      <w:tblPr>
        <w:tblStyle w:val="5"/>
        <w:tblW w:w="9008" w:type="dxa"/>
        <w:jc w:val="center"/>
        <w:tblLayout w:type="fixed"/>
        <w:tblCellMar>
          <w:top w:w="80" w:type="dxa"/>
          <w:left w:w="128" w:type="dxa"/>
          <w:bottom w:w="80" w:type="dxa"/>
          <w:right w:w="128" w:type="dxa"/>
        </w:tblCellMar>
      </w:tblPr>
      <w:tblGrid>
        <w:gridCol w:w="2284"/>
        <w:gridCol w:w="2172"/>
        <w:gridCol w:w="4552"/>
      </w:tblGrid>
      <w:tr w14:paraId="336D440F">
        <w:tblPrEx>
          <w:tblCellMar>
            <w:top w:w="80" w:type="dxa"/>
            <w:left w:w="128" w:type="dxa"/>
            <w:bottom w:w="80" w:type="dxa"/>
            <w:right w:w="128" w:type="dxa"/>
          </w:tblCellMar>
        </w:tblPrEx>
        <w:trPr>
          <w:trHeight w:val="365" w:hRule="atLeast"/>
          <w:jc w:val="center"/>
        </w:trPr>
        <w:tc>
          <w:tcPr>
            <w:tcW w:w="2284" w:type="dxa"/>
            <w:tcBorders>
              <w:top w:val="single" w:color="000000" w:sz="12" w:space="0"/>
              <w:left w:val="nil"/>
              <w:bottom w:val="single" w:color="000000" w:sz="4" w:space="0"/>
              <w:right w:val="nil"/>
              <w:tl2br w:val="nil"/>
            </w:tcBorders>
            <w:shd w:val="clear" w:color="auto" w:fill="FFFFFF"/>
            <w:vAlign w:val="center"/>
          </w:tcPr>
          <w:p w14:paraId="6C9B1F82">
            <w:pPr>
              <w:jc w:val="center"/>
              <w:textAlignment w:val="center"/>
              <w:rPr>
                <w:rFonts w:eastAsia="宋体"/>
                <w:color w:val="000000"/>
                <w:lang w:val="en-US" w:eastAsia="zh-CN" w:bidi="ar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agomir (human)</w:t>
            </w:r>
          </w:p>
        </w:tc>
        <w:tc>
          <w:tcPr>
            <w:tcW w:w="6724" w:type="dxa"/>
            <w:gridSpan w:val="2"/>
            <w:tcBorders>
              <w:top w:val="single" w:color="000000" w:sz="12" w:space="0"/>
              <w:left w:val="nil"/>
              <w:bottom w:val="single" w:color="000000" w:sz="4" w:space="0"/>
              <w:right w:val="nil"/>
            </w:tcBorders>
            <w:shd w:val="clear" w:color="auto" w:fill="FFFFFF"/>
            <w:vAlign w:val="center"/>
          </w:tcPr>
          <w:p w14:paraId="1614B4EA">
            <w:pPr>
              <w:jc w:val="center"/>
              <w:textAlignment w:val="center"/>
              <w:rPr>
                <w:rFonts w:eastAsia="宋体"/>
                <w:color w:val="000000"/>
                <w:lang w:val="en-US" w:eastAsia="zh-CN" w:bidi="ar"/>
              </w:rPr>
            </w:pPr>
            <w:r>
              <w:rPr>
                <w:rFonts w:eastAsia="宋体"/>
                <w:bCs/>
                <w:color w:val="000000"/>
                <w:lang w:val="en-US" w:eastAsia="zh-CN" w:bidi="ar"/>
              </w:rPr>
              <w:t>Primer Sequence (5'-3')</w:t>
            </w:r>
          </w:p>
        </w:tc>
      </w:tr>
      <w:tr w14:paraId="7C71EECC">
        <w:tblPrEx>
          <w:tblCellMar>
            <w:top w:w="80" w:type="dxa"/>
            <w:left w:w="128" w:type="dxa"/>
            <w:bottom w:w="80" w:type="dxa"/>
            <w:right w:w="128" w:type="dxa"/>
          </w:tblCellMar>
        </w:tblPrEx>
        <w:trPr>
          <w:jc w:val="center"/>
        </w:trPr>
        <w:tc>
          <w:tcPr>
            <w:tcW w:w="2284" w:type="dxa"/>
            <w:vMerge w:val="restart"/>
            <w:tcBorders>
              <w:top w:val="single" w:color="000000" w:sz="4" w:space="0"/>
              <w:left w:val="nil"/>
              <w:bottom w:val="nil"/>
              <w:right w:val="nil"/>
              <w:tl2br w:val="nil"/>
            </w:tcBorders>
            <w:shd w:val="clear" w:color="auto" w:fill="FFFFFF"/>
            <w:vAlign w:val="center"/>
          </w:tcPr>
          <w:p w14:paraId="01D8BF22">
            <w:pPr>
              <w:jc w:val="center"/>
              <w:textAlignment w:val="center"/>
              <w:rPr>
                <w:rFonts w:eastAsia="宋体"/>
                <w:color w:val="000000"/>
                <w:lang w:val="en-US" w:eastAsia="zh-CN" w:bidi="ar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hsa-miR-550a-5p agomir</w:t>
            </w:r>
          </w:p>
        </w:tc>
        <w:tc>
          <w:tcPr>
            <w:tcW w:w="2172" w:type="dxa"/>
            <w:tcBorders>
              <w:top w:val="single" w:color="000000" w:sz="4" w:space="0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732919FF">
            <w:pPr>
              <w:jc w:val="center"/>
              <w:textAlignment w:val="center"/>
              <w:rPr>
                <w:rFonts w:eastAsia="宋体"/>
                <w:color w:val="000000"/>
                <w:lang w:val="en-US" w:eastAsia="zh-CN" w:bidi="ar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Sense (5'-3')</w:t>
            </w:r>
          </w:p>
        </w:tc>
        <w:tc>
          <w:tcPr>
            <w:tcW w:w="4552" w:type="dxa"/>
            <w:tcBorders>
              <w:top w:val="single" w:color="000000" w:sz="4" w:space="0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0AD730A5">
            <w:pPr>
              <w:jc w:val="center"/>
              <w:textAlignment w:val="center"/>
              <w:rPr>
                <w:rFonts w:eastAsia="宋体"/>
                <w:color w:val="000000"/>
                <w:lang w:val="en-US" w:eastAsia="zh-CN" w:bidi="ar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AGUGCCUGAGGGAGUAAGAGCCC</w:t>
            </w:r>
          </w:p>
        </w:tc>
      </w:tr>
      <w:tr w14:paraId="52902171">
        <w:tblPrEx>
          <w:tblCellMar>
            <w:top w:w="80" w:type="dxa"/>
            <w:left w:w="128" w:type="dxa"/>
            <w:bottom w:w="80" w:type="dxa"/>
            <w:right w:w="128" w:type="dxa"/>
          </w:tblCellMar>
        </w:tblPrEx>
        <w:trPr>
          <w:jc w:val="center"/>
        </w:trPr>
        <w:tc>
          <w:tcPr>
            <w:tcW w:w="2284" w:type="dxa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39E3058A">
            <w:pPr>
              <w:jc w:val="center"/>
              <w:textAlignment w:val="center"/>
              <w:rPr>
                <w:rFonts w:eastAsia="宋体"/>
                <w:color w:val="000000"/>
                <w:lang w:val="en-US" w:eastAsia="zh-CN" w:bidi="ar"/>
              </w:rPr>
            </w:pPr>
          </w:p>
        </w:tc>
        <w:tc>
          <w:tcPr>
            <w:tcW w:w="217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55585BAB">
            <w:pPr>
              <w:jc w:val="center"/>
              <w:textAlignment w:val="center"/>
              <w:rPr>
                <w:rFonts w:eastAsia="宋体"/>
                <w:color w:val="000000"/>
                <w:lang w:val="en-US" w:eastAsia="zh-CN" w:bidi="ar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Antisense (5'-3')</w:t>
            </w:r>
          </w:p>
        </w:tc>
        <w:tc>
          <w:tcPr>
            <w:tcW w:w="455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39C19579">
            <w:pPr>
              <w:jc w:val="center"/>
              <w:textAlignment w:val="center"/>
              <w:rPr>
                <w:rFonts w:eastAsia="宋体"/>
                <w:color w:val="000000"/>
                <w:lang w:val="en-US" w:eastAsia="zh-CN" w:bidi="ar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GGGCUCUUACUCCCUCAGGCACU</w:t>
            </w:r>
          </w:p>
        </w:tc>
      </w:tr>
      <w:tr w14:paraId="3E08EDFE">
        <w:tblPrEx>
          <w:tblCellMar>
            <w:top w:w="80" w:type="dxa"/>
            <w:left w:w="128" w:type="dxa"/>
            <w:bottom w:w="80" w:type="dxa"/>
            <w:right w:w="128" w:type="dxa"/>
          </w:tblCellMar>
        </w:tblPrEx>
        <w:trPr>
          <w:jc w:val="center"/>
        </w:trPr>
        <w:tc>
          <w:tcPr>
            <w:tcW w:w="2284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7E5FC7C2">
            <w:pPr>
              <w:jc w:val="center"/>
              <w:textAlignment w:val="center"/>
              <w:rPr>
                <w:rFonts w:eastAsia="宋体"/>
                <w:color w:val="000000"/>
                <w:lang w:val="en-US" w:eastAsia="zh-CN" w:bidi="ar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mimics nc</w:t>
            </w:r>
          </w:p>
        </w:tc>
        <w:tc>
          <w:tcPr>
            <w:tcW w:w="217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3B7F6A44">
            <w:pPr>
              <w:jc w:val="center"/>
              <w:textAlignment w:val="center"/>
              <w:rPr>
                <w:rFonts w:eastAsia="宋体"/>
                <w:color w:val="000000"/>
                <w:lang w:val="en-US" w:eastAsia="zh-CN" w:bidi="ar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Sense (5'-3')</w:t>
            </w:r>
          </w:p>
        </w:tc>
        <w:tc>
          <w:tcPr>
            <w:tcW w:w="455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221C983C">
            <w:pPr>
              <w:jc w:val="center"/>
              <w:textAlignment w:val="center"/>
              <w:rPr>
                <w:rFonts w:eastAsia="宋体"/>
                <w:color w:val="000000"/>
                <w:lang w:val="en-US" w:eastAsia="zh-CN" w:bidi="ar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UCACAACCUCCUAGAAAGAGUAGA</w:t>
            </w:r>
          </w:p>
        </w:tc>
      </w:tr>
      <w:tr w14:paraId="58CAEB17">
        <w:tblPrEx>
          <w:tblCellMar>
            <w:top w:w="80" w:type="dxa"/>
            <w:left w:w="128" w:type="dxa"/>
            <w:bottom w:w="80" w:type="dxa"/>
            <w:right w:w="128" w:type="dxa"/>
          </w:tblCellMar>
        </w:tblPrEx>
        <w:trPr>
          <w:jc w:val="center"/>
        </w:trPr>
        <w:tc>
          <w:tcPr>
            <w:tcW w:w="2284" w:type="dxa"/>
            <w:vMerge w:val="continue"/>
            <w:tcBorders>
              <w:top w:val="nil"/>
              <w:left w:val="nil"/>
              <w:bottom w:val="single" w:color="000000" w:sz="12" w:space="0"/>
              <w:right w:val="nil"/>
            </w:tcBorders>
            <w:shd w:val="clear" w:color="auto" w:fill="FFFFFF"/>
            <w:vAlign w:val="center"/>
          </w:tcPr>
          <w:p w14:paraId="779F0BF3">
            <w:pPr>
              <w:jc w:val="center"/>
              <w:textAlignment w:val="center"/>
              <w:rPr>
                <w:rFonts w:eastAsia="宋体"/>
                <w:color w:val="000000"/>
                <w:lang w:val="en-US" w:eastAsia="zh-CN" w:bidi="ar"/>
              </w:rPr>
            </w:pPr>
          </w:p>
        </w:tc>
        <w:tc>
          <w:tcPr>
            <w:tcW w:w="2172" w:type="dxa"/>
            <w:tcBorders>
              <w:top w:val="nil"/>
              <w:left w:val="nil"/>
              <w:bottom w:val="single" w:color="000000" w:sz="12" w:space="0"/>
              <w:right w:val="nil"/>
            </w:tcBorders>
            <w:shd w:val="clear" w:color="auto" w:fill="FFFFFF"/>
            <w:vAlign w:val="center"/>
          </w:tcPr>
          <w:p w14:paraId="2B9A71F3">
            <w:pPr>
              <w:jc w:val="center"/>
              <w:textAlignment w:val="center"/>
              <w:rPr>
                <w:rFonts w:eastAsia="宋体"/>
                <w:color w:val="000000"/>
                <w:lang w:val="en-US" w:eastAsia="zh-CN" w:bidi="ar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Antisense (5'-3')</w:t>
            </w:r>
          </w:p>
        </w:tc>
        <w:tc>
          <w:tcPr>
            <w:tcW w:w="4552" w:type="dxa"/>
            <w:tcBorders>
              <w:top w:val="nil"/>
              <w:left w:val="nil"/>
              <w:bottom w:val="single" w:color="000000" w:sz="12" w:space="0"/>
              <w:right w:val="nil"/>
            </w:tcBorders>
            <w:shd w:val="clear" w:color="auto" w:fill="FFFFFF"/>
            <w:vAlign w:val="center"/>
          </w:tcPr>
          <w:p w14:paraId="5F1236BD">
            <w:pPr>
              <w:jc w:val="center"/>
              <w:textAlignment w:val="center"/>
              <w:rPr>
                <w:rFonts w:eastAsia="宋体"/>
                <w:color w:val="000000"/>
                <w:lang w:val="en-US" w:eastAsia="zh-CN" w:bidi="ar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UCUACUCUUUCUAGGAGGUUGUGA</w:t>
            </w:r>
          </w:p>
        </w:tc>
      </w:tr>
    </w:tbl>
    <w:p w14:paraId="7BA9C9E9">
      <w:pPr>
        <w:spacing w:before="156" w:beforeLines="50" w:after="156" w:afterLines="50" w:line="480" w:lineRule="auto"/>
        <w:rPr>
          <w:rFonts w:eastAsia="宋体"/>
          <w:b/>
          <w:bCs/>
          <w:szCs w:val="28"/>
          <w:lang w:val="en-US" w:eastAsia="zh-CN"/>
        </w:rPr>
      </w:pPr>
    </w:p>
    <w:p w14:paraId="3BB3F9D0">
      <w:pPr>
        <w:spacing w:before="156" w:beforeLines="50" w:after="156" w:afterLines="50" w:line="480" w:lineRule="auto"/>
        <w:rPr>
          <w:rFonts w:eastAsia="宋体"/>
          <w:b/>
          <w:bCs/>
          <w:szCs w:val="28"/>
          <w:lang w:val="en-US" w:eastAsia="zh-CN"/>
        </w:rPr>
      </w:pPr>
    </w:p>
    <w:p w14:paraId="0283784F">
      <w:pPr>
        <w:spacing w:before="156" w:beforeLines="50" w:after="156" w:afterLines="50" w:line="480" w:lineRule="auto"/>
        <w:rPr>
          <w:rFonts w:eastAsia="宋体"/>
          <w:b/>
          <w:bCs/>
          <w:szCs w:val="28"/>
          <w:lang w:val="en-US" w:eastAsia="zh-CN"/>
        </w:rPr>
      </w:pPr>
    </w:p>
    <w:p w14:paraId="08AB16B7">
      <w:pPr>
        <w:spacing w:before="156" w:beforeLines="50" w:after="156" w:afterLines="50" w:line="480" w:lineRule="auto"/>
        <w:rPr>
          <w:rFonts w:eastAsia="宋体"/>
          <w:b/>
          <w:bCs/>
          <w:szCs w:val="28"/>
          <w:lang w:val="en-US" w:eastAsia="zh-CN"/>
        </w:rPr>
      </w:pPr>
    </w:p>
    <w:p w14:paraId="26931DD0">
      <w:pPr>
        <w:spacing w:before="156" w:beforeLines="50" w:after="156" w:afterLines="50" w:line="480" w:lineRule="auto"/>
        <w:rPr>
          <w:rFonts w:eastAsia="宋体"/>
          <w:b/>
          <w:bCs/>
          <w:szCs w:val="28"/>
          <w:lang w:val="en-US" w:eastAsia="zh-CN"/>
        </w:rPr>
      </w:pPr>
    </w:p>
    <w:p w14:paraId="74EB68ED">
      <w:pPr>
        <w:spacing w:before="156" w:beforeLines="50" w:after="156" w:afterLines="50" w:line="480" w:lineRule="auto"/>
        <w:rPr>
          <w:rFonts w:eastAsia="宋体"/>
          <w:b/>
          <w:bCs/>
          <w:szCs w:val="28"/>
          <w:lang w:val="en-US" w:eastAsia="zh-CN"/>
        </w:rPr>
      </w:pPr>
    </w:p>
    <w:p w14:paraId="06253BC8">
      <w:pPr>
        <w:spacing w:before="156" w:beforeLines="50" w:after="156" w:afterLines="50" w:line="480" w:lineRule="auto"/>
        <w:rPr>
          <w:rFonts w:eastAsia="宋体"/>
          <w:b/>
          <w:bCs/>
          <w:szCs w:val="28"/>
          <w:lang w:val="en-US" w:eastAsia="zh-CN"/>
        </w:rPr>
      </w:pPr>
    </w:p>
    <w:p w14:paraId="5D732446">
      <w:pPr>
        <w:spacing w:before="156" w:beforeLines="50" w:after="156" w:afterLines="50" w:line="480" w:lineRule="auto"/>
        <w:rPr>
          <w:rFonts w:eastAsia="宋体"/>
          <w:b/>
          <w:bCs/>
          <w:szCs w:val="28"/>
          <w:lang w:val="en-US" w:eastAsia="zh-CN"/>
        </w:rPr>
      </w:pPr>
    </w:p>
    <w:p w14:paraId="2543693F">
      <w:pPr>
        <w:spacing w:before="156" w:beforeLines="50" w:after="156" w:afterLines="50" w:line="480" w:lineRule="auto"/>
        <w:rPr>
          <w:rFonts w:eastAsia="宋体"/>
          <w:b/>
          <w:bCs/>
          <w:szCs w:val="28"/>
          <w:lang w:val="en-US" w:eastAsia="zh-CN"/>
        </w:rPr>
      </w:pPr>
    </w:p>
    <w:p w14:paraId="26296B3B">
      <w:pPr>
        <w:spacing w:before="156" w:beforeLines="50" w:after="156" w:afterLines="50" w:line="480" w:lineRule="auto"/>
        <w:rPr>
          <w:rFonts w:eastAsia="宋体"/>
          <w:b/>
          <w:bCs/>
          <w:szCs w:val="28"/>
          <w:lang w:val="en-US" w:eastAsia="zh-CN"/>
        </w:rPr>
      </w:pPr>
    </w:p>
    <w:p w14:paraId="1E038C01">
      <w:pPr>
        <w:spacing w:before="156" w:beforeLines="50" w:after="156" w:afterLines="50" w:line="480" w:lineRule="auto"/>
        <w:rPr>
          <w:rFonts w:eastAsia="宋体"/>
          <w:b/>
          <w:bCs/>
          <w:szCs w:val="28"/>
          <w:lang w:val="en-US" w:eastAsia="zh-CN"/>
        </w:rPr>
      </w:pPr>
    </w:p>
    <w:p w14:paraId="091EC67A">
      <w:pPr>
        <w:spacing w:before="156" w:beforeLines="50" w:after="156" w:afterLines="50" w:line="480" w:lineRule="auto"/>
        <w:rPr>
          <w:rFonts w:eastAsia="宋体"/>
          <w:b/>
          <w:bCs/>
          <w:szCs w:val="28"/>
          <w:lang w:val="en-US" w:eastAsia="zh-CN"/>
        </w:rPr>
      </w:pPr>
    </w:p>
    <w:p w14:paraId="7CB0EE10">
      <w:pPr>
        <w:spacing w:before="156" w:beforeLines="50" w:after="156" w:afterLines="50" w:line="480" w:lineRule="auto"/>
        <w:rPr>
          <w:rFonts w:eastAsia="宋体"/>
          <w:b/>
          <w:bCs/>
          <w:szCs w:val="28"/>
          <w:lang w:val="en-US" w:eastAsia="zh-CN"/>
        </w:rPr>
      </w:pPr>
    </w:p>
    <w:p w14:paraId="2AA9E169">
      <w:pPr>
        <w:spacing w:before="156" w:beforeLines="50" w:after="156" w:afterLines="50" w:line="480" w:lineRule="auto"/>
        <w:rPr>
          <w:rFonts w:eastAsia="宋体"/>
          <w:b/>
          <w:bCs/>
          <w:szCs w:val="28"/>
          <w:lang w:val="en-US" w:eastAsia="zh-CN"/>
        </w:rPr>
      </w:pPr>
    </w:p>
    <w:p w14:paraId="52394DE3">
      <w:pPr>
        <w:spacing w:after="312" w:afterLines="100"/>
        <w:rPr>
          <w:rFonts w:eastAsia="宋体"/>
          <w:b/>
          <w:bCs/>
          <w:szCs w:val="28"/>
          <w:lang w:val="en-US" w:eastAsia="zh-CN"/>
        </w:rPr>
      </w:pPr>
      <w:r>
        <w:rPr>
          <w:b/>
          <w:bCs/>
        </w:rPr>
        <w:t>Table S</w:t>
      </w:r>
      <w:r>
        <w:rPr>
          <w:rFonts w:hint="eastAsia"/>
          <w:b/>
          <w:bCs/>
          <w:lang w:val="en-US" w:eastAsia="zh-CN"/>
        </w:rPr>
        <w:t>3</w:t>
      </w:r>
      <w:r>
        <w:rPr>
          <w:b/>
          <w:bCs/>
        </w:rPr>
        <w:t xml:space="preserve">. </w:t>
      </w:r>
      <w:r>
        <w:rPr>
          <w:rFonts w:eastAsia="宋体"/>
          <w:b/>
          <w:bCs/>
          <w:color w:val="000000"/>
        </w:rPr>
        <w:t>List of antibodies used in this study.</w:t>
      </w:r>
    </w:p>
    <w:tbl>
      <w:tblPr>
        <w:tblStyle w:val="5"/>
        <w:tblW w:w="9085" w:type="dxa"/>
        <w:jc w:val="center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644"/>
        <w:gridCol w:w="2412"/>
        <w:gridCol w:w="1786"/>
        <w:gridCol w:w="1243"/>
      </w:tblGrid>
      <w:tr w14:paraId="2BC37C8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2" w:hRule="atLeast"/>
          <w:jc w:val="center"/>
        </w:trPr>
        <w:tc>
          <w:tcPr>
            <w:tcW w:w="3644" w:type="dxa"/>
            <w:tcBorders>
              <w:top w:val="single" w:color="000000" w:sz="12" w:space="0"/>
              <w:left w:val="nil"/>
              <w:bottom w:val="single" w:color="000000" w:sz="4" w:space="0"/>
              <w:right w:val="nil"/>
              <w:tl2br w:val="nil"/>
            </w:tcBorders>
            <w:shd w:val="clear" w:color="auto" w:fill="FFFFFF"/>
            <w:vAlign w:val="center"/>
          </w:tcPr>
          <w:p w14:paraId="7B6DE802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Antibodies</w:t>
            </w:r>
          </w:p>
        </w:tc>
        <w:tc>
          <w:tcPr>
            <w:tcW w:w="2412" w:type="dxa"/>
            <w:tcBorders>
              <w:top w:val="single" w:color="000000" w:sz="12" w:space="0"/>
              <w:left w:val="nil"/>
              <w:bottom w:val="single" w:color="000000" w:sz="4" w:space="0"/>
              <w:right w:val="nil"/>
            </w:tcBorders>
            <w:shd w:val="clear" w:color="auto" w:fill="FFFFFF"/>
            <w:vAlign w:val="center"/>
          </w:tcPr>
          <w:p w14:paraId="426AA02B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Source</w:t>
            </w:r>
          </w:p>
        </w:tc>
        <w:tc>
          <w:tcPr>
            <w:tcW w:w="1786" w:type="dxa"/>
            <w:tcBorders>
              <w:top w:val="single" w:color="000000" w:sz="12" w:space="0"/>
              <w:left w:val="nil"/>
              <w:bottom w:val="single" w:color="000000" w:sz="4" w:space="0"/>
              <w:right w:val="nil"/>
            </w:tcBorders>
            <w:shd w:val="clear" w:color="auto" w:fill="FFFFFF"/>
            <w:vAlign w:val="center"/>
          </w:tcPr>
          <w:p w14:paraId="0F8F6CD0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Identifier</w:t>
            </w:r>
          </w:p>
        </w:tc>
        <w:tc>
          <w:tcPr>
            <w:tcW w:w="1243" w:type="dxa"/>
            <w:tcBorders>
              <w:top w:val="single" w:color="000000" w:sz="12" w:space="0"/>
              <w:left w:val="nil"/>
              <w:bottom w:val="single" w:color="000000" w:sz="4" w:space="0"/>
              <w:right w:val="nil"/>
            </w:tcBorders>
            <w:shd w:val="clear" w:color="auto" w:fill="FFFFFF"/>
            <w:vAlign w:val="center"/>
          </w:tcPr>
          <w:p w14:paraId="0C4E1D37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Assay</w:t>
            </w:r>
          </w:p>
        </w:tc>
      </w:tr>
      <w:tr w14:paraId="4AF790B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  <w:jc w:val="center"/>
        </w:trPr>
        <w:tc>
          <w:tcPr>
            <w:tcW w:w="3644" w:type="dxa"/>
            <w:tcBorders>
              <w:top w:val="single" w:color="000000" w:sz="4" w:space="0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058E288F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PE Anti-Human CD3</w:t>
            </w:r>
          </w:p>
        </w:tc>
        <w:tc>
          <w:tcPr>
            <w:tcW w:w="2412" w:type="dxa"/>
            <w:tcBorders>
              <w:top w:val="single" w:color="000000" w:sz="4" w:space="0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39B6A8AD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Thermo Fisher</w:t>
            </w:r>
          </w:p>
        </w:tc>
        <w:tc>
          <w:tcPr>
            <w:tcW w:w="1786" w:type="dxa"/>
            <w:tcBorders>
              <w:top w:val="single" w:color="000000" w:sz="4" w:space="0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2F71CD90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12-0037-42</w:t>
            </w:r>
          </w:p>
        </w:tc>
        <w:tc>
          <w:tcPr>
            <w:tcW w:w="1243" w:type="dxa"/>
            <w:tcBorders>
              <w:top w:val="single" w:color="000000" w:sz="4" w:space="0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3BE7E98D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FC</w:t>
            </w:r>
          </w:p>
        </w:tc>
      </w:tr>
      <w:tr w14:paraId="7F262FD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  <w:jc w:val="center"/>
        </w:trPr>
        <w:tc>
          <w:tcPr>
            <w:tcW w:w="364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16771200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fldChar w:fldCharType="begin"/>
            </w:r>
            <w:r>
              <w:instrText xml:space="preserve"> HYPERLINK "https://www.casmart.com.cn/product-details/page/1269/320011444" \o "https://www.casmart.com.cn/product-details/page/1269/320011444" </w:instrText>
            </w:r>
            <w:r>
              <w:fldChar w:fldCharType="separate"/>
            </w:r>
            <w:r>
              <w:rPr>
                <w:rStyle w:val="7"/>
                <w:rFonts w:eastAsia="宋体"/>
                <w:color w:val="000000"/>
                <w:u w:val="none"/>
              </w:rPr>
              <w:t xml:space="preserve"> APC Anti-Human CD4</w:t>
            </w:r>
            <w:r>
              <w:rPr>
                <w:rStyle w:val="7"/>
                <w:rFonts w:eastAsia="宋体"/>
                <w:color w:val="000000"/>
                <w:u w:val="none"/>
              </w:rPr>
              <w:fldChar w:fldCharType="end"/>
            </w:r>
          </w:p>
        </w:tc>
        <w:tc>
          <w:tcPr>
            <w:tcW w:w="24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70FA3DD9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Biolegend</w:t>
            </w:r>
          </w:p>
        </w:tc>
        <w:tc>
          <w:tcPr>
            <w:tcW w:w="178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4B23A258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317416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3117F531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FC</w:t>
            </w:r>
          </w:p>
        </w:tc>
      </w:tr>
      <w:tr w14:paraId="2B2C556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  <w:jc w:val="center"/>
        </w:trPr>
        <w:tc>
          <w:tcPr>
            <w:tcW w:w="364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77073408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fldChar w:fldCharType="begin"/>
            </w:r>
            <w:r>
              <w:instrText xml:space="preserve"> HYPERLINK "https://www.casmart.com.cn/product-details/page/1269/73339104" \o "https://www.casmart.com.cn/product-details/page/1269/73339104" </w:instrText>
            </w:r>
            <w:r>
              <w:fldChar w:fldCharType="separate"/>
            </w:r>
            <w:r>
              <w:rPr>
                <w:rStyle w:val="7"/>
                <w:rFonts w:eastAsia="宋体"/>
                <w:color w:val="000000"/>
                <w:u w:val="none"/>
              </w:rPr>
              <w:t>BV421 Anti-Human CD8</w:t>
            </w:r>
            <w:r>
              <w:rPr>
                <w:rStyle w:val="7"/>
                <w:rFonts w:eastAsia="宋体"/>
                <w:color w:val="000000"/>
                <w:u w:val="none"/>
              </w:rPr>
              <w:fldChar w:fldCharType="end"/>
            </w:r>
          </w:p>
        </w:tc>
        <w:tc>
          <w:tcPr>
            <w:tcW w:w="24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6A6415C2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BD</w:t>
            </w:r>
          </w:p>
        </w:tc>
        <w:tc>
          <w:tcPr>
            <w:tcW w:w="178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1CA3A140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562428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4C6DCBB2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FC</w:t>
            </w:r>
          </w:p>
        </w:tc>
      </w:tr>
      <w:tr w14:paraId="4BC07198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  <w:jc w:val="center"/>
        </w:trPr>
        <w:tc>
          <w:tcPr>
            <w:tcW w:w="364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5ED49C1E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fldChar w:fldCharType="begin"/>
            </w:r>
            <w:r>
              <w:instrText xml:space="preserve"> HYPERLINK "https://www.casmart.com.cn/product-details/page/1269/808077336" \o "https://www.casmart.com.cn/product-details/page/1269/808077336" </w:instrText>
            </w:r>
            <w:r>
              <w:fldChar w:fldCharType="separate"/>
            </w:r>
            <w:r>
              <w:rPr>
                <w:rStyle w:val="7"/>
                <w:rFonts w:eastAsia="宋体"/>
                <w:color w:val="000000"/>
                <w:u w:val="none"/>
              </w:rPr>
              <w:t xml:space="preserve"> PE-CYN7 Anti-Human CD57</w:t>
            </w:r>
            <w:r>
              <w:rPr>
                <w:rStyle w:val="7"/>
                <w:rFonts w:eastAsia="宋体"/>
                <w:color w:val="000000"/>
                <w:u w:val="none"/>
              </w:rPr>
              <w:fldChar w:fldCharType="end"/>
            </w:r>
          </w:p>
        </w:tc>
        <w:tc>
          <w:tcPr>
            <w:tcW w:w="24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1D760CFB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Thermo Fisher</w:t>
            </w:r>
          </w:p>
        </w:tc>
        <w:tc>
          <w:tcPr>
            <w:tcW w:w="178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54DCCA1B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25-0577-42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35424E3E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FC</w:t>
            </w:r>
          </w:p>
        </w:tc>
      </w:tr>
      <w:tr w14:paraId="09E2F50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  <w:jc w:val="center"/>
        </w:trPr>
        <w:tc>
          <w:tcPr>
            <w:tcW w:w="364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30D2C297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BV605 Anti-Human PD-1</w:t>
            </w:r>
          </w:p>
        </w:tc>
        <w:tc>
          <w:tcPr>
            <w:tcW w:w="24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207FE3B0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BD</w:t>
            </w:r>
          </w:p>
        </w:tc>
        <w:tc>
          <w:tcPr>
            <w:tcW w:w="178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654E9FB1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563245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14513174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FC</w:t>
            </w:r>
          </w:p>
        </w:tc>
      </w:tr>
      <w:tr w14:paraId="5A7C144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  <w:jc w:val="center"/>
        </w:trPr>
        <w:tc>
          <w:tcPr>
            <w:tcW w:w="364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62DFB941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fldChar w:fldCharType="begin"/>
            </w:r>
            <w:r>
              <w:instrText xml:space="preserve"> HYPERLINK "https://www.casmart.com.cn/product-details/page/300070148/797706188" \o "https://www.casmart.com.cn/product-details/page/300070148/797706188" </w:instrText>
            </w:r>
            <w:r>
              <w:fldChar w:fldCharType="separate"/>
            </w:r>
            <w:r>
              <w:rPr>
                <w:rStyle w:val="7"/>
                <w:rFonts w:eastAsia="宋体"/>
                <w:color w:val="000000"/>
                <w:u w:val="none"/>
              </w:rPr>
              <w:t>EF450 Anti-Human CD28</w:t>
            </w:r>
            <w:r>
              <w:rPr>
                <w:rStyle w:val="7"/>
                <w:rFonts w:eastAsia="宋体"/>
                <w:color w:val="000000"/>
                <w:u w:val="none"/>
              </w:rPr>
              <w:fldChar w:fldCharType="end"/>
            </w:r>
          </w:p>
        </w:tc>
        <w:tc>
          <w:tcPr>
            <w:tcW w:w="24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3BD2E208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Invitrogen</w:t>
            </w:r>
          </w:p>
        </w:tc>
        <w:tc>
          <w:tcPr>
            <w:tcW w:w="178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24362A92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48-0289-42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4D0BD876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FC</w:t>
            </w:r>
          </w:p>
        </w:tc>
      </w:tr>
      <w:tr w14:paraId="72F89F0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  <w:jc w:val="center"/>
        </w:trPr>
        <w:tc>
          <w:tcPr>
            <w:tcW w:w="364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65222FAB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fldChar w:fldCharType="begin"/>
            </w:r>
            <w:r>
              <w:instrText xml:space="preserve"> HYPERLINK "https://www.casmart.com.cn/product-details/page/1269/491537315" \o "https://www.casmart.com.cn/product-details/page/1269/491537315" </w:instrText>
            </w:r>
            <w:r>
              <w:fldChar w:fldCharType="separate"/>
            </w:r>
            <w:r>
              <w:rPr>
                <w:rStyle w:val="7"/>
                <w:rFonts w:eastAsia="宋体"/>
                <w:color w:val="000000"/>
                <w:u w:val="none"/>
              </w:rPr>
              <w:t>FITC Anti-Human/Mouse</w:t>
            </w:r>
            <w:r>
              <w:rPr>
                <w:rStyle w:val="7"/>
                <w:rFonts w:hint="eastAsia" w:eastAsia="宋体"/>
                <w:color w:val="000000"/>
                <w:u w:val="none"/>
                <w:lang w:val="en-US" w:eastAsia="zh-CN"/>
              </w:rPr>
              <w:t xml:space="preserve"> </w:t>
            </w:r>
            <w:r>
              <w:rPr>
                <w:rStyle w:val="7"/>
                <w:rFonts w:eastAsia="宋体"/>
                <w:color w:val="000000"/>
                <w:u w:val="none"/>
              </w:rPr>
              <w:t>Phospho</w:t>
            </w:r>
            <w:r>
              <w:rPr>
                <w:rStyle w:val="7"/>
                <w:rFonts w:hint="eastAsia" w:eastAsia="宋体"/>
                <w:color w:val="000000"/>
                <w:u w:val="none"/>
                <w:lang w:val="en-US" w:eastAsia="zh-CN"/>
              </w:rPr>
              <w:t>-</w:t>
            </w:r>
            <w:r>
              <w:rPr>
                <w:rStyle w:val="7"/>
                <w:rFonts w:eastAsia="宋体"/>
                <w:color w:val="000000"/>
                <w:u w:val="none"/>
              </w:rPr>
              <w:t>H2A.X  (Ser139)</w:t>
            </w:r>
            <w:r>
              <w:rPr>
                <w:rStyle w:val="7"/>
                <w:rFonts w:eastAsia="宋体"/>
                <w:color w:val="000000"/>
                <w:u w:val="none"/>
              </w:rPr>
              <w:fldChar w:fldCharType="end"/>
            </w:r>
          </w:p>
        </w:tc>
        <w:tc>
          <w:tcPr>
            <w:tcW w:w="24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6B8BB173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BioLegend</w:t>
            </w:r>
          </w:p>
        </w:tc>
        <w:tc>
          <w:tcPr>
            <w:tcW w:w="178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69236C0E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613404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0EF548DA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FC/WB/IF</w:t>
            </w:r>
          </w:p>
        </w:tc>
      </w:tr>
      <w:tr w14:paraId="7263F2D9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  <w:jc w:val="center"/>
        </w:trPr>
        <w:tc>
          <w:tcPr>
            <w:tcW w:w="364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46F97C20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 xml:space="preserve">  Anti-human/mouse p21 antibody</w:t>
            </w:r>
          </w:p>
        </w:tc>
        <w:tc>
          <w:tcPr>
            <w:tcW w:w="24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6C1BB475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abcam</w:t>
            </w:r>
          </w:p>
        </w:tc>
        <w:tc>
          <w:tcPr>
            <w:tcW w:w="178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7DE6EEBA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ab188224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1F614A16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FC/WB/IF</w:t>
            </w:r>
          </w:p>
        </w:tc>
      </w:tr>
      <w:tr w14:paraId="66837DB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  <w:jc w:val="center"/>
        </w:trPr>
        <w:tc>
          <w:tcPr>
            <w:tcW w:w="364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7F686C42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fldChar w:fldCharType="begin"/>
            </w:r>
            <w:r>
              <w:instrText xml:space="preserve"> HYPERLINK "https://www.casmart.com.cn/product-details/page/1269/883828431" \o "https://www.casmart.com.cn/product-details/page/1269/883828431" </w:instrText>
            </w:r>
            <w:r>
              <w:fldChar w:fldCharType="separate"/>
            </w:r>
            <w:r>
              <w:rPr>
                <w:rStyle w:val="7"/>
                <w:rFonts w:eastAsia="宋体"/>
                <w:color w:val="000000"/>
                <w:u w:val="none"/>
              </w:rPr>
              <w:t>Anti-Human/Mouse PMPCB antibody</w:t>
            </w:r>
            <w:r>
              <w:rPr>
                <w:rStyle w:val="7"/>
                <w:rFonts w:eastAsia="宋体"/>
                <w:color w:val="000000"/>
                <w:u w:val="none"/>
              </w:rPr>
              <w:fldChar w:fldCharType="end"/>
            </w:r>
          </w:p>
        </w:tc>
        <w:tc>
          <w:tcPr>
            <w:tcW w:w="24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640E22E0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Thermo Fisher</w:t>
            </w:r>
          </w:p>
        </w:tc>
        <w:tc>
          <w:tcPr>
            <w:tcW w:w="178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0D5CD1CE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MA549303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3CE98AED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WB/IF</w:t>
            </w:r>
          </w:p>
        </w:tc>
      </w:tr>
      <w:tr w14:paraId="4031CF0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  <w:jc w:val="center"/>
        </w:trPr>
        <w:tc>
          <w:tcPr>
            <w:tcW w:w="364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5D79AFBD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fldChar w:fldCharType="begin"/>
            </w:r>
            <w:r>
              <w:instrText xml:space="preserve"> HYPERLINK "https://www.casmart.com.cn/product-details/page/1269/383882147" \o "https://www.casmart.com.cn/product-details/page/1269/383882147" </w:instrText>
            </w:r>
            <w:r>
              <w:fldChar w:fldCharType="separate"/>
            </w:r>
            <w:r>
              <w:rPr>
                <w:rStyle w:val="7"/>
                <w:rFonts w:eastAsia="宋体"/>
                <w:color w:val="000000"/>
                <w:u w:val="none"/>
              </w:rPr>
              <w:t>Anti-Human/Mouse NDUFS8 antibody</w:t>
            </w:r>
            <w:r>
              <w:rPr>
                <w:rStyle w:val="7"/>
                <w:rFonts w:eastAsia="宋体"/>
                <w:color w:val="000000"/>
                <w:u w:val="none"/>
              </w:rPr>
              <w:fldChar w:fldCharType="end"/>
            </w:r>
          </w:p>
        </w:tc>
        <w:tc>
          <w:tcPr>
            <w:tcW w:w="24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2057C798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abcam</w:t>
            </w:r>
          </w:p>
        </w:tc>
        <w:tc>
          <w:tcPr>
            <w:tcW w:w="178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6290D534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ab170936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69501490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WB</w:t>
            </w:r>
          </w:p>
        </w:tc>
      </w:tr>
      <w:tr w14:paraId="298205F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  <w:jc w:val="center"/>
        </w:trPr>
        <w:tc>
          <w:tcPr>
            <w:tcW w:w="364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51DF020C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fldChar w:fldCharType="begin"/>
            </w:r>
            <w:r>
              <w:instrText xml:space="preserve"> HYPERLINK "https://www.casmart.com.cn/product-details/page/1269/73339740" \o "https://www.casmart.com.cn/product-details/page/1269/73339740" </w:instrText>
            </w:r>
            <w:r>
              <w:fldChar w:fldCharType="separate"/>
            </w:r>
            <w:r>
              <w:rPr>
                <w:rStyle w:val="7"/>
                <w:rFonts w:eastAsia="宋体"/>
                <w:color w:val="000000"/>
                <w:u w:val="none"/>
              </w:rPr>
              <w:t>APC-CY7 Anti-Mouse CD3</w:t>
            </w:r>
            <w:r>
              <w:rPr>
                <w:rStyle w:val="7"/>
                <w:rFonts w:eastAsia="宋体"/>
                <w:color w:val="000000"/>
                <w:u w:val="none"/>
              </w:rPr>
              <w:fldChar w:fldCharType="end"/>
            </w:r>
          </w:p>
        </w:tc>
        <w:tc>
          <w:tcPr>
            <w:tcW w:w="24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735E7866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Biolegend</w:t>
            </w:r>
          </w:p>
        </w:tc>
        <w:tc>
          <w:tcPr>
            <w:tcW w:w="178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0A3DCC6E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100222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7FD856AC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FC</w:t>
            </w:r>
          </w:p>
        </w:tc>
      </w:tr>
      <w:tr w14:paraId="5122D12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  <w:jc w:val="center"/>
        </w:trPr>
        <w:tc>
          <w:tcPr>
            <w:tcW w:w="364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7C2B8368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PE-Cy7 Anti-Mouse CD8α</w:t>
            </w:r>
          </w:p>
        </w:tc>
        <w:tc>
          <w:tcPr>
            <w:tcW w:w="24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2C5D3334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Abmart</w:t>
            </w:r>
          </w:p>
        </w:tc>
        <w:tc>
          <w:tcPr>
            <w:tcW w:w="178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0E8226A3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FL200805S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3210FF67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FC</w:t>
            </w:r>
          </w:p>
        </w:tc>
      </w:tr>
      <w:tr w14:paraId="167849B8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  <w:jc w:val="center"/>
        </w:trPr>
        <w:tc>
          <w:tcPr>
            <w:tcW w:w="364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3FBDE077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fldChar w:fldCharType="begin"/>
            </w:r>
            <w:r>
              <w:instrText xml:space="preserve"> HYPERLINK "https://www.casmart.com.cn/product-details/page/1269/73339614" \o "https://www.casmart.com.cn/product-details/page/1269/73339614" </w:instrText>
            </w:r>
            <w:r>
              <w:fldChar w:fldCharType="separate"/>
            </w:r>
            <w:r>
              <w:rPr>
                <w:rStyle w:val="7"/>
                <w:rFonts w:eastAsia="宋体"/>
                <w:color w:val="000000"/>
                <w:u w:val="none"/>
              </w:rPr>
              <w:t>BV605 Anti-Mouse CD44</w:t>
            </w:r>
            <w:r>
              <w:rPr>
                <w:rStyle w:val="7"/>
                <w:rFonts w:eastAsia="宋体"/>
                <w:color w:val="000000"/>
                <w:u w:val="none"/>
              </w:rPr>
              <w:fldChar w:fldCharType="end"/>
            </w:r>
          </w:p>
        </w:tc>
        <w:tc>
          <w:tcPr>
            <w:tcW w:w="24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72590A45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BD</w:t>
            </w:r>
          </w:p>
        </w:tc>
        <w:tc>
          <w:tcPr>
            <w:tcW w:w="178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5CEBFF7D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563058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64B53327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FC</w:t>
            </w:r>
          </w:p>
        </w:tc>
      </w:tr>
      <w:tr w14:paraId="46F67BF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  <w:jc w:val="center"/>
        </w:trPr>
        <w:tc>
          <w:tcPr>
            <w:tcW w:w="364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1FB0D690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fldChar w:fldCharType="begin"/>
            </w:r>
            <w:r>
              <w:instrText xml:space="preserve"> HYPERLINK "https://www.casmart.com.cn/product-details/page/300069986/849398659" \o "https://www.casmart.com.cn/product-details/page/300069986/849398659" </w:instrText>
            </w:r>
            <w:r>
              <w:fldChar w:fldCharType="separate"/>
            </w:r>
            <w:r>
              <w:rPr>
                <w:rStyle w:val="7"/>
                <w:rFonts w:eastAsia="宋体"/>
                <w:color w:val="000000"/>
                <w:u w:val="none"/>
              </w:rPr>
              <w:t>PE Anti-Mouse CD153</w:t>
            </w:r>
            <w:r>
              <w:rPr>
                <w:rStyle w:val="7"/>
                <w:rFonts w:eastAsia="宋体"/>
                <w:color w:val="000000"/>
                <w:u w:val="none"/>
              </w:rPr>
              <w:fldChar w:fldCharType="end"/>
            </w:r>
          </w:p>
        </w:tc>
        <w:tc>
          <w:tcPr>
            <w:tcW w:w="24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5E24070F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Biolegend</w:t>
            </w:r>
          </w:p>
        </w:tc>
        <w:tc>
          <w:tcPr>
            <w:tcW w:w="178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272FC5DC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106405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6EC6429D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FC</w:t>
            </w:r>
          </w:p>
        </w:tc>
      </w:tr>
      <w:tr w14:paraId="259AFDD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  <w:jc w:val="center"/>
        </w:trPr>
        <w:tc>
          <w:tcPr>
            <w:tcW w:w="364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78FF9BF5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FITC Anti-Human CD41</w:t>
            </w:r>
          </w:p>
        </w:tc>
        <w:tc>
          <w:tcPr>
            <w:tcW w:w="24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010EFA4C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Biolegend</w:t>
            </w:r>
          </w:p>
        </w:tc>
        <w:tc>
          <w:tcPr>
            <w:tcW w:w="178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36A4E57D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303704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6F04C8DF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FC</w:t>
            </w:r>
          </w:p>
        </w:tc>
      </w:tr>
      <w:tr w14:paraId="09D7353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  <w:jc w:val="center"/>
        </w:trPr>
        <w:tc>
          <w:tcPr>
            <w:tcW w:w="364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4609BBA9">
            <w:pPr>
              <w:jc w:val="center"/>
              <w:textAlignment w:val="center"/>
              <w:rPr>
                <w:rFonts w:eastAsia="宋体"/>
                <w:color w:val="000000"/>
                <w:lang w:val="en-US" w:eastAsia="zh-CN" w:bidi="ar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FITC Anti-</w:t>
            </w:r>
            <w:r>
              <w:rPr>
                <w:rFonts w:hint="eastAsia" w:eastAsia="宋体"/>
                <w:color w:val="000000"/>
                <w:lang w:val="en-US" w:eastAsia="zh-CN" w:bidi="ar"/>
              </w:rPr>
              <w:t>Mouse</w:t>
            </w:r>
            <w:r>
              <w:rPr>
                <w:rFonts w:eastAsia="宋体"/>
                <w:color w:val="000000"/>
                <w:lang w:val="en-US" w:eastAsia="zh-CN" w:bidi="ar"/>
              </w:rPr>
              <w:t xml:space="preserve"> CD41</w:t>
            </w:r>
          </w:p>
        </w:tc>
        <w:tc>
          <w:tcPr>
            <w:tcW w:w="24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7E711AF5">
            <w:pPr>
              <w:jc w:val="center"/>
              <w:textAlignment w:val="center"/>
              <w:rPr>
                <w:rFonts w:eastAsia="宋体"/>
                <w:color w:val="000000"/>
                <w:lang w:val="en-US" w:eastAsia="zh-CN" w:bidi="ar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Biolegend</w:t>
            </w:r>
          </w:p>
        </w:tc>
        <w:tc>
          <w:tcPr>
            <w:tcW w:w="178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54241DAB">
            <w:pPr>
              <w:jc w:val="center"/>
              <w:textAlignment w:val="center"/>
              <w:rPr>
                <w:rFonts w:eastAsia="宋体"/>
                <w:color w:val="000000"/>
                <w:lang w:val="en-US" w:eastAsia="zh-CN" w:bidi="ar"/>
              </w:rPr>
            </w:pPr>
            <w:r>
              <w:rPr>
                <w:rFonts w:hint="eastAsia" w:eastAsia="宋体"/>
                <w:color w:val="000000"/>
                <w:lang w:eastAsia="zh-CN" w:bidi="ar"/>
              </w:rPr>
              <w:t>S0B5205-500T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0892FBEC">
            <w:pPr>
              <w:jc w:val="center"/>
              <w:textAlignment w:val="center"/>
              <w:rPr>
                <w:rFonts w:eastAsia="宋体"/>
                <w:color w:val="000000"/>
                <w:lang w:val="en-US" w:eastAsia="zh-CN" w:bidi="ar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FC</w:t>
            </w:r>
          </w:p>
        </w:tc>
      </w:tr>
      <w:tr w14:paraId="54C5A3C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  <w:jc w:val="center"/>
        </w:trPr>
        <w:tc>
          <w:tcPr>
            <w:tcW w:w="364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20209C4D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β-Actin antibody</w:t>
            </w:r>
          </w:p>
        </w:tc>
        <w:tc>
          <w:tcPr>
            <w:tcW w:w="24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1E190759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Cell Signaling Technology</w:t>
            </w:r>
          </w:p>
        </w:tc>
        <w:tc>
          <w:tcPr>
            <w:tcW w:w="178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413B9ED9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Ca# 3700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2749C98B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WB</w:t>
            </w:r>
          </w:p>
        </w:tc>
      </w:tr>
      <w:tr w14:paraId="6F73C71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  <w:jc w:val="center"/>
        </w:trPr>
        <w:tc>
          <w:tcPr>
            <w:tcW w:w="364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3D27D6D0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COX IV antibody</w:t>
            </w:r>
          </w:p>
        </w:tc>
        <w:tc>
          <w:tcPr>
            <w:tcW w:w="24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3C68D024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Servicebio</w:t>
            </w:r>
          </w:p>
        </w:tc>
        <w:tc>
          <w:tcPr>
            <w:tcW w:w="178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1C05C21B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GB15250-100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23F45529">
            <w:pPr>
              <w:jc w:val="center"/>
              <w:textAlignment w:val="center"/>
              <w:rPr>
                <w:rFonts w:hint="default" w:eastAsia="宋体"/>
                <w:color w:val="000000"/>
                <w:lang w:val="en-US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WB</w:t>
            </w:r>
            <w:r>
              <w:rPr>
                <w:rFonts w:hint="eastAsia" w:eastAsia="宋体"/>
                <w:color w:val="000000"/>
                <w:lang w:val="en-US" w:eastAsia="zh-CN" w:bidi="ar"/>
              </w:rPr>
              <w:t>/IF</w:t>
            </w:r>
          </w:p>
        </w:tc>
      </w:tr>
      <w:tr w14:paraId="69987A08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2" w:hRule="atLeast"/>
          <w:jc w:val="center"/>
        </w:trPr>
        <w:tc>
          <w:tcPr>
            <w:tcW w:w="364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47A94B84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Goat anti-Rabbit IgG (H+L) Highly Cross-Adsorbed Secondary Antibody, Alexa Fluor 488</w:t>
            </w:r>
          </w:p>
        </w:tc>
        <w:tc>
          <w:tcPr>
            <w:tcW w:w="24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44C2ED88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Thermo Fisher Scientific</w:t>
            </w:r>
          </w:p>
        </w:tc>
        <w:tc>
          <w:tcPr>
            <w:tcW w:w="178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051F4770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A11034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1C043CAD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FC</w:t>
            </w:r>
          </w:p>
        </w:tc>
      </w:tr>
      <w:tr w14:paraId="038905B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  <w:jc w:val="center"/>
        </w:trPr>
        <w:tc>
          <w:tcPr>
            <w:tcW w:w="364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198E8629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HRP labeled goat anti-Rabbit IgG (H+L)</w:t>
            </w:r>
          </w:p>
        </w:tc>
        <w:tc>
          <w:tcPr>
            <w:tcW w:w="241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0BBD9309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Abcam</w:t>
            </w:r>
          </w:p>
        </w:tc>
        <w:tc>
          <w:tcPr>
            <w:tcW w:w="178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02BE8655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Cat# 205718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623417FC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WB</w:t>
            </w:r>
          </w:p>
        </w:tc>
      </w:tr>
      <w:tr w14:paraId="79D96848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  <w:jc w:val="center"/>
        </w:trPr>
        <w:tc>
          <w:tcPr>
            <w:tcW w:w="3644" w:type="dxa"/>
            <w:tcBorders>
              <w:top w:val="nil"/>
              <w:left w:val="nil"/>
              <w:bottom w:val="single" w:color="000000" w:sz="12" w:space="0"/>
              <w:right w:val="nil"/>
            </w:tcBorders>
            <w:shd w:val="clear" w:color="auto" w:fill="FFFFFF"/>
            <w:vAlign w:val="center"/>
          </w:tcPr>
          <w:p w14:paraId="3AAD7F9F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HRP labeled goat anti-Mouse IgG (H+L)</w:t>
            </w:r>
          </w:p>
        </w:tc>
        <w:tc>
          <w:tcPr>
            <w:tcW w:w="2412" w:type="dxa"/>
            <w:tcBorders>
              <w:top w:val="nil"/>
              <w:left w:val="nil"/>
              <w:bottom w:val="single" w:color="000000" w:sz="12" w:space="0"/>
              <w:right w:val="nil"/>
            </w:tcBorders>
            <w:shd w:val="clear" w:color="auto" w:fill="FFFFFF"/>
            <w:vAlign w:val="center"/>
          </w:tcPr>
          <w:p w14:paraId="2D05C271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Abcam</w:t>
            </w:r>
          </w:p>
        </w:tc>
        <w:tc>
          <w:tcPr>
            <w:tcW w:w="1786" w:type="dxa"/>
            <w:tcBorders>
              <w:top w:val="nil"/>
              <w:left w:val="nil"/>
              <w:bottom w:val="single" w:color="000000" w:sz="12" w:space="0"/>
              <w:right w:val="nil"/>
            </w:tcBorders>
            <w:shd w:val="clear" w:color="auto" w:fill="FFFFFF"/>
            <w:vAlign w:val="center"/>
          </w:tcPr>
          <w:p w14:paraId="51012E0F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Cat# 205719</w:t>
            </w:r>
          </w:p>
        </w:tc>
        <w:tc>
          <w:tcPr>
            <w:tcW w:w="1243" w:type="dxa"/>
            <w:tcBorders>
              <w:top w:val="nil"/>
              <w:left w:val="nil"/>
              <w:bottom w:val="single" w:color="000000" w:sz="12" w:space="0"/>
              <w:right w:val="nil"/>
            </w:tcBorders>
            <w:shd w:val="clear" w:color="auto" w:fill="FFFFFF"/>
            <w:vAlign w:val="center"/>
          </w:tcPr>
          <w:p w14:paraId="3550DA74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WB</w:t>
            </w:r>
          </w:p>
        </w:tc>
      </w:tr>
    </w:tbl>
    <w:p w14:paraId="248291B0">
      <w:pPr>
        <w:pStyle w:val="8"/>
        <w:spacing w:before="156" w:beforeLines="50" w:after="156" w:afterLines="50" w:line="480" w:lineRule="auto"/>
        <w:rPr>
          <w:rFonts w:ascii="Times New Roman" w:hAnsi="Times New Roman" w:cs="Times New Roman"/>
          <w:b/>
          <w:bCs/>
          <w:color w:val="auto"/>
        </w:rPr>
      </w:pPr>
    </w:p>
    <w:p w14:paraId="401BC668">
      <w:pPr>
        <w:pStyle w:val="8"/>
        <w:spacing w:before="156" w:beforeLines="50" w:after="156" w:afterLines="50" w:line="480" w:lineRule="auto"/>
        <w:rPr>
          <w:rFonts w:ascii="Times New Roman" w:hAnsi="Times New Roman" w:cs="Times New Roman"/>
          <w:b/>
          <w:bCs/>
          <w:color w:val="auto"/>
        </w:rPr>
      </w:pPr>
    </w:p>
    <w:p w14:paraId="049769D6">
      <w:pPr>
        <w:pStyle w:val="8"/>
        <w:spacing w:before="156" w:beforeLines="50" w:after="156" w:afterLines="50" w:line="480" w:lineRule="auto"/>
        <w:rPr>
          <w:rFonts w:ascii="Times New Roman" w:hAnsi="Times New Roman" w:cs="Times New Roman"/>
          <w:b/>
          <w:bCs/>
          <w:color w:val="auto"/>
        </w:rPr>
      </w:pPr>
    </w:p>
    <w:p w14:paraId="3FC3F95B">
      <w:pPr>
        <w:pStyle w:val="8"/>
        <w:spacing w:before="156" w:beforeLines="50" w:after="156" w:afterLines="50" w:line="480" w:lineRule="auto"/>
        <w:rPr>
          <w:rFonts w:ascii="Times New Roman" w:hAnsi="Times New Roman" w:cs="Times New Roman"/>
          <w:b/>
          <w:bCs/>
          <w:color w:val="auto"/>
        </w:rPr>
      </w:pPr>
    </w:p>
    <w:p w14:paraId="5C41DDE4">
      <w:pPr>
        <w:pStyle w:val="8"/>
        <w:spacing w:before="156" w:beforeLines="50" w:after="156" w:afterLines="50" w:line="480" w:lineRule="auto"/>
        <w:rPr>
          <w:rFonts w:ascii="Times New Roman" w:hAnsi="Times New Roman" w:cs="Times New Roman"/>
          <w:b/>
          <w:bCs/>
          <w:color w:val="auto"/>
        </w:rPr>
      </w:pPr>
      <w:r>
        <w:rPr>
          <w:rFonts w:ascii="Times New Roman" w:hAnsi="Times New Roman" w:cs="Times New Roman"/>
          <w:b/>
          <w:bCs/>
          <w:color w:val="auto"/>
        </w:rPr>
        <w:t>Table S</w:t>
      </w:r>
      <w:r>
        <w:rPr>
          <w:rFonts w:hint="eastAsia" w:ascii="Times New Roman" w:hAnsi="Times New Roman" w:cs="Times New Roman"/>
          <w:b/>
          <w:bCs/>
          <w:color w:val="auto"/>
        </w:rPr>
        <w:t>4</w:t>
      </w:r>
      <w:r>
        <w:rPr>
          <w:rFonts w:ascii="Times New Roman" w:hAnsi="Times New Roman" w:cs="Times New Roman"/>
          <w:b/>
          <w:bCs/>
          <w:color w:val="auto"/>
        </w:rPr>
        <w:t>. The sequence sets for siRNA</w:t>
      </w:r>
    </w:p>
    <w:tbl>
      <w:tblPr>
        <w:tblStyle w:val="5"/>
        <w:tblW w:w="9008" w:type="dxa"/>
        <w:jc w:val="center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273"/>
        <w:gridCol w:w="2306"/>
        <w:gridCol w:w="4429"/>
      </w:tblGrid>
      <w:tr w14:paraId="606CFEF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2244" w:type="dxa"/>
            <w:tcBorders>
              <w:top w:val="single" w:color="000000" w:sz="12" w:space="0"/>
              <w:left w:val="nil"/>
              <w:bottom w:val="single" w:color="000000" w:sz="4" w:space="0"/>
              <w:right w:val="nil"/>
              <w:tl2br w:val="nil"/>
            </w:tcBorders>
            <w:shd w:val="clear" w:color="auto" w:fill="FFFFFF"/>
            <w:noWrap/>
            <w:vAlign w:val="center"/>
          </w:tcPr>
          <w:p w14:paraId="65EA58C1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siRNA (human)</w:t>
            </w:r>
          </w:p>
        </w:tc>
        <w:tc>
          <w:tcPr>
            <w:tcW w:w="6649" w:type="dxa"/>
            <w:gridSpan w:val="2"/>
            <w:tcBorders>
              <w:top w:val="single" w:color="000000" w:sz="12" w:space="0"/>
              <w:left w:val="nil"/>
              <w:bottom w:val="single" w:color="000000" w:sz="4" w:space="0"/>
              <w:right w:val="nil"/>
            </w:tcBorders>
            <w:shd w:val="clear" w:color="auto" w:fill="FFFFFF"/>
            <w:noWrap/>
            <w:vAlign w:val="center"/>
          </w:tcPr>
          <w:p w14:paraId="6A5BD7A7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bCs/>
                <w:color w:val="000000"/>
                <w:lang w:val="en-US" w:eastAsia="zh-CN" w:bidi="ar"/>
              </w:rPr>
              <w:t>Primer Sequence (5'-3')</w:t>
            </w:r>
          </w:p>
        </w:tc>
      </w:tr>
      <w:tr w14:paraId="44A5A4CF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  <w:jc w:val="center"/>
        </w:trPr>
        <w:tc>
          <w:tcPr>
            <w:tcW w:w="2244" w:type="dxa"/>
            <w:vMerge w:val="restart"/>
            <w:tcBorders>
              <w:top w:val="single" w:color="000000" w:sz="4" w:space="0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507DB5F3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siPMPCB-si-1</w:t>
            </w:r>
          </w:p>
        </w:tc>
        <w:tc>
          <w:tcPr>
            <w:tcW w:w="2277" w:type="dxa"/>
            <w:tcBorders>
              <w:top w:val="single" w:color="000000" w:sz="4" w:space="0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01BA06EB">
            <w:pPr>
              <w:jc w:val="center"/>
              <w:textAlignment w:val="center"/>
              <w:rPr>
                <w:rFonts w:eastAsia="宋体"/>
                <w:color w:val="000000"/>
                <w:lang w:val="en-US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Sense (</w:t>
            </w:r>
            <w:r>
              <w:rPr>
                <w:rStyle w:val="11"/>
                <w:rFonts w:ascii="Times New Roman" w:hAnsi="Times New Roman" w:eastAsia="宋体" w:cs="Times New Roman"/>
                <w:sz w:val="24"/>
                <w:szCs w:val="24"/>
                <w:lang w:val="en-US" w:eastAsia="zh-CN" w:bidi="ar"/>
              </w:rPr>
              <w:t>5'-3')</w:t>
            </w:r>
          </w:p>
        </w:tc>
        <w:tc>
          <w:tcPr>
            <w:tcW w:w="4372" w:type="dxa"/>
            <w:tcBorders>
              <w:top w:val="single" w:color="000000" w:sz="4" w:space="0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58A81E77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CGAAAAUGAGAAGAACAAUGGdTdT</w:t>
            </w:r>
          </w:p>
        </w:tc>
      </w:tr>
      <w:tr w14:paraId="0A321A2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  <w:jc w:val="center"/>
        </w:trPr>
        <w:tc>
          <w:tcPr>
            <w:tcW w:w="2244" w:type="dxa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21B0610F">
            <w:pPr>
              <w:jc w:val="center"/>
              <w:rPr>
                <w:rFonts w:eastAsia="宋体"/>
                <w:color w:val="000000"/>
              </w:rPr>
            </w:pPr>
          </w:p>
        </w:tc>
        <w:tc>
          <w:tcPr>
            <w:tcW w:w="227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06883759">
            <w:pPr>
              <w:jc w:val="center"/>
              <w:textAlignment w:val="center"/>
              <w:rPr>
                <w:rFonts w:eastAsia="宋体"/>
                <w:color w:val="000000"/>
                <w:lang w:val="en-US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Antisense (</w:t>
            </w:r>
            <w:r>
              <w:rPr>
                <w:rStyle w:val="11"/>
                <w:rFonts w:ascii="Times New Roman" w:hAnsi="Times New Roman" w:eastAsia="宋体" w:cs="Times New Roman"/>
                <w:sz w:val="24"/>
                <w:szCs w:val="24"/>
                <w:lang w:val="en-US" w:eastAsia="zh-CN" w:bidi="ar"/>
              </w:rPr>
              <w:t>5'-3')</w:t>
            </w:r>
          </w:p>
        </w:tc>
        <w:tc>
          <w:tcPr>
            <w:tcW w:w="437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32BFFBF8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CCAUUGUUCUUCUCAUUUUCGdTdT</w:t>
            </w:r>
          </w:p>
        </w:tc>
      </w:tr>
      <w:tr w14:paraId="513795C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  <w:jc w:val="center"/>
        </w:trPr>
        <w:tc>
          <w:tcPr>
            <w:tcW w:w="2244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3F21574E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siPMPCB-si-2</w:t>
            </w:r>
          </w:p>
        </w:tc>
        <w:tc>
          <w:tcPr>
            <w:tcW w:w="227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7D1F13B7">
            <w:pPr>
              <w:jc w:val="center"/>
              <w:textAlignment w:val="center"/>
              <w:rPr>
                <w:rFonts w:eastAsia="宋体"/>
                <w:color w:val="000000"/>
                <w:lang w:val="en-US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Sense (</w:t>
            </w:r>
            <w:r>
              <w:rPr>
                <w:rStyle w:val="11"/>
                <w:rFonts w:ascii="Times New Roman" w:hAnsi="Times New Roman" w:eastAsia="宋体" w:cs="Times New Roman"/>
                <w:sz w:val="24"/>
                <w:szCs w:val="24"/>
                <w:lang w:val="en-US" w:eastAsia="zh-CN" w:bidi="ar"/>
              </w:rPr>
              <w:t>5'-3')</w:t>
            </w:r>
          </w:p>
        </w:tc>
        <w:tc>
          <w:tcPr>
            <w:tcW w:w="437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2C443F27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CAUUUCGGUGACUCUUUAUGCdTdT</w:t>
            </w:r>
          </w:p>
        </w:tc>
      </w:tr>
      <w:tr w14:paraId="5F312D0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  <w:jc w:val="center"/>
        </w:trPr>
        <w:tc>
          <w:tcPr>
            <w:tcW w:w="2244" w:type="dxa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5C78FE1B">
            <w:pPr>
              <w:jc w:val="center"/>
              <w:rPr>
                <w:rFonts w:eastAsia="宋体"/>
                <w:color w:val="000000"/>
              </w:rPr>
            </w:pPr>
          </w:p>
        </w:tc>
        <w:tc>
          <w:tcPr>
            <w:tcW w:w="227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28B9285A">
            <w:pPr>
              <w:jc w:val="center"/>
              <w:textAlignment w:val="center"/>
              <w:rPr>
                <w:rFonts w:eastAsia="宋体"/>
                <w:color w:val="000000"/>
                <w:lang w:val="en-US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Antisense (</w:t>
            </w:r>
            <w:r>
              <w:rPr>
                <w:rStyle w:val="11"/>
                <w:rFonts w:ascii="Times New Roman" w:hAnsi="Times New Roman" w:eastAsia="宋体" w:cs="Times New Roman"/>
                <w:sz w:val="24"/>
                <w:szCs w:val="24"/>
                <w:lang w:val="en-US" w:eastAsia="zh-CN" w:bidi="ar"/>
              </w:rPr>
              <w:t>5'-3')</w:t>
            </w:r>
          </w:p>
        </w:tc>
        <w:tc>
          <w:tcPr>
            <w:tcW w:w="437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624DD6AA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GCAUAAAGAGUCACCGAAAUGdTdT</w:t>
            </w:r>
          </w:p>
        </w:tc>
      </w:tr>
      <w:tr w14:paraId="670F048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  <w:jc w:val="center"/>
        </w:trPr>
        <w:tc>
          <w:tcPr>
            <w:tcW w:w="2244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7C98FCEB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siPMPCB-si-3</w:t>
            </w:r>
          </w:p>
        </w:tc>
        <w:tc>
          <w:tcPr>
            <w:tcW w:w="227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142BB6FD">
            <w:pPr>
              <w:jc w:val="center"/>
              <w:textAlignment w:val="center"/>
              <w:rPr>
                <w:rFonts w:eastAsia="宋体"/>
                <w:color w:val="000000"/>
                <w:lang w:val="en-US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Sense (</w:t>
            </w:r>
            <w:r>
              <w:rPr>
                <w:rStyle w:val="11"/>
                <w:rFonts w:ascii="Times New Roman" w:hAnsi="Times New Roman" w:eastAsia="宋体" w:cs="Times New Roman"/>
                <w:sz w:val="24"/>
                <w:szCs w:val="24"/>
                <w:lang w:val="en-US" w:eastAsia="zh-CN" w:bidi="ar"/>
              </w:rPr>
              <w:t>5'-3')</w:t>
            </w:r>
          </w:p>
        </w:tc>
        <w:tc>
          <w:tcPr>
            <w:tcW w:w="437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6C17C5E0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GAAGUAUGUACCAAAUACAUUdTdT</w:t>
            </w:r>
          </w:p>
        </w:tc>
      </w:tr>
      <w:tr w14:paraId="7BC05AF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  <w:jc w:val="center"/>
        </w:trPr>
        <w:tc>
          <w:tcPr>
            <w:tcW w:w="2244" w:type="dxa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462DAD72">
            <w:pPr>
              <w:jc w:val="center"/>
              <w:rPr>
                <w:rFonts w:eastAsia="宋体"/>
                <w:color w:val="000000"/>
              </w:rPr>
            </w:pPr>
          </w:p>
        </w:tc>
        <w:tc>
          <w:tcPr>
            <w:tcW w:w="227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6163D8A9">
            <w:pPr>
              <w:jc w:val="center"/>
              <w:textAlignment w:val="center"/>
              <w:rPr>
                <w:rFonts w:eastAsia="宋体"/>
                <w:color w:val="000000"/>
                <w:lang w:val="en-US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Antisense (</w:t>
            </w:r>
            <w:r>
              <w:rPr>
                <w:rStyle w:val="11"/>
                <w:rFonts w:ascii="Times New Roman" w:hAnsi="Times New Roman" w:eastAsia="宋体" w:cs="Times New Roman"/>
                <w:sz w:val="24"/>
                <w:szCs w:val="24"/>
                <w:lang w:val="en-US" w:eastAsia="zh-CN" w:bidi="ar"/>
              </w:rPr>
              <w:t>5'-3')</w:t>
            </w:r>
          </w:p>
        </w:tc>
        <w:tc>
          <w:tcPr>
            <w:tcW w:w="437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4E7BBAF6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AAUGUAUUUGGUACAUACUUCdTdT</w:t>
            </w:r>
          </w:p>
        </w:tc>
      </w:tr>
      <w:tr w14:paraId="5012324F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  <w:jc w:val="center"/>
        </w:trPr>
        <w:tc>
          <w:tcPr>
            <w:tcW w:w="2244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1D6E8947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NC</w:t>
            </w:r>
          </w:p>
        </w:tc>
        <w:tc>
          <w:tcPr>
            <w:tcW w:w="227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349530A6">
            <w:pPr>
              <w:jc w:val="center"/>
              <w:textAlignment w:val="center"/>
              <w:rPr>
                <w:rFonts w:eastAsia="宋体"/>
                <w:color w:val="000000"/>
                <w:lang w:val="en-US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Sense (</w:t>
            </w:r>
            <w:r>
              <w:rPr>
                <w:rStyle w:val="11"/>
                <w:rFonts w:ascii="Times New Roman" w:hAnsi="Times New Roman" w:eastAsia="宋体" w:cs="Times New Roman"/>
                <w:sz w:val="24"/>
                <w:szCs w:val="24"/>
                <w:lang w:val="en-US" w:eastAsia="zh-CN" w:bidi="ar"/>
              </w:rPr>
              <w:t>5'-3')</w:t>
            </w:r>
          </w:p>
        </w:tc>
        <w:tc>
          <w:tcPr>
            <w:tcW w:w="437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5A78318F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UUCUCCGAACGUGUCACGUdTdT</w:t>
            </w:r>
          </w:p>
        </w:tc>
      </w:tr>
      <w:tr w14:paraId="674004F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  <w:jc w:val="center"/>
        </w:trPr>
        <w:tc>
          <w:tcPr>
            <w:tcW w:w="2244" w:type="dxa"/>
            <w:vMerge w:val="continue"/>
            <w:tcBorders>
              <w:top w:val="nil"/>
              <w:left w:val="nil"/>
              <w:bottom w:val="single" w:color="000000" w:sz="12" w:space="0"/>
              <w:right w:val="nil"/>
            </w:tcBorders>
            <w:shd w:val="clear" w:color="auto" w:fill="FFFFFF"/>
            <w:noWrap/>
            <w:vAlign w:val="center"/>
          </w:tcPr>
          <w:p w14:paraId="6520E819">
            <w:pPr>
              <w:jc w:val="center"/>
              <w:rPr>
                <w:rFonts w:eastAsia="宋体"/>
                <w:color w:val="000000"/>
              </w:rPr>
            </w:pPr>
          </w:p>
        </w:tc>
        <w:tc>
          <w:tcPr>
            <w:tcW w:w="2277" w:type="dxa"/>
            <w:tcBorders>
              <w:top w:val="nil"/>
              <w:left w:val="nil"/>
              <w:bottom w:val="single" w:color="000000" w:sz="12" w:space="0"/>
              <w:right w:val="nil"/>
            </w:tcBorders>
            <w:shd w:val="clear" w:color="auto" w:fill="FFFFFF"/>
            <w:noWrap/>
            <w:vAlign w:val="center"/>
          </w:tcPr>
          <w:p w14:paraId="3A74FA66">
            <w:pPr>
              <w:jc w:val="center"/>
              <w:textAlignment w:val="center"/>
              <w:rPr>
                <w:rFonts w:eastAsia="宋体"/>
                <w:color w:val="000000"/>
                <w:lang w:val="en-US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Antisense (</w:t>
            </w:r>
            <w:r>
              <w:rPr>
                <w:rStyle w:val="11"/>
                <w:rFonts w:ascii="Times New Roman" w:hAnsi="Times New Roman" w:eastAsia="宋体" w:cs="Times New Roman"/>
                <w:sz w:val="24"/>
                <w:szCs w:val="24"/>
                <w:lang w:val="en-US" w:eastAsia="zh-CN" w:bidi="ar"/>
              </w:rPr>
              <w:t>5'-3')</w:t>
            </w:r>
          </w:p>
        </w:tc>
        <w:tc>
          <w:tcPr>
            <w:tcW w:w="4372" w:type="dxa"/>
            <w:tcBorders>
              <w:top w:val="nil"/>
              <w:left w:val="nil"/>
              <w:bottom w:val="single" w:color="000000" w:sz="12" w:space="0"/>
              <w:right w:val="nil"/>
            </w:tcBorders>
            <w:shd w:val="clear" w:color="auto" w:fill="FFFFFF"/>
            <w:noWrap/>
            <w:vAlign w:val="center"/>
          </w:tcPr>
          <w:p w14:paraId="34B6E370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ACGUGACACGUUCGGAGAAdTdT</w:t>
            </w:r>
          </w:p>
        </w:tc>
      </w:tr>
    </w:tbl>
    <w:p w14:paraId="1E0C8527">
      <w:pPr>
        <w:pStyle w:val="8"/>
        <w:spacing w:before="156" w:beforeLines="50" w:after="156" w:afterLines="50" w:line="480" w:lineRule="auto"/>
        <w:rPr>
          <w:rFonts w:ascii="Times New Roman" w:hAnsi="Times New Roman" w:cs="Times New Roman"/>
          <w:b/>
          <w:bCs/>
          <w:color w:val="auto"/>
        </w:rPr>
      </w:pPr>
      <w:bookmarkStart w:id="0" w:name="OLE_LINK1"/>
    </w:p>
    <w:p w14:paraId="615CECD4">
      <w:pPr>
        <w:pStyle w:val="8"/>
        <w:spacing w:before="156" w:beforeLines="50" w:after="156" w:afterLines="50" w:line="480" w:lineRule="auto"/>
        <w:rPr>
          <w:rFonts w:ascii="Times New Roman" w:hAnsi="Times New Roman" w:cs="Times New Roman"/>
          <w:b/>
          <w:bCs/>
          <w:color w:val="auto"/>
        </w:rPr>
      </w:pPr>
    </w:p>
    <w:p w14:paraId="44F65BAE">
      <w:pPr>
        <w:pStyle w:val="8"/>
        <w:spacing w:before="156" w:beforeLines="50" w:after="156" w:afterLines="50" w:line="480" w:lineRule="auto"/>
        <w:rPr>
          <w:rFonts w:ascii="Times New Roman" w:hAnsi="Times New Roman" w:cs="Times New Roman"/>
          <w:b/>
          <w:bCs/>
          <w:color w:val="auto"/>
        </w:rPr>
      </w:pPr>
    </w:p>
    <w:p w14:paraId="3A27F3CF">
      <w:pPr>
        <w:pStyle w:val="8"/>
        <w:spacing w:before="156" w:beforeLines="50" w:after="156" w:afterLines="50" w:line="480" w:lineRule="auto"/>
        <w:rPr>
          <w:rFonts w:ascii="Times New Roman" w:hAnsi="Times New Roman" w:cs="Times New Roman"/>
          <w:b/>
          <w:bCs/>
          <w:color w:val="auto"/>
        </w:rPr>
      </w:pPr>
    </w:p>
    <w:p w14:paraId="29C11E9F">
      <w:pPr>
        <w:pStyle w:val="8"/>
        <w:spacing w:before="156" w:beforeLines="50" w:after="156" w:afterLines="50" w:line="480" w:lineRule="auto"/>
        <w:rPr>
          <w:rFonts w:ascii="Times New Roman" w:hAnsi="Times New Roman" w:cs="Times New Roman"/>
          <w:b/>
          <w:bCs/>
          <w:color w:val="auto"/>
        </w:rPr>
      </w:pPr>
    </w:p>
    <w:p w14:paraId="70C08C1B">
      <w:pPr>
        <w:pStyle w:val="8"/>
        <w:spacing w:before="156" w:beforeLines="50" w:after="156" w:afterLines="50" w:line="480" w:lineRule="auto"/>
        <w:rPr>
          <w:rFonts w:ascii="Times New Roman" w:hAnsi="Times New Roman" w:cs="Times New Roman"/>
          <w:b/>
          <w:bCs/>
          <w:color w:val="auto"/>
        </w:rPr>
      </w:pPr>
    </w:p>
    <w:p w14:paraId="25CBD98D">
      <w:pPr>
        <w:pStyle w:val="8"/>
        <w:spacing w:before="156" w:beforeLines="50" w:after="156" w:afterLines="50" w:line="480" w:lineRule="auto"/>
        <w:rPr>
          <w:rFonts w:ascii="Times New Roman" w:hAnsi="Times New Roman" w:cs="Times New Roman"/>
          <w:b/>
          <w:bCs/>
          <w:color w:val="auto"/>
        </w:rPr>
      </w:pPr>
    </w:p>
    <w:p w14:paraId="1865C5E0">
      <w:pPr>
        <w:pStyle w:val="8"/>
        <w:spacing w:before="156" w:beforeLines="50" w:after="156" w:afterLines="50" w:line="480" w:lineRule="auto"/>
        <w:rPr>
          <w:rFonts w:ascii="Times New Roman" w:hAnsi="Times New Roman" w:cs="Times New Roman"/>
          <w:b/>
          <w:bCs/>
          <w:color w:val="auto"/>
        </w:rPr>
      </w:pPr>
    </w:p>
    <w:p w14:paraId="1364D913">
      <w:pPr>
        <w:pStyle w:val="8"/>
        <w:spacing w:before="156" w:beforeLines="50" w:after="156" w:afterLines="50" w:line="480" w:lineRule="auto"/>
        <w:rPr>
          <w:rFonts w:ascii="Times New Roman" w:hAnsi="Times New Roman" w:cs="Times New Roman"/>
          <w:b/>
          <w:bCs/>
          <w:color w:val="auto"/>
        </w:rPr>
      </w:pPr>
    </w:p>
    <w:p w14:paraId="1EE8784F">
      <w:pPr>
        <w:pStyle w:val="8"/>
        <w:spacing w:before="156" w:beforeLines="50" w:after="156" w:afterLines="50" w:line="480" w:lineRule="auto"/>
        <w:rPr>
          <w:rFonts w:ascii="Times New Roman" w:hAnsi="Times New Roman" w:cs="Times New Roman"/>
          <w:b/>
          <w:bCs/>
          <w:color w:val="auto"/>
        </w:rPr>
      </w:pPr>
    </w:p>
    <w:p w14:paraId="575C3056">
      <w:pPr>
        <w:pStyle w:val="8"/>
        <w:spacing w:before="156" w:beforeLines="50" w:after="156" w:afterLines="50" w:line="480" w:lineRule="auto"/>
        <w:rPr>
          <w:rFonts w:ascii="Times New Roman" w:hAnsi="Times New Roman" w:cs="Times New Roman"/>
          <w:b/>
          <w:bCs/>
          <w:color w:val="auto"/>
        </w:rPr>
      </w:pPr>
    </w:p>
    <w:p w14:paraId="06B73195">
      <w:pPr>
        <w:pStyle w:val="8"/>
        <w:spacing w:before="156" w:beforeLines="50" w:after="156" w:afterLines="50" w:line="480" w:lineRule="auto"/>
        <w:rPr>
          <w:rFonts w:ascii="Times New Roman" w:hAnsi="Times New Roman" w:cs="Times New Roman"/>
          <w:b/>
          <w:bCs/>
          <w:color w:val="auto"/>
        </w:rPr>
      </w:pPr>
    </w:p>
    <w:p w14:paraId="3CF5C88B">
      <w:pPr>
        <w:pStyle w:val="8"/>
        <w:spacing w:before="156" w:beforeLines="50" w:after="156" w:afterLines="50" w:line="480" w:lineRule="auto"/>
        <w:rPr>
          <w:rFonts w:ascii="Times New Roman" w:hAnsi="Times New Roman" w:cs="Times New Roman"/>
          <w:b/>
          <w:bCs/>
          <w:color w:val="auto"/>
        </w:rPr>
      </w:pPr>
    </w:p>
    <w:p w14:paraId="3C1B44CD">
      <w:pPr>
        <w:pStyle w:val="8"/>
        <w:spacing w:before="156" w:beforeLines="50" w:after="156" w:afterLines="50" w:line="480" w:lineRule="auto"/>
        <w:rPr>
          <w:rFonts w:ascii="Times New Roman" w:hAnsi="Times New Roman" w:cs="Times New Roman"/>
          <w:b/>
          <w:bCs/>
          <w:color w:val="auto"/>
        </w:rPr>
      </w:pPr>
      <w:r>
        <w:rPr>
          <w:rFonts w:ascii="Times New Roman" w:hAnsi="Times New Roman" w:cs="Times New Roman"/>
          <w:b/>
          <w:bCs/>
          <w:color w:val="auto"/>
        </w:rPr>
        <w:t>Table S</w:t>
      </w:r>
      <w:r>
        <w:rPr>
          <w:rFonts w:hint="eastAsia" w:ascii="Times New Roman" w:hAnsi="Times New Roman" w:cs="Times New Roman"/>
          <w:b/>
          <w:bCs/>
          <w:color w:val="auto"/>
        </w:rPr>
        <w:t>5</w:t>
      </w:r>
      <w:r>
        <w:rPr>
          <w:rFonts w:ascii="Times New Roman" w:hAnsi="Times New Roman" w:cs="Times New Roman"/>
          <w:b/>
          <w:bCs/>
          <w:color w:val="auto"/>
        </w:rPr>
        <w:t>. The sequence sets for miRNA</w:t>
      </w:r>
    </w:p>
    <w:tbl>
      <w:tblPr>
        <w:tblStyle w:val="5"/>
        <w:tblW w:w="8994" w:type="dxa"/>
        <w:jc w:val="center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929"/>
        <w:gridCol w:w="2005"/>
        <w:gridCol w:w="5060"/>
      </w:tblGrid>
      <w:tr w14:paraId="0B49CBE9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  <w:jc w:val="center"/>
        </w:trPr>
        <w:tc>
          <w:tcPr>
            <w:tcW w:w="1929" w:type="dxa"/>
            <w:tcBorders>
              <w:top w:val="single" w:color="000000" w:sz="12" w:space="0"/>
              <w:left w:val="nil"/>
              <w:bottom w:val="single" w:color="000000" w:sz="4" w:space="0"/>
              <w:right w:val="nil"/>
              <w:tl2br w:val="nil"/>
            </w:tcBorders>
            <w:shd w:val="clear" w:color="auto" w:fill="FFFFFF"/>
            <w:noWrap/>
            <w:vAlign w:val="center"/>
          </w:tcPr>
          <w:p w14:paraId="7D2B512C">
            <w:pPr>
              <w:jc w:val="center"/>
              <w:textAlignment w:val="center"/>
              <w:rPr>
                <w:rFonts w:eastAsia="宋体"/>
                <w:color w:val="000000"/>
                <w:lang w:val="en-US" w:eastAsia="zh-CN" w:bidi="ar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Oligo (human)</w:t>
            </w:r>
          </w:p>
        </w:tc>
        <w:tc>
          <w:tcPr>
            <w:tcW w:w="7065" w:type="dxa"/>
            <w:gridSpan w:val="2"/>
            <w:tcBorders>
              <w:top w:val="single" w:color="000000" w:sz="12" w:space="0"/>
              <w:left w:val="nil"/>
              <w:bottom w:val="single" w:color="000000" w:sz="4" w:space="0"/>
              <w:right w:val="nil"/>
            </w:tcBorders>
            <w:shd w:val="clear" w:color="auto" w:fill="FFFFFF"/>
            <w:noWrap/>
            <w:vAlign w:val="center"/>
          </w:tcPr>
          <w:p w14:paraId="01D609FC">
            <w:pPr>
              <w:jc w:val="center"/>
              <w:textAlignment w:val="center"/>
              <w:rPr>
                <w:rFonts w:eastAsia="宋体"/>
                <w:color w:val="000000"/>
                <w:lang w:val="en-US" w:eastAsia="zh-CN" w:bidi="ar"/>
              </w:rPr>
            </w:pPr>
            <w:r>
              <w:rPr>
                <w:rFonts w:eastAsia="宋体"/>
                <w:bCs/>
                <w:color w:val="000000"/>
                <w:lang w:val="en-US" w:eastAsia="zh-CN" w:bidi="ar"/>
              </w:rPr>
              <w:t>Primer Sequence (5'-3')</w:t>
            </w:r>
          </w:p>
        </w:tc>
      </w:tr>
      <w:bookmarkEnd w:id="0"/>
      <w:tr w14:paraId="43C81EF8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  <w:jc w:val="center"/>
        </w:trPr>
        <w:tc>
          <w:tcPr>
            <w:tcW w:w="1929" w:type="dxa"/>
            <w:vMerge w:val="restart"/>
            <w:tcBorders>
              <w:top w:val="single" w:color="000000" w:sz="4" w:space="0"/>
              <w:left w:val="nil"/>
              <w:right w:val="nil"/>
              <w:tl2br w:val="nil"/>
            </w:tcBorders>
            <w:shd w:val="clear" w:color="auto" w:fill="FFFFFF"/>
            <w:noWrap/>
            <w:vAlign w:val="center"/>
          </w:tcPr>
          <w:p w14:paraId="29206870">
            <w:pPr>
              <w:jc w:val="center"/>
              <w:textAlignment w:val="center"/>
              <w:rPr>
                <w:rFonts w:eastAsia="宋体"/>
                <w:color w:val="000000"/>
                <w:lang w:val="en-US" w:eastAsia="zh-CN" w:bidi="ar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hsa-miR-550a-5p mimics</w:t>
            </w:r>
          </w:p>
        </w:tc>
        <w:tc>
          <w:tcPr>
            <w:tcW w:w="2005" w:type="dxa"/>
            <w:tcBorders>
              <w:top w:val="single" w:color="000000" w:sz="4" w:space="0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5B536366">
            <w:pPr>
              <w:jc w:val="center"/>
              <w:textAlignment w:val="center"/>
              <w:rPr>
                <w:rFonts w:eastAsia="宋体"/>
                <w:color w:val="000000"/>
                <w:lang w:val="en-US" w:eastAsia="zh-CN" w:bidi="ar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Sense (5'-3')</w:t>
            </w:r>
          </w:p>
        </w:tc>
        <w:tc>
          <w:tcPr>
            <w:tcW w:w="5060" w:type="dxa"/>
            <w:tcBorders>
              <w:top w:val="single" w:color="000000" w:sz="4" w:space="0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29191F07">
            <w:pPr>
              <w:jc w:val="center"/>
              <w:textAlignment w:val="center"/>
              <w:rPr>
                <w:rFonts w:eastAsia="宋体"/>
                <w:color w:val="000000"/>
                <w:lang w:val="en-US" w:eastAsia="zh-CN" w:bidi="ar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AGUGCCUGAGGGAGUAAGAGCCC</w:t>
            </w:r>
          </w:p>
        </w:tc>
      </w:tr>
      <w:tr w14:paraId="7355552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  <w:jc w:val="center"/>
        </w:trPr>
        <w:tc>
          <w:tcPr>
            <w:tcW w:w="1929" w:type="dxa"/>
            <w:vMerge w:val="continue"/>
            <w:tcBorders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6F58D83F">
            <w:pPr>
              <w:jc w:val="center"/>
              <w:textAlignment w:val="center"/>
              <w:rPr>
                <w:rFonts w:eastAsia="宋体"/>
                <w:color w:val="000000"/>
                <w:lang w:val="en-US" w:eastAsia="zh-CN" w:bidi="ar"/>
              </w:rPr>
            </w:pPr>
          </w:p>
        </w:tc>
        <w:tc>
          <w:tcPr>
            <w:tcW w:w="200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3E6CE604">
            <w:pPr>
              <w:jc w:val="center"/>
              <w:textAlignment w:val="center"/>
              <w:rPr>
                <w:rFonts w:eastAsia="宋体"/>
                <w:color w:val="000000"/>
                <w:lang w:val="en-US" w:eastAsia="zh-CN" w:bidi="ar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Antisense (5'-3')</w:t>
            </w:r>
          </w:p>
        </w:tc>
        <w:tc>
          <w:tcPr>
            <w:tcW w:w="506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72C10E7A">
            <w:pPr>
              <w:jc w:val="center"/>
              <w:textAlignment w:val="center"/>
              <w:rPr>
                <w:rFonts w:eastAsia="宋体"/>
                <w:color w:val="000000"/>
                <w:lang w:val="en-US" w:eastAsia="zh-CN" w:bidi="ar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GGGCUCUUACUCCCUCAGGCACU</w:t>
            </w:r>
          </w:p>
        </w:tc>
      </w:tr>
      <w:tr w14:paraId="7E24454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  <w:jc w:val="center"/>
        </w:trPr>
        <w:tc>
          <w:tcPr>
            <w:tcW w:w="1929" w:type="dxa"/>
            <w:vMerge w:val="restart"/>
            <w:tcBorders>
              <w:top w:val="nil"/>
              <w:left w:val="nil"/>
              <w:right w:val="nil"/>
            </w:tcBorders>
            <w:shd w:val="clear" w:color="auto" w:fill="FFFFFF"/>
            <w:noWrap/>
            <w:vAlign w:val="center"/>
          </w:tcPr>
          <w:p w14:paraId="2BB0BCAB">
            <w:pPr>
              <w:jc w:val="center"/>
              <w:textAlignment w:val="center"/>
              <w:rPr>
                <w:rFonts w:eastAsia="宋体"/>
                <w:color w:val="000000"/>
                <w:lang w:val="en-US" w:eastAsia="zh-CN" w:bidi="ar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hsa-miR-550a-5p inhibitor</w:t>
            </w:r>
          </w:p>
        </w:tc>
        <w:tc>
          <w:tcPr>
            <w:tcW w:w="200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3642BD92">
            <w:pPr>
              <w:jc w:val="center"/>
              <w:textAlignment w:val="center"/>
              <w:rPr>
                <w:rFonts w:eastAsia="宋体"/>
                <w:color w:val="000000"/>
                <w:lang w:val="en-US" w:eastAsia="zh-CN" w:bidi="ar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Sense (5'-3')</w:t>
            </w:r>
          </w:p>
        </w:tc>
        <w:tc>
          <w:tcPr>
            <w:tcW w:w="506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396F4E86">
            <w:pPr>
              <w:jc w:val="center"/>
              <w:textAlignment w:val="center"/>
              <w:rPr>
                <w:rFonts w:eastAsia="宋体"/>
                <w:color w:val="000000"/>
                <w:lang w:val="en-US" w:eastAsia="zh-CN" w:bidi="ar"/>
              </w:rPr>
            </w:pPr>
          </w:p>
        </w:tc>
      </w:tr>
      <w:tr w14:paraId="40EA2BF8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  <w:jc w:val="center"/>
        </w:trPr>
        <w:tc>
          <w:tcPr>
            <w:tcW w:w="1929" w:type="dxa"/>
            <w:vMerge w:val="continue"/>
            <w:tcBorders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508232B2">
            <w:pPr>
              <w:jc w:val="center"/>
              <w:textAlignment w:val="center"/>
              <w:rPr>
                <w:rFonts w:eastAsia="宋体"/>
                <w:color w:val="000000"/>
                <w:lang w:val="en-US" w:eastAsia="zh-CN" w:bidi="ar"/>
              </w:rPr>
            </w:pPr>
          </w:p>
        </w:tc>
        <w:tc>
          <w:tcPr>
            <w:tcW w:w="200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2DDFAD35">
            <w:pPr>
              <w:jc w:val="center"/>
              <w:textAlignment w:val="center"/>
              <w:rPr>
                <w:rFonts w:eastAsia="宋体"/>
                <w:color w:val="000000"/>
                <w:lang w:val="en-US" w:eastAsia="zh-CN" w:bidi="ar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Antisense (5'-3')</w:t>
            </w:r>
          </w:p>
        </w:tc>
        <w:tc>
          <w:tcPr>
            <w:tcW w:w="506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79049C39">
            <w:pPr>
              <w:jc w:val="center"/>
              <w:textAlignment w:val="center"/>
              <w:rPr>
                <w:rFonts w:eastAsia="宋体"/>
                <w:color w:val="000000"/>
                <w:lang w:val="en-US" w:eastAsia="zh-CN" w:bidi="ar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GGGCUCUUACUCCCUCAGGCACU</w:t>
            </w:r>
          </w:p>
        </w:tc>
      </w:tr>
      <w:tr w14:paraId="40D45E4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  <w:jc w:val="center"/>
        </w:trPr>
        <w:tc>
          <w:tcPr>
            <w:tcW w:w="1929" w:type="dxa"/>
            <w:vMerge w:val="restart"/>
            <w:tcBorders>
              <w:top w:val="nil"/>
              <w:left w:val="nil"/>
              <w:right w:val="nil"/>
            </w:tcBorders>
            <w:shd w:val="clear" w:color="auto" w:fill="FFFFFF"/>
            <w:noWrap/>
            <w:vAlign w:val="center"/>
          </w:tcPr>
          <w:p w14:paraId="72A5AD45">
            <w:pPr>
              <w:jc w:val="center"/>
              <w:textAlignment w:val="center"/>
              <w:rPr>
                <w:rFonts w:eastAsia="宋体"/>
                <w:color w:val="000000"/>
                <w:lang w:val="en-US" w:eastAsia="zh-CN" w:bidi="ar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mimics nc</w:t>
            </w:r>
          </w:p>
        </w:tc>
        <w:tc>
          <w:tcPr>
            <w:tcW w:w="200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58F52AA6">
            <w:pPr>
              <w:jc w:val="center"/>
              <w:textAlignment w:val="center"/>
              <w:rPr>
                <w:rFonts w:eastAsia="宋体"/>
                <w:color w:val="000000"/>
                <w:lang w:val="en-US" w:eastAsia="zh-CN" w:bidi="ar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Sense (5'-3')</w:t>
            </w:r>
          </w:p>
        </w:tc>
        <w:tc>
          <w:tcPr>
            <w:tcW w:w="506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50720270">
            <w:pPr>
              <w:jc w:val="center"/>
              <w:textAlignment w:val="center"/>
              <w:rPr>
                <w:rFonts w:eastAsia="宋体"/>
                <w:color w:val="000000"/>
                <w:lang w:val="en-US" w:eastAsia="zh-CN" w:bidi="ar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UCACAACCUCCUAGAAAGAGUAGA</w:t>
            </w:r>
          </w:p>
        </w:tc>
      </w:tr>
      <w:tr w14:paraId="13C1836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  <w:jc w:val="center"/>
        </w:trPr>
        <w:tc>
          <w:tcPr>
            <w:tcW w:w="1929" w:type="dxa"/>
            <w:vMerge w:val="continue"/>
            <w:tcBorders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2E3095BE">
            <w:pPr>
              <w:jc w:val="center"/>
              <w:textAlignment w:val="center"/>
              <w:rPr>
                <w:rFonts w:eastAsia="宋体"/>
                <w:color w:val="000000"/>
                <w:lang w:val="en-US" w:eastAsia="zh-CN" w:bidi="ar"/>
              </w:rPr>
            </w:pPr>
          </w:p>
        </w:tc>
        <w:tc>
          <w:tcPr>
            <w:tcW w:w="200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18ED615C">
            <w:pPr>
              <w:jc w:val="center"/>
              <w:textAlignment w:val="center"/>
              <w:rPr>
                <w:rFonts w:eastAsia="宋体"/>
                <w:color w:val="000000"/>
                <w:lang w:val="en-US" w:eastAsia="zh-CN" w:bidi="ar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Antisense (5'-3')</w:t>
            </w:r>
          </w:p>
        </w:tc>
        <w:tc>
          <w:tcPr>
            <w:tcW w:w="506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65BCB6E6">
            <w:pPr>
              <w:jc w:val="center"/>
              <w:textAlignment w:val="center"/>
              <w:rPr>
                <w:rFonts w:eastAsia="宋体"/>
                <w:color w:val="000000"/>
                <w:lang w:val="en-US" w:eastAsia="zh-CN" w:bidi="ar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UCUACUCUUUCUAGGAGGUUGUGA</w:t>
            </w:r>
          </w:p>
        </w:tc>
      </w:tr>
      <w:tr w14:paraId="15F299AF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2" w:hRule="atLeast"/>
          <w:jc w:val="center"/>
        </w:trPr>
        <w:tc>
          <w:tcPr>
            <w:tcW w:w="1929" w:type="dxa"/>
            <w:vMerge w:val="restart"/>
            <w:tcBorders>
              <w:top w:val="nil"/>
              <w:left w:val="nil"/>
              <w:right w:val="nil"/>
            </w:tcBorders>
            <w:shd w:val="clear" w:color="auto" w:fill="FFFFFF"/>
            <w:noWrap/>
            <w:vAlign w:val="center"/>
          </w:tcPr>
          <w:p w14:paraId="01DAC4D6">
            <w:pPr>
              <w:jc w:val="center"/>
              <w:textAlignment w:val="center"/>
              <w:rPr>
                <w:rFonts w:eastAsia="宋体"/>
                <w:color w:val="000000"/>
                <w:lang w:val="en-US" w:eastAsia="zh-CN" w:bidi="ar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inhibitor nc</w:t>
            </w:r>
          </w:p>
        </w:tc>
        <w:tc>
          <w:tcPr>
            <w:tcW w:w="200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40BE04FB">
            <w:pPr>
              <w:jc w:val="center"/>
              <w:textAlignment w:val="center"/>
              <w:rPr>
                <w:rFonts w:eastAsia="宋体"/>
                <w:color w:val="000000"/>
                <w:lang w:val="en-US" w:eastAsia="zh-CN" w:bidi="ar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Sense (5'-3')</w:t>
            </w:r>
          </w:p>
        </w:tc>
        <w:tc>
          <w:tcPr>
            <w:tcW w:w="506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54D1F6B6">
            <w:pPr>
              <w:jc w:val="center"/>
              <w:textAlignment w:val="center"/>
              <w:rPr>
                <w:rFonts w:eastAsia="宋体"/>
                <w:color w:val="000000"/>
                <w:lang w:val="en-US" w:eastAsia="zh-CN" w:bidi="ar"/>
              </w:rPr>
            </w:pPr>
          </w:p>
        </w:tc>
      </w:tr>
      <w:tr w14:paraId="6191FD3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  <w:jc w:val="center"/>
        </w:trPr>
        <w:tc>
          <w:tcPr>
            <w:tcW w:w="1929" w:type="dxa"/>
            <w:vMerge w:val="continue"/>
            <w:tcBorders>
              <w:left w:val="nil"/>
              <w:bottom w:val="single" w:color="000000" w:sz="12" w:space="0"/>
              <w:right w:val="nil"/>
            </w:tcBorders>
            <w:shd w:val="clear" w:color="auto" w:fill="FFFFFF"/>
            <w:noWrap/>
            <w:vAlign w:val="center"/>
          </w:tcPr>
          <w:p w14:paraId="16FE81D4">
            <w:pPr>
              <w:jc w:val="center"/>
              <w:textAlignment w:val="center"/>
              <w:rPr>
                <w:rFonts w:eastAsia="宋体"/>
                <w:color w:val="000000"/>
                <w:lang w:val="en-US" w:eastAsia="zh-CN" w:bidi="ar"/>
              </w:rPr>
            </w:pPr>
          </w:p>
        </w:tc>
        <w:tc>
          <w:tcPr>
            <w:tcW w:w="2005" w:type="dxa"/>
            <w:tcBorders>
              <w:top w:val="nil"/>
              <w:left w:val="nil"/>
              <w:bottom w:val="single" w:color="000000" w:sz="12" w:space="0"/>
              <w:right w:val="nil"/>
            </w:tcBorders>
            <w:shd w:val="clear" w:color="auto" w:fill="FFFFFF"/>
            <w:noWrap/>
            <w:vAlign w:val="center"/>
          </w:tcPr>
          <w:p w14:paraId="3CC75EC8">
            <w:pPr>
              <w:jc w:val="center"/>
              <w:textAlignment w:val="center"/>
              <w:rPr>
                <w:rFonts w:eastAsia="宋体"/>
                <w:color w:val="000000"/>
                <w:lang w:val="en-US" w:eastAsia="zh-CN" w:bidi="ar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Antisense (5'-3')</w:t>
            </w:r>
          </w:p>
        </w:tc>
        <w:tc>
          <w:tcPr>
            <w:tcW w:w="5060" w:type="dxa"/>
            <w:tcBorders>
              <w:top w:val="nil"/>
              <w:left w:val="nil"/>
              <w:bottom w:val="single" w:color="000000" w:sz="12" w:space="0"/>
              <w:right w:val="nil"/>
            </w:tcBorders>
            <w:shd w:val="clear" w:color="auto" w:fill="FFFFFF"/>
            <w:noWrap/>
            <w:vAlign w:val="center"/>
          </w:tcPr>
          <w:p w14:paraId="478C0469">
            <w:pPr>
              <w:jc w:val="center"/>
              <w:textAlignment w:val="center"/>
              <w:rPr>
                <w:rFonts w:eastAsia="宋体"/>
                <w:color w:val="000000"/>
                <w:lang w:val="en-US" w:eastAsia="zh-CN" w:bidi="ar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UCUACUCUUUCUAGGAGGUUGUGA</w:t>
            </w:r>
          </w:p>
        </w:tc>
      </w:tr>
    </w:tbl>
    <w:p w14:paraId="38AD3034">
      <w:pPr>
        <w:spacing w:before="156" w:beforeLines="50" w:after="156" w:afterLines="50" w:line="480" w:lineRule="auto"/>
        <w:rPr>
          <w:b/>
          <w:bCs/>
          <w:szCs w:val="28"/>
          <w:lang w:val="en-US"/>
        </w:rPr>
      </w:pPr>
    </w:p>
    <w:p w14:paraId="671F1E52">
      <w:pPr>
        <w:spacing w:before="156" w:beforeLines="50" w:after="156" w:afterLines="50" w:line="480" w:lineRule="auto"/>
        <w:rPr>
          <w:b/>
          <w:bCs/>
          <w:szCs w:val="28"/>
          <w:lang w:val="en-US"/>
        </w:rPr>
      </w:pPr>
    </w:p>
    <w:p w14:paraId="2FDB0B0E">
      <w:pPr>
        <w:spacing w:before="156" w:beforeLines="50" w:after="156" w:afterLines="50" w:line="480" w:lineRule="auto"/>
        <w:rPr>
          <w:b/>
          <w:bCs/>
          <w:szCs w:val="28"/>
          <w:lang w:val="en-US"/>
        </w:rPr>
      </w:pPr>
    </w:p>
    <w:p w14:paraId="0143D4B5">
      <w:pPr>
        <w:spacing w:before="156" w:beforeLines="50" w:after="156" w:afterLines="50" w:line="480" w:lineRule="auto"/>
        <w:rPr>
          <w:b/>
          <w:bCs/>
          <w:szCs w:val="28"/>
          <w:lang w:val="en-US"/>
        </w:rPr>
      </w:pPr>
    </w:p>
    <w:p w14:paraId="2243D535">
      <w:pPr>
        <w:spacing w:before="156" w:beforeLines="50" w:after="156" w:afterLines="50" w:line="480" w:lineRule="auto"/>
        <w:rPr>
          <w:b/>
          <w:bCs/>
          <w:szCs w:val="28"/>
          <w:lang w:val="en-US"/>
        </w:rPr>
      </w:pPr>
    </w:p>
    <w:p w14:paraId="1F57279A">
      <w:pPr>
        <w:spacing w:before="156" w:beforeLines="50" w:after="156" w:afterLines="50" w:line="480" w:lineRule="auto"/>
        <w:rPr>
          <w:b/>
          <w:bCs/>
          <w:szCs w:val="28"/>
          <w:lang w:val="en-US"/>
        </w:rPr>
      </w:pPr>
    </w:p>
    <w:p w14:paraId="6D96F9A6">
      <w:pPr>
        <w:spacing w:before="156" w:beforeLines="50" w:after="156" w:afterLines="50" w:line="480" w:lineRule="auto"/>
        <w:rPr>
          <w:b/>
          <w:bCs/>
          <w:szCs w:val="28"/>
          <w:lang w:val="en-US"/>
        </w:rPr>
      </w:pPr>
    </w:p>
    <w:p w14:paraId="53F44E6D">
      <w:pPr>
        <w:spacing w:before="156" w:beforeLines="50" w:after="156" w:afterLines="50" w:line="480" w:lineRule="auto"/>
        <w:rPr>
          <w:b/>
          <w:bCs/>
          <w:szCs w:val="28"/>
          <w:lang w:val="en-US"/>
        </w:rPr>
      </w:pPr>
    </w:p>
    <w:p w14:paraId="5E718A3B">
      <w:pPr>
        <w:spacing w:before="156" w:beforeLines="50" w:after="156" w:afterLines="50" w:line="480" w:lineRule="auto"/>
        <w:rPr>
          <w:b/>
          <w:bCs/>
          <w:szCs w:val="28"/>
          <w:lang w:val="en-US"/>
        </w:rPr>
      </w:pPr>
    </w:p>
    <w:p w14:paraId="44D0E315">
      <w:pPr>
        <w:spacing w:before="156" w:beforeLines="50" w:after="156" w:afterLines="50" w:line="480" w:lineRule="auto"/>
        <w:rPr>
          <w:b/>
          <w:bCs/>
          <w:szCs w:val="28"/>
          <w:lang w:val="en-US"/>
        </w:rPr>
      </w:pPr>
    </w:p>
    <w:p w14:paraId="1CA47AD1">
      <w:pPr>
        <w:spacing w:before="156" w:beforeLines="50" w:after="156" w:afterLines="50" w:line="480" w:lineRule="auto"/>
        <w:rPr>
          <w:b/>
          <w:bCs/>
          <w:szCs w:val="28"/>
          <w:lang w:val="en-US"/>
        </w:rPr>
      </w:pPr>
    </w:p>
    <w:p w14:paraId="6D0863C3">
      <w:pPr>
        <w:spacing w:before="156" w:beforeLines="50" w:after="156" w:afterLines="50" w:line="480" w:lineRule="auto"/>
        <w:rPr>
          <w:b/>
          <w:bCs/>
          <w:szCs w:val="28"/>
          <w:lang w:val="en-US"/>
        </w:rPr>
      </w:pPr>
    </w:p>
    <w:p w14:paraId="75E826C0">
      <w:pPr>
        <w:spacing w:before="156" w:beforeLines="50" w:after="156" w:afterLines="50" w:line="480" w:lineRule="auto"/>
        <w:rPr>
          <w:b/>
          <w:bCs/>
          <w:szCs w:val="28"/>
          <w:lang w:val="en-US"/>
        </w:rPr>
      </w:pPr>
    </w:p>
    <w:p w14:paraId="662377C7">
      <w:pPr>
        <w:spacing w:before="156" w:beforeLines="50" w:after="156" w:afterLines="50" w:line="480" w:lineRule="auto"/>
        <w:rPr>
          <w:b/>
          <w:bCs/>
          <w:szCs w:val="28"/>
          <w:lang w:val="en-US"/>
        </w:rPr>
      </w:pPr>
      <w:r>
        <w:rPr>
          <w:b/>
          <w:bCs/>
          <w:szCs w:val="28"/>
          <w:lang w:val="en-US"/>
        </w:rPr>
        <w:t>Table S</w:t>
      </w:r>
      <w:r>
        <w:rPr>
          <w:rFonts w:hint="eastAsia" w:eastAsia="宋体"/>
          <w:b/>
          <w:bCs/>
          <w:szCs w:val="28"/>
          <w:lang w:val="en-US" w:eastAsia="zh-CN"/>
        </w:rPr>
        <w:t>6</w:t>
      </w:r>
      <w:r>
        <w:rPr>
          <w:b/>
          <w:bCs/>
          <w:szCs w:val="28"/>
          <w:lang w:val="en-US"/>
        </w:rPr>
        <w:t>. The primer sets for human qPCR</w:t>
      </w:r>
    </w:p>
    <w:tbl>
      <w:tblPr>
        <w:tblStyle w:val="5"/>
        <w:tblW w:w="9008" w:type="dxa"/>
        <w:jc w:val="center"/>
        <w:tblLayout w:type="fixed"/>
        <w:tblCellMar>
          <w:top w:w="32" w:type="dxa"/>
          <w:left w:w="64" w:type="dxa"/>
          <w:bottom w:w="32" w:type="dxa"/>
          <w:right w:w="64" w:type="dxa"/>
        </w:tblCellMar>
      </w:tblPr>
      <w:tblGrid>
        <w:gridCol w:w="2455"/>
        <w:gridCol w:w="6553"/>
      </w:tblGrid>
      <w:tr w14:paraId="18C25D2B">
        <w:tblPrEx>
          <w:tblCellMar>
            <w:top w:w="32" w:type="dxa"/>
            <w:left w:w="64" w:type="dxa"/>
            <w:bottom w:w="32" w:type="dxa"/>
            <w:right w:w="64" w:type="dxa"/>
          </w:tblCellMar>
        </w:tblPrEx>
        <w:trPr>
          <w:tblHeader/>
          <w:jc w:val="center"/>
        </w:trPr>
        <w:tc>
          <w:tcPr>
            <w:tcW w:w="2247" w:type="dxa"/>
            <w:tcBorders>
              <w:top w:val="single" w:color="000000" w:sz="12" w:space="0"/>
              <w:left w:val="nil"/>
              <w:bottom w:val="single" w:color="000000" w:sz="4" w:space="0"/>
              <w:right w:val="nil"/>
              <w:tl2br w:val="nil"/>
            </w:tcBorders>
            <w:shd w:val="clear" w:color="auto" w:fill="FFFFFF"/>
            <w:noWrap/>
            <w:vAlign w:val="center"/>
          </w:tcPr>
          <w:p w14:paraId="79B6FA03">
            <w:pPr>
              <w:snapToGrid w:val="0"/>
              <w:jc w:val="center"/>
              <w:textAlignment w:val="center"/>
              <w:rPr>
                <w:rFonts w:eastAsia="宋体"/>
                <w:bCs/>
                <w:color w:val="000000"/>
              </w:rPr>
            </w:pPr>
            <w:r>
              <w:rPr>
                <w:rFonts w:eastAsia="宋体"/>
                <w:bCs/>
                <w:color w:val="000000"/>
                <w:lang w:val="en-US" w:eastAsia="zh-CN" w:bidi="ar"/>
              </w:rPr>
              <w:t>Gene (human)</w:t>
            </w:r>
          </w:p>
        </w:tc>
        <w:tc>
          <w:tcPr>
            <w:tcW w:w="5998" w:type="dxa"/>
            <w:tcBorders>
              <w:top w:val="single" w:color="000000" w:sz="12" w:space="0"/>
              <w:left w:val="nil"/>
              <w:bottom w:val="single" w:color="000000" w:sz="4" w:space="0"/>
              <w:right w:val="nil"/>
            </w:tcBorders>
            <w:shd w:val="clear" w:color="auto" w:fill="FFFFFF"/>
            <w:vAlign w:val="center"/>
          </w:tcPr>
          <w:p w14:paraId="7BA2346E">
            <w:pPr>
              <w:snapToGrid w:val="0"/>
              <w:jc w:val="center"/>
              <w:textAlignment w:val="center"/>
              <w:rPr>
                <w:rFonts w:eastAsia="宋体"/>
                <w:bCs/>
                <w:color w:val="000000"/>
              </w:rPr>
            </w:pPr>
            <w:r>
              <w:rPr>
                <w:rFonts w:eastAsia="宋体"/>
                <w:bCs/>
                <w:color w:val="000000"/>
                <w:lang w:val="en-US" w:eastAsia="zh-CN" w:bidi="ar"/>
              </w:rPr>
              <w:t>Primer Sequence (5'-3')</w:t>
            </w:r>
          </w:p>
        </w:tc>
      </w:tr>
      <w:tr w14:paraId="5211CE59">
        <w:tblPrEx>
          <w:tblCellMar>
            <w:top w:w="32" w:type="dxa"/>
            <w:left w:w="64" w:type="dxa"/>
            <w:bottom w:w="32" w:type="dxa"/>
            <w:right w:w="64" w:type="dxa"/>
          </w:tblCellMar>
        </w:tblPrEx>
        <w:trPr>
          <w:jc w:val="center"/>
        </w:trPr>
        <w:tc>
          <w:tcPr>
            <w:tcW w:w="2247" w:type="dxa"/>
            <w:tcBorders>
              <w:top w:val="single" w:color="000000" w:sz="4" w:space="0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737D022D">
            <w:pPr>
              <w:snapToGrid w:val="0"/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h-miR-550a-5p RT stem loop</w:t>
            </w:r>
          </w:p>
        </w:tc>
        <w:tc>
          <w:tcPr>
            <w:tcW w:w="5998" w:type="dxa"/>
            <w:tcBorders>
              <w:top w:val="single" w:color="000000" w:sz="4" w:space="0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1DC96419">
            <w:pPr>
              <w:snapToGrid w:val="0"/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eastAsia="zh-CN" w:bidi="ar"/>
              </w:rPr>
              <w:t>GTCGTATCCAGTGCAGGGTCCGAGGTATTCGCACTGGATACGACGGGCTC</w:t>
            </w:r>
          </w:p>
        </w:tc>
      </w:tr>
      <w:tr w14:paraId="0683697C">
        <w:tblPrEx>
          <w:tblCellMar>
            <w:top w:w="32" w:type="dxa"/>
            <w:left w:w="64" w:type="dxa"/>
            <w:bottom w:w="32" w:type="dxa"/>
            <w:right w:w="64" w:type="dxa"/>
          </w:tblCellMar>
        </w:tblPrEx>
        <w:trPr>
          <w:jc w:val="center"/>
        </w:trPr>
        <w:tc>
          <w:tcPr>
            <w:tcW w:w="224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1026202D">
            <w:pPr>
              <w:snapToGrid w:val="0"/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miR-550a-5p F</w:t>
            </w:r>
          </w:p>
        </w:tc>
        <w:tc>
          <w:tcPr>
            <w:tcW w:w="599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21AD0AC8">
            <w:pPr>
              <w:snapToGrid w:val="0"/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TGCTGTTAGGTTGTCTTCA</w:t>
            </w:r>
          </w:p>
        </w:tc>
      </w:tr>
      <w:tr w14:paraId="3D9CAC6D">
        <w:tblPrEx>
          <w:tblCellMar>
            <w:top w:w="32" w:type="dxa"/>
            <w:left w:w="64" w:type="dxa"/>
            <w:bottom w:w="32" w:type="dxa"/>
            <w:right w:w="64" w:type="dxa"/>
          </w:tblCellMar>
        </w:tblPrEx>
        <w:trPr>
          <w:jc w:val="center"/>
        </w:trPr>
        <w:tc>
          <w:tcPr>
            <w:tcW w:w="224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7A7270D1">
            <w:pPr>
              <w:snapToGrid w:val="0"/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miR-550a-5p R</w:t>
            </w:r>
          </w:p>
        </w:tc>
        <w:tc>
          <w:tcPr>
            <w:tcW w:w="599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135EF9AA">
            <w:pPr>
              <w:snapToGrid w:val="0"/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CTATGTTTTGTCCAATTTCT</w:t>
            </w:r>
          </w:p>
        </w:tc>
      </w:tr>
      <w:tr w14:paraId="30F9E259">
        <w:tblPrEx>
          <w:tblCellMar>
            <w:top w:w="32" w:type="dxa"/>
            <w:left w:w="64" w:type="dxa"/>
            <w:bottom w:w="32" w:type="dxa"/>
            <w:right w:w="64" w:type="dxa"/>
          </w:tblCellMar>
        </w:tblPrEx>
        <w:trPr>
          <w:jc w:val="center"/>
        </w:trPr>
        <w:tc>
          <w:tcPr>
            <w:tcW w:w="224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3E8F97E1">
            <w:pPr>
              <w:snapToGrid w:val="0"/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hsa-miR-6804-5p RT stem loop</w:t>
            </w:r>
          </w:p>
        </w:tc>
        <w:tc>
          <w:tcPr>
            <w:tcW w:w="599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25C27B1E">
            <w:pPr>
              <w:snapToGrid w:val="0"/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eastAsia="zh-CN" w:bidi="ar"/>
              </w:rPr>
              <w:t>GTCGTATCCAGTGCAGGGTCCGAGGTATTCGCACTGGATACGACCGTCAC</w:t>
            </w:r>
          </w:p>
        </w:tc>
      </w:tr>
      <w:tr w14:paraId="7021B542">
        <w:tblPrEx>
          <w:tblCellMar>
            <w:top w:w="32" w:type="dxa"/>
            <w:left w:w="64" w:type="dxa"/>
            <w:bottom w:w="32" w:type="dxa"/>
            <w:right w:w="64" w:type="dxa"/>
          </w:tblCellMar>
        </w:tblPrEx>
        <w:trPr>
          <w:jc w:val="center"/>
        </w:trPr>
        <w:tc>
          <w:tcPr>
            <w:tcW w:w="224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7D6D4FDD">
            <w:pPr>
              <w:snapToGrid w:val="0"/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hsa-miR-6804-5p-F</w:t>
            </w:r>
          </w:p>
        </w:tc>
        <w:tc>
          <w:tcPr>
            <w:tcW w:w="599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659DC1D3">
            <w:pPr>
              <w:snapToGrid w:val="0"/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CGCGTGAGGGTGTCAGCAG</w:t>
            </w:r>
          </w:p>
        </w:tc>
      </w:tr>
      <w:tr w14:paraId="58E42CC6">
        <w:tblPrEx>
          <w:tblCellMar>
            <w:top w:w="32" w:type="dxa"/>
            <w:left w:w="64" w:type="dxa"/>
            <w:bottom w:w="32" w:type="dxa"/>
            <w:right w:w="64" w:type="dxa"/>
          </w:tblCellMar>
        </w:tblPrEx>
        <w:trPr>
          <w:jc w:val="center"/>
        </w:trPr>
        <w:tc>
          <w:tcPr>
            <w:tcW w:w="224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58339D9C">
            <w:pPr>
              <w:snapToGrid w:val="0"/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hsa-miR-6804-5p-R</w:t>
            </w:r>
          </w:p>
        </w:tc>
        <w:tc>
          <w:tcPr>
            <w:tcW w:w="599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4F325498">
            <w:pPr>
              <w:snapToGrid w:val="0"/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AGTGCAGGGTCCGAGGTATT</w:t>
            </w:r>
          </w:p>
        </w:tc>
      </w:tr>
      <w:tr w14:paraId="62A6F1C7">
        <w:tblPrEx>
          <w:tblCellMar>
            <w:top w:w="32" w:type="dxa"/>
            <w:left w:w="64" w:type="dxa"/>
            <w:bottom w:w="32" w:type="dxa"/>
            <w:right w:w="64" w:type="dxa"/>
          </w:tblCellMar>
        </w:tblPrEx>
        <w:trPr>
          <w:jc w:val="center"/>
        </w:trPr>
        <w:tc>
          <w:tcPr>
            <w:tcW w:w="224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449694CD">
            <w:pPr>
              <w:snapToGrid w:val="0"/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hsa-miR-4470 RT stem loop</w:t>
            </w:r>
          </w:p>
        </w:tc>
        <w:tc>
          <w:tcPr>
            <w:tcW w:w="599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5FD75363">
            <w:pPr>
              <w:snapToGrid w:val="0"/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eastAsia="zh-CN" w:bidi="ar"/>
              </w:rPr>
              <w:t>GTCGTATCCAGTGCAGGGTCCGAGGTATTCGCACTGGATACGACTCTCGG</w:t>
            </w:r>
          </w:p>
        </w:tc>
      </w:tr>
      <w:tr w14:paraId="725B269E">
        <w:tblPrEx>
          <w:tblCellMar>
            <w:top w:w="32" w:type="dxa"/>
            <w:left w:w="64" w:type="dxa"/>
            <w:bottom w:w="32" w:type="dxa"/>
            <w:right w:w="64" w:type="dxa"/>
          </w:tblCellMar>
        </w:tblPrEx>
        <w:trPr>
          <w:jc w:val="center"/>
        </w:trPr>
        <w:tc>
          <w:tcPr>
            <w:tcW w:w="224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39963FF4">
            <w:pPr>
              <w:snapToGrid w:val="0"/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hsa-miR-4470-F</w:t>
            </w:r>
          </w:p>
        </w:tc>
        <w:tc>
          <w:tcPr>
            <w:tcW w:w="599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54203341">
            <w:pPr>
              <w:snapToGrid w:val="0"/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eastAsia="zh-CN" w:bidi="ar"/>
              </w:rPr>
              <w:t>GCGTGGCAAACGTGGAAG</w:t>
            </w:r>
          </w:p>
        </w:tc>
      </w:tr>
      <w:tr w14:paraId="32DC79D7">
        <w:tblPrEx>
          <w:tblCellMar>
            <w:top w:w="32" w:type="dxa"/>
            <w:left w:w="64" w:type="dxa"/>
            <w:bottom w:w="32" w:type="dxa"/>
            <w:right w:w="64" w:type="dxa"/>
          </w:tblCellMar>
        </w:tblPrEx>
        <w:trPr>
          <w:jc w:val="center"/>
        </w:trPr>
        <w:tc>
          <w:tcPr>
            <w:tcW w:w="224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2DE56BB8">
            <w:pPr>
              <w:snapToGrid w:val="0"/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hsa-miR-4470-R</w:t>
            </w:r>
          </w:p>
        </w:tc>
        <w:tc>
          <w:tcPr>
            <w:tcW w:w="599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5562301C">
            <w:pPr>
              <w:snapToGrid w:val="0"/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AGTGCAGGGTCCGAGGTATT</w:t>
            </w:r>
          </w:p>
        </w:tc>
      </w:tr>
      <w:tr w14:paraId="1031E9C8">
        <w:tblPrEx>
          <w:tblCellMar>
            <w:top w:w="32" w:type="dxa"/>
            <w:left w:w="64" w:type="dxa"/>
            <w:bottom w:w="32" w:type="dxa"/>
            <w:right w:w="64" w:type="dxa"/>
          </w:tblCellMar>
        </w:tblPrEx>
        <w:trPr>
          <w:jc w:val="center"/>
        </w:trPr>
        <w:tc>
          <w:tcPr>
            <w:tcW w:w="224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4F3AF483">
            <w:pPr>
              <w:snapToGrid w:val="0"/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hsa-miR-597-3p RT stem loop</w:t>
            </w:r>
          </w:p>
        </w:tc>
        <w:tc>
          <w:tcPr>
            <w:tcW w:w="599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23C32367">
            <w:pPr>
              <w:snapToGrid w:val="0"/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eastAsia="zh-CN" w:bidi="ar"/>
              </w:rPr>
              <w:t>GTCGTATCCAGTGCAGGGTCCGAGGTATTCGCACTGGATACGACACGCTT</w:t>
            </w:r>
          </w:p>
        </w:tc>
      </w:tr>
      <w:tr w14:paraId="2852D010">
        <w:tblPrEx>
          <w:tblCellMar>
            <w:top w:w="32" w:type="dxa"/>
            <w:left w:w="64" w:type="dxa"/>
            <w:bottom w:w="32" w:type="dxa"/>
            <w:right w:w="64" w:type="dxa"/>
          </w:tblCellMar>
        </w:tblPrEx>
        <w:trPr>
          <w:jc w:val="center"/>
        </w:trPr>
        <w:tc>
          <w:tcPr>
            <w:tcW w:w="224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65E25C72">
            <w:pPr>
              <w:snapToGrid w:val="0"/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hsa-miR-597-3p-F</w:t>
            </w:r>
          </w:p>
        </w:tc>
        <w:tc>
          <w:tcPr>
            <w:tcW w:w="599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3801637F">
            <w:pPr>
              <w:snapToGrid w:val="0"/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GCGTGGTTCTCTTGTGGCTC</w:t>
            </w:r>
          </w:p>
        </w:tc>
      </w:tr>
      <w:tr w14:paraId="5EE3805A">
        <w:tblPrEx>
          <w:tblCellMar>
            <w:top w:w="32" w:type="dxa"/>
            <w:left w:w="64" w:type="dxa"/>
            <w:bottom w:w="32" w:type="dxa"/>
            <w:right w:w="64" w:type="dxa"/>
          </w:tblCellMar>
        </w:tblPrEx>
        <w:trPr>
          <w:jc w:val="center"/>
        </w:trPr>
        <w:tc>
          <w:tcPr>
            <w:tcW w:w="224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0C04AFE3">
            <w:pPr>
              <w:snapToGrid w:val="0"/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hsa-miR-597-3p-R</w:t>
            </w:r>
          </w:p>
        </w:tc>
        <w:tc>
          <w:tcPr>
            <w:tcW w:w="599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2ADC422D">
            <w:pPr>
              <w:snapToGrid w:val="0"/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AGTGCAGGGTCCGAGGTATT</w:t>
            </w:r>
          </w:p>
        </w:tc>
      </w:tr>
      <w:tr w14:paraId="27720648">
        <w:tblPrEx>
          <w:tblCellMar>
            <w:top w:w="32" w:type="dxa"/>
            <w:left w:w="64" w:type="dxa"/>
            <w:bottom w:w="32" w:type="dxa"/>
            <w:right w:w="64" w:type="dxa"/>
          </w:tblCellMar>
        </w:tblPrEx>
        <w:trPr>
          <w:jc w:val="center"/>
        </w:trPr>
        <w:tc>
          <w:tcPr>
            <w:tcW w:w="224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58BFEBE3">
            <w:pPr>
              <w:snapToGrid w:val="0"/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hsa-miR-4488 RT stem loop</w:t>
            </w:r>
          </w:p>
        </w:tc>
        <w:tc>
          <w:tcPr>
            <w:tcW w:w="599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55C95295">
            <w:pPr>
              <w:snapToGrid w:val="0"/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eastAsia="zh-CN" w:bidi="ar"/>
              </w:rPr>
              <w:t>GTCGTATCCAGTGCAGGGTCCGAGGTATTCGCACTGGATACGACCGCCGG</w:t>
            </w:r>
          </w:p>
        </w:tc>
      </w:tr>
      <w:tr w14:paraId="1C78AA2D">
        <w:tblPrEx>
          <w:tblCellMar>
            <w:top w:w="32" w:type="dxa"/>
            <w:left w:w="64" w:type="dxa"/>
            <w:bottom w:w="32" w:type="dxa"/>
            <w:right w:w="64" w:type="dxa"/>
          </w:tblCellMar>
        </w:tblPrEx>
        <w:trPr>
          <w:jc w:val="center"/>
        </w:trPr>
        <w:tc>
          <w:tcPr>
            <w:tcW w:w="224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5C67BE10">
            <w:pPr>
              <w:snapToGrid w:val="0"/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hsa-miR-4488-F</w:t>
            </w:r>
          </w:p>
        </w:tc>
        <w:tc>
          <w:tcPr>
            <w:tcW w:w="599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12F357B6">
            <w:pPr>
              <w:snapToGrid w:val="0"/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CGCGAGGGGGCGGGCT</w:t>
            </w:r>
          </w:p>
        </w:tc>
      </w:tr>
      <w:tr w14:paraId="67C11CF7">
        <w:tblPrEx>
          <w:tblCellMar>
            <w:top w:w="32" w:type="dxa"/>
            <w:left w:w="64" w:type="dxa"/>
            <w:bottom w:w="32" w:type="dxa"/>
            <w:right w:w="64" w:type="dxa"/>
          </w:tblCellMar>
        </w:tblPrEx>
        <w:trPr>
          <w:jc w:val="center"/>
        </w:trPr>
        <w:tc>
          <w:tcPr>
            <w:tcW w:w="224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5C2537A5">
            <w:pPr>
              <w:snapToGrid w:val="0"/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hsa-miR-4488-R</w:t>
            </w:r>
          </w:p>
        </w:tc>
        <w:tc>
          <w:tcPr>
            <w:tcW w:w="599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1AD490BB">
            <w:pPr>
              <w:snapToGrid w:val="0"/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AGTGCAGGGTCCGAGGTATT</w:t>
            </w:r>
          </w:p>
        </w:tc>
      </w:tr>
      <w:tr w14:paraId="36A537B9">
        <w:tblPrEx>
          <w:tblCellMar>
            <w:top w:w="32" w:type="dxa"/>
            <w:left w:w="64" w:type="dxa"/>
            <w:bottom w:w="32" w:type="dxa"/>
            <w:right w:w="64" w:type="dxa"/>
          </w:tblCellMar>
        </w:tblPrEx>
        <w:trPr>
          <w:jc w:val="center"/>
        </w:trPr>
        <w:tc>
          <w:tcPr>
            <w:tcW w:w="224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7681110F">
            <w:pPr>
              <w:snapToGrid w:val="0"/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h-U6 RT stem loop</w:t>
            </w:r>
          </w:p>
        </w:tc>
        <w:tc>
          <w:tcPr>
            <w:tcW w:w="599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50786AC7">
            <w:pPr>
              <w:snapToGrid w:val="0"/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eastAsia="zh-CN" w:bidi="ar"/>
              </w:rPr>
              <w:t>GTCGTATGCAGAGCAGGGTCCGAGGTATTCGCACTGCATACGACAAAATATGG</w:t>
            </w:r>
          </w:p>
        </w:tc>
      </w:tr>
      <w:tr w14:paraId="379FCC4B">
        <w:tblPrEx>
          <w:tblCellMar>
            <w:top w:w="32" w:type="dxa"/>
            <w:left w:w="64" w:type="dxa"/>
            <w:bottom w:w="32" w:type="dxa"/>
            <w:right w:w="64" w:type="dxa"/>
          </w:tblCellMar>
        </w:tblPrEx>
        <w:trPr>
          <w:jc w:val="center"/>
        </w:trPr>
        <w:tc>
          <w:tcPr>
            <w:tcW w:w="224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7B578F77">
            <w:pPr>
              <w:snapToGrid w:val="0"/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h-U6 F</w:t>
            </w:r>
          </w:p>
        </w:tc>
        <w:tc>
          <w:tcPr>
            <w:tcW w:w="599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6927D192">
            <w:pPr>
              <w:snapToGrid w:val="0"/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CTCGCTTCGGCAGCACA</w:t>
            </w:r>
          </w:p>
        </w:tc>
      </w:tr>
      <w:tr w14:paraId="54C68D8A">
        <w:tblPrEx>
          <w:tblCellMar>
            <w:top w:w="32" w:type="dxa"/>
            <w:left w:w="64" w:type="dxa"/>
            <w:bottom w:w="32" w:type="dxa"/>
            <w:right w:w="64" w:type="dxa"/>
          </w:tblCellMar>
        </w:tblPrEx>
        <w:trPr>
          <w:jc w:val="center"/>
        </w:trPr>
        <w:tc>
          <w:tcPr>
            <w:tcW w:w="224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086D3590">
            <w:pPr>
              <w:snapToGrid w:val="0"/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h-U6 R</w:t>
            </w:r>
          </w:p>
        </w:tc>
        <w:tc>
          <w:tcPr>
            <w:tcW w:w="599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60AC8065">
            <w:pPr>
              <w:snapToGrid w:val="0"/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eastAsia="zh-CN" w:bidi="ar"/>
              </w:rPr>
              <w:t>AACGCTTCACGAATTTGCGT</w:t>
            </w:r>
          </w:p>
        </w:tc>
      </w:tr>
      <w:tr w14:paraId="001B084A">
        <w:tblPrEx>
          <w:tblCellMar>
            <w:top w:w="32" w:type="dxa"/>
            <w:left w:w="64" w:type="dxa"/>
            <w:bottom w:w="32" w:type="dxa"/>
            <w:right w:w="64" w:type="dxa"/>
          </w:tblCellMar>
        </w:tblPrEx>
        <w:trPr>
          <w:jc w:val="center"/>
        </w:trPr>
        <w:tc>
          <w:tcPr>
            <w:tcW w:w="224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6030C1B8">
            <w:pPr>
              <w:snapToGrid w:val="0"/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hint="eastAsia" w:eastAsia="宋体"/>
                <w:color w:val="000000"/>
                <w:lang w:val="en-US" w:eastAsia="zh-CN" w:bidi="ar"/>
              </w:rPr>
              <w:t>PMPCB</w:t>
            </w:r>
            <w:r>
              <w:rPr>
                <w:rFonts w:eastAsia="宋体"/>
                <w:color w:val="000000"/>
                <w:lang w:val="en-US" w:eastAsia="zh-CN" w:bidi="ar"/>
              </w:rPr>
              <w:t>-F</w:t>
            </w:r>
          </w:p>
        </w:tc>
        <w:tc>
          <w:tcPr>
            <w:tcW w:w="599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4984A0D6">
            <w:pPr>
              <w:snapToGrid w:val="0"/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TGGGGTTTCAGCGAGAGTCT</w:t>
            </w:r>
          </w:p>
        </w:tc>
      </w:tr>
      <w:tr w14:paraId="6E7222F9">
        <w:tblPrEx>
          <w:tblCellMar>
            <w:top w:w="32" w:type="dxa"/>
            <w:left w:w="64" w:type="dxa"/>
            <w:bottom w:w="32" w:type="dxa"/>
            <w:right w:w="64" w:type="dxa"/>
          </w:tblCellMar>
        </w:tblPrEx>
        <w:trPr>
          <w:jc w:val="center"/>
        </w:trPr>
        <w:tc>
          <w:tcPr>
            <w:tcW w:w="224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2819AA7E">
            <w:pPr>
              <w:snapToGrid w:val="0"/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hint="eastAsia" w:eastAsia="宋体"/>
                <w:color w:val="000000"/>
                <w:lang w:val="en-US" w:eastAsia="zh-CN" w:bidi="ar"/>
              </w:rPr>
              <w:t>PMPCB</w:t>
            </w:r>
            <w:r>
              <w:rPr>
                <w:rFonts w:eastAsia="宋体"/>
                <w:color w:val="000000"/>
                <w:lang w:val="en-US" w:eastAsia="zh-CN" w:bidi="ar"/>
              </w:rPr>
              <w:t>-R</w:t>
            </w:r>
          </w:p>
        </w:tc>
        <w:tc>
          <w:tcPr>
            <w:tcW w:w="599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7BAE72AC">
            <w:pPr>
              <w:snapToGrid w:val="0"/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TGGGTAGCAGCCTGTGTACTT</w:t>
            </w:r>
          </w:p>
        </w:tc>
      </w:tr>
      <w:tr w14:paraId="39F739CE">
        <w:tblPrEx>
          <w:tblCellMar>
            <w:top w:w="32" w:type="dxa"/>
            <w:left w:w="64" w:type="dxa"/>
            <w:bottom w:w="32" w:type="dxa"/>
            <w:right w:w="64" w:type="dxa"/>
          </w:tblCellMar>
        </w:tblPrEx>
        <w:trPr>
          <w:jc w:val="center"/>
        </w:trPr>
        <w:tc>
          <w:tcPr>
            <w:tcW w:w="224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2BB49947">
            <w:pPr>
              <w:snapToGrid w:val="0"/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GHITM-F</w:t>
            </w:r>
          </w:p>
        </w:tc>
        <w:tc>
          <w:tcPr>
            <w:tcW w:w="599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4A690525">
            <w:pPr>
              <w:snapToGrid w:val="0"/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GGCCTCAGTATGTCAAGGATAGA</w:t>
            </w:r>
          </w:p>
        </w:tc>
      </w:tr>
      <w:tr w14:paraId="52C44489">
        <w:tblPrEx>
          <w:tblCellMar>
            <w:top w:w="32" w:type="dxa"/>
            <w:left w:w="64" w:type="dxa"/>
            <w:bottom w:w="32" w:type="dxa"/>
            <w:right w:w="64" w:type="dxa"/>
          </w:tblCellMar>
        </w:tblPrEx>
        <w:trPr>
          <w:jc w:val="center"/>
        </w:trPr>
        <w:tc>
          <w:tcPr>
            <w:tcW w:w="224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5C7153C0">
            <w:pPr>
              <w:snapToGrid w:val="0"/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GHITM-R</w:t>
            </w:r>
          </w:p>
        </w:tc>
        <w:tc>
          <w:tcPr>
            <w:tcW w:w="599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02A6C445">
            <w:pPr>
              <w:snapToGrid w:val="0"/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GCGTTCTGCTGATTGCTATGG</w:t>
            </w:r>
          </w:p>
        </w:tc>
      </w:tr>
      <w:tr w14:paraId="60BB94D5">
        <w:tblPrEx>
          <w:tblCellMar>
            <w:top w:w="32" w:type="dxa"/>
            <w:left w:w="64" w:type="dxa"/>
            <w:bottom w:w="32" w:type="dxa"/>
            <w:right w:w="64" w:type="dxa"/>
          </w:tblCellMar>
        </w:tblPrEx>
        <w:trPr>
          <w:jc w:val="center"/>
        </w:trPr>
        <w:tc>
          <w:tcPr>
            <w:tcW w:w="224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4E8621D3">
            <w:pPr>
              <w:snapToGrid w:val="0"/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SLC25A37-F</w:t>
            </w:r>
          </w:p>
        </w:tc>
        <w:tc>
          <w:tcPr>
            <w:tcW w:w="599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0ACC7545">
            <w:pPr>
              <w:snapToGrid w:val="0"/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GATGGGGACAGCCGAGATG</w:t>
            </w:r>
          </w:p>
        </w:tc>
      </w:tr>
      <w:tr w14:paraId="5F636675">
        <w:tblPrEx>
          <w:tblCellMar>
            <w:top w:w="32" w:type="dxa"/>
            <w:left w:w="64" w:type="dxa"/>
            <w:bottom w:w="32" w:type="dxa"/>
            <w:right w:w="64" w:type="dxa"/>
          </w:tblCellMar>
        </w:tblPrEx>
        <w:trPr>
          <w:jc w:val="center"/>
        </w:trPr>
        <w:tc>
          <w:tcPr>
            <w:tcW w:w="224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17499522">
            <w:pPr>
              <w:snapToGrid w:val="0"/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SLC25A37-R</w:t>
            </w:r>
          </w:p>
        </w:tc>
        <w:tc>
          <w:tcPr>
            <w:tcW w:w="599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7CEB0673">
            <w:pPr>
              <w:snapToGrid w:val="0"/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ACCGGGTACATGACCGAGT</w:t>
            </w:r>
          </w:p>
        </w:tc>
      </w:tr>
      <w:tr w14:paraId="60C8ABF9">
        <w:tblPrEx>
          <w:tblCellMar>
            <w:top w:w="32" w:type="dxa"/>
            <w:left w:w="64" w:type="dxa"/>
            <w:bottom w:w="32" w:type="dxa"/>
            <w:right w:w="64" w:type="dxa"/>
          </w:tblCellMar>
        </w:tblPrEx>
        <w:trPr>
          <w:jc w:val="center"/>
        </w:trPr>
        <w:tc>
          <w:tcPr>
            <w:tcW w:w="224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035E79F0">
            <w:pPr>
              <w:snapToGrid w:val="0"/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BCL2L2-F</w:t>
            </w:r>
          </w:p>
        </w:tc>
        <w:tc>
          <w:tcPr>
            <w:tcW w:w="599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5A78A116">
            <w:pPr>
              <w:snapToGrid w:val="0"/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GCGGAGTTCACAGCTCTATAC</w:t>
            </w:r>
          </w:p>
        </w:tc>
      </w:tr>
      <w:tr w14:paraId="3D3C0A80">
        <w:tblPrEx>
          <w:tblCellMar>
            <w:top w:w="32" w:type="dxa"/>
            <w:left w:w="64" w:type="dxa"/>
            <w:bottom w:w="32" w:type="dxa"/>
            <w:right w:w="64" w:type="dxa"/>
          </w:tblCellMar>
        </w:tblPrEx>
        <w:trPr>
          <w:jc w:val="center"/>
        </w:trPr>
        <w:tc>
          <w:tcPr>
            <w:tcW w:w="224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0D7A4747">
            <w:pPr>
              <w:snapToGrid w:val="0"/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BCL2L2-R</w:t>
            </w:r>
          </w:p>
        </w:tc>
        <w:tc>
          <w:tcPr>
            <w:tcW w:w="599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270D1DC6">
            <w:pPr>
              <w:snapToGrid w:val="0"/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AAAAGGCCCCTACAGTTACCA</w:t>
            </w:r>
          </w:p>
        </w:tc>
      </w:tr>
      <w:tr w14:paraId="204491E4">
        <w:tblPrEx>
          <w:tblCellMar>
            <w:top w:w="32" w:type="dxa"/>
            <w:left w:w="64" w:type="dxa"/>
            <w:bottom w:w="32" w:type="dxa"/>
            <w:right w:w="64" w:type="dxa"/>
          </w:tblCellMar>
        </w:tblPrEx>
        <w:trPr>
          <w:jc w:val="center"/>
        </w:trPr>
        <w:tc>
          <w:tcPr>
            <w:tcW w:w="224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436B949C">
            <w:pPr>
              <w:snapToGrid w:val="0"/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NDUFS8-F</w:t>
            </w:r>
          </w:p>
        </w:tc>
        <w:tc>
          <w:tcPr>
            <w:tcW w:w="599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113102C9">
            <w:pPr>
              <w:snapToGrid w:val="0"/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CCATCAACTACCCGTTCGAGA</w:t>
            </w:r>
          </w:p>
        </w:tc>
      </w:tr>
      <w:tr w14:paraId="336AC0AF">
        <w:tblPrEx>
          <w:tblCellMar>
            <w:top w:w="32" w:type="dxa"/>
            <w:left w:w="64" w:type="dxa"/>
            <w:bottom w:w="32" w:type="dxa"/>
            <w:right w:w="64" w:type="dxa"/>
          </w:tblCellMar>
        </w:tblPrEx>
        <w:trPr>
          <w:jc w:val="center"/>
        </w:trPr>
        <w:tc>
          <w:tcPr>
            <w:tcW w:w="224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019DAC80">
            <w:pPr>
              <w:snapToGrid w:val="0"/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NDUFS8-R</w:t>
            </w:r>
          </w:p>
        </w:tc>
        <w:tc>
          <w:tcPr>
            <w:tcW w:w="599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18EF67B8">
            <w:pPr>
              <w:snapToGrid w:val="0"/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CCGCAGTAGATGCACTTGG</w:t>
            </w:r>
          </w:p>
        </w:tc>
      </w:tr>
      <w:tr w14:paraId="73B579FC">
        <w:tblPrEx>
          <w:tblCellMar>
            <w:top w:w="32" w:type="dxa"/>
            <w:left w:w="64" w:type="dxa"/>
            <w:bottom w:w="32" w:type="dxa"/>
            <w:right w:w="64" w:type="dxa"/>
          </w:tblCellMar>
        </w:tblPrEx>
        <w:trPr>
          <w:jc w:val="center"/>
        </w:trPr>
        <w:tc>
          <w:tcPr>
            <w:tcW w:w="224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216EB974">
            <w:pPr>
              <w:snapToGrid w:val="0"/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IFN-γ-F</w:t>
            </w:r>
          </w:p>
        </w:tc>
        <w:tc>
          <w:tcPr>
            <w:tcW w:w="599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2FCD57FE">
            <w:pPr>
              <w:snapToGrid w:val="0"/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TCGGTAACTGACTTGAATGTCCA</w:t>
            </w:r>
          </w:p>
        </w:tc>
      </w:tr>
      <w:tr w14:paraId="51DB66FE">
        <w:tblPrEx>
          <w:tblCellMar>
            <w:top w:w="32" w:type="dxa"/>
            <w:left w:w="64" w:type="dxa"/>
            <w:bottom w:w="32" w:type="dxa"/>
            <w:right w:w="64" w:type="dxa"/>
          </w:tblCellMar>
        </w:tblPrEx>
        <w:trPr>
          <w:jc w:val="center"/>
        </w:trPr>
        <w:tc>
          <w:tcPr>
            <w:tcW w:w="224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14159E6A">
            <w:pPr>
              <w:snapToGrid w:val="0"/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IFN-γ-R</w:t>
            </w:r>
          </w:p>
        </w:tc>
        <w:tc>
          <w:tcPr>
            <w:tcW w:w="599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1C6B0CEB">
            <w:pPr>
              <w:snapToGrid w:val="0"/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TCGCTTCCCTGTTTTAGCTGC</w:t>
            </w:r>
          </w:p>
        </w:tc>
      </w:tr>
      <w:tr w14:paraId="568C8CD3">
        <w:tblPrEx>
          <w:tblCellMar>
            <w:top w:w="32" w:type="dxa"/>
            <w:left w:w="64" w:type="dxa"/>
            <w:bottom w:w="32" w:type="dxa"/>
            <w:right w:w="64" w:type="dxa"/>
          </w:tblCellMar>
        </w:tblPrEx>
        <w:trPr>
          <w:jc w:val="center"/>
        </w:trPr>
        <w:tc>
          <w:tcPr>
            <w:tcW w:w="224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690AED05">
            <w:pPr>
              <w:snapToGrid w:val="0"/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TNF-α-F</w:t>
            </w:r>
          </w:p>
        </w:tc>
        <w:tc>
          <w:tcPr>
            <w:tcW w:w="599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6333D558">
            <w:pPr>
              <w:snapToGrid w:val="0"/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CCTCTCTCTAATCAGCCCTCTG</w:t>
            </w:r>
          </w:p>
        </w:tc>
      </w:tr>
      <w:tr w14:paraId="505045B3">
        <w:tblPrEx>
          <w:tblCellMar>
            <w:top w:w="32" w:type="dxa"/>
            <w:left w:w="64" w:type="dxa"/>
            <w:bottom w:w="32" w:type="dxa"/>
            <w:right w:w="64" w:type="dxa"/>
          </w:tblCellMar>
        </w:tblPrEx>
        <w:trPr>
          <w:jc w:val="center"/>
        </w:trPr>
        <w:tc>
          <w:tcPr>
            <w:tcW w:w="224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69035E28">
            <w:pPr>
              <w:snapToGrid w:val="0"/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TNF-α-R</w:t>
            </w:r>
          </w:p>
        </w:tc>
        <w:tc>
          <w:tcPr>
            <w:tcW w:w="599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414006C3">
            <w:pPr>
              <w:snapToGrid w:val="0"/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GAGGACCTGGGAGTAGATGAG</w:t>
            </w:r>
          </w:p>
        </w:tc>
      </w:tr>
      <w:tr w14:paraId="6EA96C95">
        <w:tblPrEx>
          <w:tblCellMar>
            <w:top w:w="32" w:type="dxa"/>
            <w:left w:w="64" w:type="dxa"/>
            <w:bottom w:w="32" w:type="dxa"/>
            <w:right w:w="64" w:type="dxa"/>
          </w:tblCellMar>
        </w:tblPrEx>
        <w:trPr>
          <w:jc w:val="center"/>
        </w:trPr>
        <w:tc>
          <w:tcPr>
            <w:tcW w:w="224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328EBC38">
            <w:pPr>
              <w:snapToGrid w:val="0"/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β-actin-F</w:t>
            </w:r>
          </w:p>
        </w:tc>
        <w:tc>
          <w:tcPr>
            <w:tcW w:w="599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28D7822B">
            <w:pPr>
              <w:snapToGrid w:val="0"/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CATGTACGTTGCTATCCAGGC</w:t>
            </w:r>
          </w:p>
        </w:tc>
      </w:tr>
      <w:tr w14:paraId="3110C367">
        <w:tblPrEx>
          <w:tblCellMar>
            <w:top w:w="32" w:type="dxa"/>
            <w:left w:w="64" w:type="dxa"/>
            <w:bottom w:w="32" w:type="dxa"/>
            <w:right w:w="64" w:type="dxa"/>
          </w:tblCellMar>
        </w:tblPrEx>
        <w:trPr>
          <w:jc w:val="center"/>
        </w:trPr>
        <w:tc>
          <w:tcPr>
            <w:tcW w:w="2247" w:type="dxa"/>
            <w:tcBorders>
              <w:top w:val="nil"/>
              <w:left w:val="nil"/>
              <w:bottom w:val="single" w:color="000000" w:sz="12" w:space="0"/>
              <w:right w:val="nil"/>
            </w:tcBorders>
            <w:shd w:val="clear" w:color="auto" w:fill="FFFFFF"/>
            <w:noWrap/>
            <w:vAlign w:val="center"/>
          </w:tcPr>
          <w:p w14:paraId="74B77C79">
            <w:pPr>
              <w:snapToGrid w:val="0"/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β-actin-R</w:t>
            </w:r>
          </w:p>
        </w:tc>
        <w:tc>
          <w:tcPr>
            <w:tcW w:w="5998" w:type="dxa"/>
            <w:tcBorders>
              <w:top w:val="nil"/>
              <w:left w:val="nil"/>
              <w:bottom w:val="single" w:color="000000" w:sz="12" w:space="0"/>
              <w:right w:val="nil"/>
            </w:tcBorders>
            <w:shd w:val="clear" w:color="auto" w:fill="FFFFFF"/>
            <w:vAlign w:val="center"/>
          </w:tcPr>
          <w:p w14:paraId="3E2F20F9">
            <w:pPr>
              <w:snapToGrid w:val="0"/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CTCCTTAATGTCACGCACGAT</w:t>
            </w:r>
          </w:p>
        </w:tc>
      </w:tr>
    </w:tbl>
    <w:p w14:paraId="6B25232D">
      <w:pPr>
        <w:pStyle w:val="8"/>
        <w:spacing w:before="156" w:beforeLines="50" w:after="156" w:afterLines="50" w:line="480" w:lineRule="auto"/>
        <w:rPr>
          <w:rFonts w:ascii="Times New Roman" w:hAnsi="Times New Roman" w:cs="Times New Roman"/>
          <w:b/>
          <w:bCs/>
          <w:sz w:val="22"/>
        </w:rPr>
      </w:pPr>
    </w:p>
    <w:p w14:paraId="7E292B86">
      <w:pPr>
        <w:pStyle w:val="8"/>
        <w:spacing w:before="156" w:beforeLines="50" w:after="156" w:afterLines="50" w:line="480" w:lineRule="auto"/>
        <w:jc w:val="both"/>
        <w:rPr>
          <w:rFonts w:ascii="Times New Roman" w:hAnsi="Times New Roman" w:cs="Times New Roman"/>
          <w:b/>
          <w:bCs/>
          <w:sz w:val="22"/>
        </w:rPr>
      </w:pPr>
      <w:r>
        <w:rPr>
          <w:rFonts w:ascii="Times New Roman" w:hAnsi="Times New Roman" w:cs="Times New Roman"/>
          <w:b/>
          <w:bCs/>
          <w:szCs w:val="28"/>
        </w:rPr>
        <w:t>Table S</w:t>
      </w:r>
      <w:r>
        <w:rPr>
          <w:rFonts w:hint="eastAsia" w:ascii="Times New Roman" w:hAnsi="Times New Roman" w:cs="Times New Roman"/>
          <w:b/>
          <w:bCs/>
          <w:szCs w:val="28"/>
        </w:rPr>
        <w:t>7</w:t>
      </w:r>
      <w:r>
        <w:rPr>
          <w:rFonts w:ascii="Times New Roman" w:hAnsi="Times New Roman" w:cs="Times New Roman"/>
          <w:b/>
          <w:bCs/>
          <w:szCs w:val="28"/>
        </w:rPr>
        <w:t xml:space="preserve">. The primer sets for </w:t>
      </w:r>
      <w:r>
        <w:rPr>
          <w:rFonts w:hint="eastAsia" w:ascii="Times New Roman" w:hAnsi="Times New Roman" w:cs="Times New Roman"/>
          <w:b/>
          <w:bCs/>
          <w:szCs w:val="28"/>
        </w:rPr>
        <w:t>mouse</w:t>
      </w:r>
      <w:r>
        <w:rPr>
          <w:rFonts w:ascii="Times New Roman" w:hAnsi="Times New Roman" w:cs="Times New Roman"/>
          <w:b/>
          <w:bCs/>
          <w:szCs w:val="28"/>
        </w:rPr>
        <w:t xml:space="preserve"> qPCR</w:t>
      </w:r>
    </w:p>
    <w:tbl>
      <w:tblPr>
        <w:tblStyle w:val="5"/>
        <w:tblW w:w="9008" w:type="dxa"/>
        <w:jc w:val="center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49"/>
        <w:gridCol w:w="5659"/>
      </w:tblGrid>
      <w:tr w14:paraId="5282819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9" w:hRule="atLeast"/>
          <w:jc w:val="center"/>
        </w:trPr>
        <w:tc>
          <w:tcPr>
            <w:tcW w:w="2244" w:type="dxa"/>
            <w:tcBorders>
              <w:top w:val="single" w:color="000000" w:sz="12" w:space="0"/>
              <w:left w:val="nil"/>
              <w:bottom w:val="single" w:color="000000" w:sz="4" w:space="0"/>
              <w:right w:val="nil"/>
              <w:tl2br w:val="nil"/>
            </w:tcBorders>
            <w:shd w:val="clear" w:color="auto" w:fill="FFFFFF"/>
            <w:noWrap/>
            <w:vAlign w:val="center"/>
          </w:tcPr>
          <w:p w14:paraId="0C77B0F7">
            <w:pPr>
              <w:jc w:val="center"/>
              <w:textAlignment w:val="center"/>
              <w:rPr>
                <w:rFonts w:eastAsia="宋体"/>
                <w:color w:val="000000"/>
                <w:lang w:val="en-US" w:eastAsia="zh-CN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Gene (</w:t>
            </w:r>
            <w:r>
              <w:rPr>
                <w:rFonts w:hint="eastAsia" w:eastAsia="宋体"/>
                <w:color w:val="000000"/>
                <w:lang w:val="en-US" w:eastAsia="zh-CN" w:bidi="ar"/>
              </w:rPr>
              <w:t>mouse</w:t>
            </w:r>
            <w:r>
              <w:rPr>
                <w:rFonts w:eastAsia="宋体"/>
                <w:color w:val="000000"/>
                <w:lang w:val="en-US" w:eastAsia="zh-CN" w:bidi="ar"/>
              </w:rPr>
              <w:t>)</w:t>
            </w:r>
          </w:p>
        </w:tc>
        <w:tc>
          <w:tcPr>
            <w:tcW w:w="3792" w:type="dxa"/>
            <w:tcBorders>
              <w:top w:val="single" w:color="000000" w:sz="12" w:space="0"/>
              <w:left w:val="nil"/>
              <w:bottom w:val="single" w:color="000000" w:sz="4" w:space="0"/>
              <w:right w:val="nil"/>
            </w:tcBorders>
            <w:shd w:val="clear" w:color="auto" w:fill="FFFFFF"/>
            <w:noWrap/>
            <w:vAlign w:val="center"/>
          </w:tcPr>
          <w:p w14:paraId="66CC9BD1">
            <w:pPr>
              <w:jc w:val="center"/>
              <w:textAlignment w:val="center"/>
              <w:rPr>
                <w:rFonts w:eastAsia="宋体"/>
                <w:bCs/>
                <w:color w:val="000000"/>
                <w:lang w:val="en-US" w:eastAsia="zh-CN"/>
              </w:rPr>
            </w:pPr>
            <w:r>
              <w:rPr>
                <w:rFonts w:eastAsia="宋体"/>
                <w:bCs/>
                <w:color w:val="000000"/>
                <w:lang w:val="en-US" w:eastAsia="zh-CN" w:bidi="ar"/>
              </w:rPr>
              <w:t>Primer Sequence (5'-3')</w:t>
            </w:r>
          </w:p>
        </w:tc>
      </w:tr>
      <w:tr w14:paraId="6E4F43E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9" w:hRule="atLeast"/>
          <w:jc w:val="center"/>
        </w:trPr>
        <w:tc>
          <w:tcPr>
            <w:tcW w:w="2244" w:type="dxa"/>
            <w:tcBorders>
              <w:top w:val="single" w:color="000000" w:sz="4" w:space="0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73B2171A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mmu-IFN-γ-F</w:t>
            </w:r>
          </w:p>
        </w:tc>
        <w:tc>
          <w:tcPr>
            <w:tcW w:w="3792" w:type="dxa"/>
            <w:tcBorders>
              <w:top w:val="single" w:color="000000" w:sz="4" w:space="0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122D48D1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eastAsia="zh-CN" w:bidi="ar"/>
              </w:rPr>
              <w:t>AGCAAGGCGAAAAAGGATGC</w:t>
            </w:r>
          </w:p>
        </w:tc>
      </w:tr>
      <w:tr w14:paraId="768A534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9" w:hRule="atLeast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71EBF34A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mmu-IFN-γ-R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03E15519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TCATTGAATGCTTGGCGCTG</w:t>
            </w:r>
          </w:p>
        </w:tc>
      </w:tr>
      <w:tr w14:paraId="3DDA145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9" w:hRule="atLeast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33A8E724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mmu-TNF-α-F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71B813BC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CCCTCACACTCACAAACCAC</w:t>
            </w:r>
          </w:p>
        </w:tc>
      </w:tr>
      <w:tr w14:paraId="7DFFE34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9" w:hRule="atLeast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724A85E5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mmu-TNF-α-R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2FFFA8EA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ACAAGGTACAACCCATCGGC</w:t>
            </w:r>
          </w:p>
        </w:tc>
      </w:tr>
      <w:tr w14:paraId="68C6176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9" w:hRule="atLeast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5CBE5B67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mmu-β-actin-F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0DC56526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TGAGCTGCGTTTTACACCCT</w:t>
            </w:r>
          </w:p>
        </w:tc>
      </w:tr>
      <w:tr w14:paraId="12449E0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9" w:hRule="atLeast"/>
          <w:jc w:val="center"/>
        </w:trPr>
        <w:tc>
          <w:tcPr>
            <w:tcW w:w="0" w:type="auto"/>
            <w:tcBorders>
              <w:top w:val="nil"/>
              <w:left w:val="nil"/>
              <w:bottom w:val="single" w:color="000000" w:sz="12" w:space="0"/>
              <w:right w:val="nil"/>
            </w:tcBorders>
            <w:shd w:val="clear" w:color="auto" w:fill="FFFFFF"/>
            <w:noWrap/>
            <w:vAlign w:val="center"/>
          </w:tcPr>
          <w:p w14:paraId="127CB7E4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mmu-β-actin-R</w:t>
            </w:r>
          </w:p>
        </w:tc>
        <w:tc>
          <w:tcPr>
            <w:tcW w:w="0" w:type="auto"/>
            <w:tcBorders>
              <w:top w:val="nil"/>
              <w:left w:val="nil"/>
              <w:bottom w:val="single" w:color="000000" w:sz="12" w:space="0"/>
              <w:right w:val="nil"/>
            </w:tcBorders>
            <w:shd w:val="clear" w:color="auto" w:fill="FFFFFF"/>
            <w:noWrap/>
            <w:vAlign w:val="center"/>
          </w:tcPr>
          <w:p w14:paraId="55A767C4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GCCTTCACCGTTCCAGTTTT</w:t>
            </w:r>
          </w:p>
        </w:tc>
      </w:tr>
    </w:tbl>
    <w:p w14:paraId="6D701603">
      <w:pPr>
        <w:spacing w:after="120" w:line="360" w:lineRule="auto"/>
        <w:rPr>
          <w:b/>
          <w:bCs/>
          <w:sz w:val="22"/>
          <w:szCs w:val="22"/>
        </w:rPr>
      </w:pPr>
    </w:p>
    <w:p w14:paraId="56F46D3D">
      <w:pPr>
        <w:spacing w:after="120" w:line="360" w:lineRule="auto"/>
        <w:jc w:val="both"/>
        <w:rPr>
          <w:b/>
          <w:bCs/>
        </w:rPr>
      </w:pPr>
    </w:p>
    <w:p w14:paraId="46D11465">
      <w:pPr>
        <w:spacing w:after="120" w:line="360" w:lineRule="auto"/>
        <w:jc w:val="both"/>
        <w:rPr>
          <w:b/>
          <w:bCs/>
        </w:rPr>
      </w:pPr>
    </w:p>
    <w:p w14:paraId="6DF62645">
      <w:pPr>
        <w:spacing w:after="120" w:line="360" w:lineRule="auto"/>
        <w:jc w:val="both"/>
        <w:rPr>
          <w:rFonts w:eastAsia="宋体"/>
          <w:b/>
          <w:bCs/>
          <w:lang w:val="en-US" w:eastAsia="zh-CN"/>
        </w:rPr>
      </w:pPr>
      <w:r>
        <w:rPr>
          <w:b/>
          <w:bCs/>
        </w:rPr>
        <w:t>Table S</w:t>
      </w:r>
      <w:r>
        <w:rPr>
          <w:rFonts w:hint="eastAsia"/>
          <w:b/>
          <w:bCs/>
          <w:lang w:val="en-US" w:eastAsia="zh-CN"/>
        </w:rPr>
        <w:t>8.</w:t>
      </w:r>
      <w:r>
        <w:rPr>
          <w:b/>
          <w:bCs/>
          <w:lang w:val="en-US" w:eastAsia="zh-CN"/>
        </w:rPr>
        <w:t xml:space="preserve"> </w:t>
      </w:r>
      <w:r>
        <w:rPr>
          <w:b/>
          <w:bCs/>
        </w:rPr>
        <w:t>Predicted targets of miR</w:t>
      </w:r>
      <w:r>
        <w:rPr>
          <w:rFonts w:eastAsia="宋体"/>
          <w:b/>
          <w:bCs/>
          <w:lang w:val="en-US" w:eastAsia="zh-CN"/>
        </w:rPr>
        <w:t>-550-5p</w:t>
      </w:r>
      <w:r>
        <w:rPr>
          <w:b/>
          <w:bCs/>
        </w:rPr>
        <w:t xml:space="preserve"> using TargetScan</w:t>
      </w:r>
      <w:r>
        <w:rPr>
          <w:rFonts w:eastAsia="宋体"/>
          <w:b/>
          <w:bCs/>
          <w:lang w:val="en-US" w:eastAsia="zh-CN"/>
        </w:rPr>
        <w:t>,</w:t>
      </w:r>
      <w:r>
        <w:rPr>
          <w:b/>
          <w:bCs/>
        </w:rPr>
        <w:t xml:space="preserve"> miRDB</w:t>
      </w:r>
      <w:r>
        <w:rPr>
          <w:rFonts w:eastAsia="宋体"/>
          <w:b/>
          <w:bCs/>
          <w:lang w:val="en-US" w:eastAsia="zh-CN"/>
        </w:rPr>
        <w:t xml:space="preserve"> and </w:t>
      </w:r>
      <w:r>
        <w:rPr>
          <w:b/>
          <w:bCs/>
        </w:rPr>
        <w:t>MitoCarta</w:t>
      </w:r>
      <w:r>
        <w:rPr>
          <w:rFonts w:eastAsia="宋体"/>
          <w:b/>
          <w:bCs/>
          <w:lang w:val="en-US" w:eastAsia="zh-CN"/>
        </w:rPr>
        <w:t xml:space="preserve">. </w:t>
      </w:r>
    </w:p>
    <w:tbl>
      <w:tblPr>
        <w:tblStyle w:val="5"/>
        <w:tblW w:w="9008" w:type="dxa"/>
        <w:jc w:val="center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24"/>
        <w:gridCol w:w="2324"/>
        <w:gridCol w:w="2347"/>
        <w:gridCol w:w="2013"/>
      </w:tblGrid>
      <w:tr w14:paraId="5183343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9" w:hRule="atLeast"/>
          <w:jc w:val="center"/>
        </w:trPr>
        <w:tc>
          <w:tcPr>
            <w:tcW w:w="4320" w:type="dxa"/>
            <w:gridSpan w:val="4"/>
            <w:tcBorders>
              <w:top w:val="single" w:color="000000" w:sz="12" w:space="0"/>
              <w:left w:val="nil"/>
              <w:bottom w:val="single" w:color="000000" w:sz="4" w:space="0"/>
              <w:right w:val="nil"/>
              <w:tl2br w:val="nil"/>
            </w:tcBorders>
            <w:shd w:val="clear" w:color="auto" w:fill="FFFFFF"/>
            <w:noWrap/>
            <w:vAlign w:val="center"/>
          </w:tcPr>
          <w:p w14:paraId="172715FC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GENE</w:t>
            </w:r>
          </w:p>
        </w:tc>
      </w:tr>
      <w:tr w14:paraId="49A3DF6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9" w:hRule="atLeast"/>
          <w:jc w:val="center"/>
        </w:trPr>
        <w:tc>
          <w:tcPr>
            <w:tcW w:w="0" w:type="auto"/>
            <w:tcBorders>
              <w:top w:val="single" w:color="000000" w:sz="4" w:space="0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31763F3A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NT5DC3</w:t>
            </w:r>
          </w:p>
        </w:tc>
        <w:tc>
          <w:tcPr>
            <w:tcW w:w="0" w:type="auto"/>
            <w:tcBorders>
              <w:top w:val="single" w:color="000000" w:sz="4" w:space="0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20645E7A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PRELID2</w:t>
            </w:r>
          </w:p>
        </w:tc>
        <w:tc>
          <w:tcPr>
            <w:tcW w:w="0" w:type="auto"/>
            <w:tcBorders>
              <w:top w:val="single" w:color="000000" w:sz="4" w:space="0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45892FF5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SLC25A37</w:t>
            </w:r>
          </w:p>
        </w:tc>
        <w:tc>
          <w:tcPr>
            <w:tcW w:w="0" w:type="auto"/>
            <w:tcBorders>
              <w:top w:val="single" w:color="000000" w:sz="4" w:space="0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3B01A857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GHITM</w:t>
            </w:r>
          </w:p>
        </w:tc>
      </w:tr>
      <w:tr w14:paraId="5C30919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9" w:hRule="atLeast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2EBD7AE9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UNG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3620FAFC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PMPCB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2A49742F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ALKBH1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5EFAF25C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WARS2</w:t>
            </w:r>
          </w:p>
        </w:tc>
      </w:tr>
      <w:tr w14:paraId="4BC1189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9" w:hRule="atLeast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4E4ECD83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BCL2L2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402EEB23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MRPL44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62FF81AB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CYP27B1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7F1E62CC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SUCLA2</w:t>
            </w:r>
          </w:p>
        </w:tc>
      </w:tr>
      <w:tr w14:paraId="690DFEA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9" w:hRule="atLeast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49D9CCBF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RNASEH1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43909E71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PDP2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1E1B33D6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ECHDC2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14A069F8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MTFMT</w:t>
            </w:r>
          </w:p>
        </w:tc>
      </w:tr>
      <w:tr w14:paraId="05ADF70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9" w:hRule="atLeast"/>
          <w:jc w:val="center"/>
        </w:trPr>
        <w:tc>
          <w:tcPr>
            <w:tcW w:w="0" w:type="auto"/>
            <w:tcBorders>
              <w:top w:val="nil"/>
              <w:left w:val="nil"/>
              <w:bottom w:val="single" w:color="000000" w:sz="12" w:space="0"/>
              <w:right w:val="nil"/>
            </w:tcBorders>
            <w:shd w:val="clear" w:color="auto" w:fill="FFFFFF"/>
            <w:noWrap/>
            <w:vAlign w:val="center"/>
          </w:tcPr>
          <w:p w14:paraId="58EFF36F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GTPBP10</w:t>
            </w:r>
          </w:p>
        </w:tc>
        <w:tc>
          <w:tcPr>
            <w:tcW w:w="0" w:type="auto"/>
            <w:tcBorders>
              <w:top w:val="nil"/>
              <w:left w:val="nil"/>
              <w:bottom w:val="single" w:color="000000" w:sz="12" w:space="0"/>
              <w:right w:val="nil"/>
            </w:tcBorders>
            <w:shd w:val="clear" w:color="auto" w:fill="FFFFFF"/>
            <w:noWrap/>
            <w:vAlign w:val="center"/>
          </w:tcPr>
          <w:p w14:paraId="085AD932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NDUFAF4</w:t>
            </w:r>
          </w:p>
        </w:tc>
        <w:tc>
          <w:tcPr>
            <w:tcW w:w="0" w:type="auto"/>
            <w:tcBorders>
              <w:top w:val="nil"/>
              <w:left w:val="nil"/>
              <w:bottom w:val="single" w:color="000000" w:sz="12" w:space="0"/>
              <w:right w:val="nil"/>
            </w:tcBorders>
            <w:shd w:val="clear" w:color="auto" w:fill="FFFFFF"/>
            <w:noWrap/>
            <w:vAlign w:val="center"/>
          </w:tcPr>
          <w:p w14:paraId="204B0DE9">
            <w:pPr>
              <w:jc w:val="center"/>
              <w:textAlignment w:val="center"/>
              <w:rPr>
                <w:rFonts w:eastAsia="宋体"/>
                <w:color w:val="000000"/>
              </w:rPr>
            </w:pPr>
            <w:r>
              <w:rPr>
                <w:rFonts w:eastAsia="宋体"/>
                <w:color w:val="000000"/>
                <w:lang w:val="en-US" w:eastAsia="zh-CN" w:bidi="ar"/>
              </w:rPr>
              <w:t>HOGA1</w:t>
            </w:r>
          </w:p>
        </w:tc>
        <w:tc>
          <w:tcPr>
            <w:tcW w:w="0" w:type="auto"/>
            <w:tcBorders>
              <w:top w:val="nil"/>
              <w:left w:val="nil"/>
              <w:bottom w:val="single" w:color="000000" w:sz="12" w:space="0"/>
              <w:right w:val="nil"/>
            </w:tcBorders>
            <w:shd w:val="clear" w:color="auto" w:fill="FFFFFF"/>
            <w:noWrap/>
            <w:vAlign w:val="center"/>
          </w:tcPr>
          <w:p w14:paraId="7A6166B4">
            <w:pPr>
              <w:jc w:val="center"/>
              <w:rPr>
                <w:rFonts w:eastAsia="宋体"/>
                <w:color w:val="000000"/>
              </w:rPr>
            </w:pPr>
          </w:p>
        </w:tc>
      </w:tr>
    </w:tbl>
    <w:p w14:paraId="7DEAE09E">
      <w:pPr>
        <w:pStyle w:val="8"/>
        <w:spacing w:before="156" w:beforeLines="50" w:after="156" w:afterLines="50" w:line="480" w:lineRule="auto"/>
        <w:rPr>
          <w:rFonts w:ascii="Times New Roman" w:hAnsi="Times New Roman" w:cs="Times New Roman"/>
          <w:color w:val="auto"/>
          <w:sz w:val="22"/>
          <w:szCs w:val="22"/>
        </w:rPr>
      </w:pPr>
    </w:p>
    <w:p w14:paraId="36B81120">
      <w:pPr>
        <w:pStyle w:val="8"/>
        <w:spacing w:before="156" w:beforeLines="50" w:after="156" w:afterLines="50" w:line="480" w:lineRule="auto"/>
        <w:rPr>
          <w:rFonts w:ascii="Times New Roman" w:hAnsi="Times New Roman" w:cs="Times New Roman"/>
          <w:color w:val="auto"/>
          <w:sz w:val="22"/>
          <w:szCs w:val="22"/>
        </w:rPr>
      </w:pPr>
    </w:p>
    <w:p w14:paraId="4E75B8B0">
      <w:pPr>
        <w:pStyle w:val="8"/>
        <w:spacing w:before="156" w:beforeLines="50" w:after="156" w:afterLines="50" w:line="480" w:lineRule="auto"/>
        <w:rPr>
          <w:rFonts w:ascii="Times New Roman" w:hAnsi="Times New Roman" w:cs="Times New Roman"/>
          <w:color w:val="auto"/>
          <w:sz w:val="22"/>
          <w:szCs w:val="22"/>
        </w:rPr>
      </w:pPr>
    </w:p>
    <w:p w14:paraId="153B1D65">
      <w:pPr>
        <w:pStyle w:val="8"/>
        <w:spacing w:before="156" w:beforeLines="50" w:after="156" w:afterLines="50" w:line="480" w:lineRule="auto"/>
        <w:rPr>
          <w:rFonts w:ascii="Times New Roman" w:hAnsi="Times New Roman" w:cs="Times New Roman"/>
          <w:color w:val="auto"/>
          <w:sz w:val="22"/>
          <w:szCs w:val="22"/>
        </w:rPr>
      </w:pPr>
    </w:p>
    <w:p w14:paraId="17E35CEC">
      <w:pPr>
        <w:pStyle w:val="8"/>
        <w:spacing w:before="156" w:beforeLines="50" w:after="156" w:afterLines="50" w:line="480" w:lineRule="auto"/>
        <w:rPr>
          <w:rFonts w:ascii="Times New Roman" w:hAnsi="Times New Roman" w:cs="Times New Roman"/>
          <w:color w:val="auto"/>
          <w:sz w:val="22"/>
          <w:szCs w:val="22"/>
        </w:rPr>
      </w:pPr>
    </w:p>
    <w:p w14:paraId="18DF6DC0">
      <w:pPr>
        <w:spacing w:before="312" w:beforeLines="100" w:after="312" w:afterLines="100" w:line="480" w:lineRule="auto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Supplemental Figures</w:t>
      </w:r>
    </w:p>
    <w:p w14:paraId="4E820ABB">
      <w:pPr>
        <w:spacing w:after="312" w:afterLines="100"/>
      </w:pPr>
      <w:r>
        <w:rPr>
          <w:rFonts w:hint="eastAsia"/>
        </w:rPr>
        <w:t xml:space="preserve">Figure </w:t>
      </w:r>
      <w:r>
        <w:t>S</w:t>
      </w:r>
      <w:r>
        <w:rPr>
          <w:rFonts w:hint="eastAsia"/>
        </w:rPr>
        <w:t>1</w:t>
      </w:r>
    </w:p>
    <w:p w14:paraId="6DE299AC">
      <w:pPr>
        <w:rPr>
          <w:rFonts w:hint="eastAsia" w:eastAsia="宋体"/>
          <w:b/>
          <w:bCs/>
          <w:sz w:val="28"/>
          <w:szCs w:val="28"/>
          <w:lang w:eastAsia="zh-CN"/>
        </w:rPr>
      </w:pPr>
      <w:r>
        <w:rPr>
          <w:rFonts w:hint="eastAsia" w:eastAsia="宋体"/>
          <w:b/>
          <w:bCs/>
          <w:sz w:val="28"/>
          <w:szCs w:val="28"/>
          <w:lang w:eastAsia="zh-CN"/>
        </w:rPr>
        <w:drawing>
          <wp:inline distT="0" distB="0" distL="114300" distR="114300">
            <wp:extent cx="5266690" cy="5567045"/>
            <wp:effectExtent l="0" t="0" r="6350" b="10795"/>
            <wp:docPr id="14" name="图片 14" descr="figure 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figure S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556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2E5159">
      <w:pPr>
        <w:spacing w:line="480" w:lineRule="auto"/>
        <w:jc w:val="both"/>
      </w:pPr>
      <w:r>
        <w:rPr>
          <w:rFonts w:hint="eastAsia"/>
          <w:b/>
          <w:bCs/>
        </w:rPr>
        <w:t>Figure S1</w:t>
      </w:r>
      <w:r>
        <w:rPr>
          <w:rFonts w:hint="eastAsia" w:eastAsia="宋体"/>
          <w:b/>
          <w:bCs/>
          <w:lang w:val="en-US" w:eastAsia="zh-CN"/>
        </w:rPr>
        <w:t>.</w:t>
      </w:r>
      <w:r>
        <w:rPr>
          <w:rFonts w:hint="eastAsia"/>
          <w:b/>
          <w:bCs/>
        </w:rPr>
        <w:t xml:space="preserve"> Premature senescence in CD8</w:t>
      </w:r>
      <w:r>
        <w:rPr>
          <w:rFonts w:hint="eastAsia"/>
          <w:b/>
          <w:bCs/>
          <w:vertAlign w:val="superscript"/>
        </w:rPr>
        <w:t>+</w:t>
      </w:r>
      <w:r>
        <w:rPr>
          <w:rFonts w:hint="eastAsia"/>
          <w:b/>
          <w:bCs/>
        </w:rPr>
        <w:t xml:space="preserve"> T cells progressively develop along with advancing CKD.</w:t>
      </w:r>
      <w:r>
        <w:rPr>
          <w:rFonts w:hint="eastAsia" w:eastAsia="宋体"/>
          <w:b/>
          <w:bCs/>
          <w:lang w:val="en-US" w:eastAsia="zh-CN"/>
        </w:rPr>
        <w:t xml:space="preserve"> </w:t>
      </w:r>
      <w:r>
        <w:t>(</w:t>
      </w:r>
      <w:r>
        <w:rPr>
          <w:rFonts w:hint="eastAsia" w:eastAsia="宋体"/>
          <w:lang w:val="en-US" w:eastAsia="zh-CN"/>
        </w:rPr>
        <w:t>a</w:t>
      </w:r>
      <w:r>
        <w:t xml:space="preserve">) t-SNE projection of PBMCs from </w:t>
      </w:r>
      <w:r>
        <w:rPr>
          <w:rFonts w:hint="eastAsia"/>
        </w:rPr>
        <w:t xml:space="preserve">healthy controls and </w:t>
      </w:r>
      <w:r>
        <w:t>ESRD patients, colored by major cell clusters identified through s</w:t>
      </w:r>
      <w:r>
        <w:rPr>
          <w:rFonts w:hint="eastAsia" w:eastAsia="宋体"/>
          <w:lang w:val="en-US" w:eastAsia="zh-CN"/>
        </w:rPr>
        <w:t>c</w:t>
      </w:r>
      <w:r>
        <w:t>RNA-seq analysis.</w:t>
      </w:r>
      <w:r>
        <w:rPr>
          <w:rFonts w:hint="eastAsia" w:eastAsia="宋体"/>
          <w:lang w:val="en-US" w:eastAsia="zh-CN"/>
        </w:rPr>
        <w:t xml:space="preserve"> </w:t>
      </w:r>
      <w:r>
        <w:t>CMPs: Common Myeloid Progenitors. (</w:t>
      </w:r>
      <w:r>
        <w:rPr>
          <w:rFonts w:hint="eastAsia" w:eastAsia="宋体"/>
          <w:lang w:val="en-US" w:eastAsia="zh-CN"/>
        </w:rPr>
        <w:t>b</w:t>
      </w:r>
      <w:r>
        <w:t xml:space="preserve">) </w:t>
      </w:r>
      <w:r>
        <w:rPr>
          <w:lang w:val="en-US"/>
        </w:rPr>
        <w:t>Comparison of</w:t>
      </w:r>
      <w:r>
        <w:rPr>
          <w:rFonts w:hint="eastAsia" w:eastAsiaTheme="minorEastAsia"/>
          <w:lang w:val="en-US" w:eastAsia="zh-CN"/>
        </w:rPr>
        <w:t xml:space="preserve"> the </w:t>
      </w:r>
      <w:r>
        <w:t>PD-1 and CTLA4 expression in CD8</w:t>
      </w:r>
      <w:r>
        <w:rPr>
          <w:vertAlign w:val="superscript"/>
        </w:rPr>
        <w:t>+</w:t>
      </w:r>
      <w:r>
        <w:t xml:space="preserve"> T cells </w:t>
      </w:r>
      <w:r>
        <w:rPr>
          <w:rFonts w:eastAsia="宋体"/>
          <w:kern w:val="2"/>
          <w:lang w:val="en-US" w:eastAsia="zh-CN" w:bidi="ar"/>
        </w:rPr>
        <w:t xml:space="preserve">between </w:t>
      </w:r>
      <w:r>
        <w:rPr>
          <w:rFonts w:hint="eastAsia" w:eastAsia="宋体"/>
          <w:kern w:val="2"/>
          <w:lang w:val="en-US" w:eastAsia="zh-CN" w:bidi="ar"/>
        </w:rPr>
        <w:t xml:space="preserve">the </w:t>
      </w:r>
      <w:r>
        <w:t>ESRD group and healthy group</w:t>
      </w:r>
      <w:r>
        <w:rPr>
          <w:rFonts w:hint="eastAsia" w:eastAsiaTheme="minorEastAsia"/>
          <w:lang w:eastAsia="zh-CN"/>
        </w:rPr>
        <w:t xml:space="preserve"> through </w:t>
      </w:r>
      <w:r>
        <w:t>s</w:t>
      </w:r>
      <w:r>
        <w:rPr>
          <w:rFonts w:hint="eastAsia" w:eastAsia="宋体"/>
          <w:lang w:val="en-US" w:eastAsia="zh-CN"/>
        </w:rPr>
        <w:t>c</w:t>
      </w:r>
      <w:r>
        <w:t>RNA-seq analysis</w:t>
      </w:r>
      <w:r>
        <w:rPr>
          <w:rFonts w:hint="eastAsia" w:eastAsiaTheme="minorEastAsia"/>
          <w:lang w:eastAsia="zh-CN"/>
        </w:rPr>
        <w:t>.</w:t>
      </w:r>
      <w:r>
        <w:t xml:space="preserve"> (</w:t>
      </w:r>
      <w:r>
        <w:rPr>
          <w:rFonts w:hint="eastAsia" w:eastAsia="宋体"/>
          <w:lang w:val="en-US" w:eastAsia="zh-CN"/>
        </w:rPr>
        <w:t>c</w:t>
      </w:r>
      <w:r>
        <w:t>) Gating strategy of flow cytometry.</w:t>
      </w:r>
      <w:r>
        <w:rPr>
          <w:rFonts w:hint="eastAsia" w:eastAsia="宋体"/>
          <w:lang w:val="en-US" w:eastAsia="zh-CN"/>
        </w:rPr>
        <w:t xml:space="preserve"> </w:t>
      </w:r>
      <w:r>
        <w:t>(</w:t>
      </w:r>
      <w:r>
        <w:rPr>
          <w:rFonts w:hint="eastAsia" w:eastAsia="宋体"/>
          <w:lang w:val="en-US" w:eastAsia="zh-CN"/>
        </w:rPr>
        <w:t>d</w:t>
      </w:r>
      <w:r>
        <w:t xml:space="preserve">) Flow cytometric analysis of the </w:t>
      </w:r>
      <w:r>
        <w:rPr>
          <w:rFonts w:hint="eastAsia" w:eastAsia="宋体"/>
          <w:kern w:val="2"/>
          <w:lang w:val="en-US" w:eastAsia="zh-CN" w:bidi="ar"/>
        </w:rPr>
        <w:t>p</w:t>
      </w:r>
      <w:r>
        <w:rPr>
          <w:rFonts w:eastAsia="宋体"/>
          <w:kern w:val="2"/>
          <w:lang w:val="en-US" w:eastAsia="zh-CN" w:bidi="ar"/>
        </w:rPr>
        <w:t>roportion</w:t>
      </w:r>
      <w:r>
        <w:t xml:space="preserve"> of CD57</w:t>
      </w:r>
      <w:r>
        <w:rPr>
          <w:vertAlign w:val="superscript"/>
        </w:rPr>
        <w:t>+</w:t>
      </w:r>
      <w:r>
        <w:t xml:space="preserve"> cells in CD8</w:t>
      </w:r>
      <w:r>
        <w:rPr>
          <w:vertAlign w:val="superscript"/>
        </w:rPr>
        <w:t>+</w:t>
      </w:r>
      <w:r>
        <w:t xml:space="preserve"> T cells </w:t>
      </w:r>
      <w:r>
        <w:rPr>
          <w:rFonts w:hint="eastAsia" w:eastAsia="宋体"/>
          <w:lang w:val="en-US" w:eastAsia="zh-CN"/>
        </w:rPr>
        <w:t>between</w:t>
      </w:r>
      <w:r>
        <w:t xml:space="preserve"> </w:t>
      </w:r>
      <w:r>
        <w:rPr>
          <w:rFonts w:eastAsia="宋体"/>
          <w:kern w:val="2"/>
          <w:lang w:val="en-US" w:eastAsia="zh-CN" w:bidi="ar"/>
        </w:rPr>
        <w:t xml:space="preserve">healthy </w:t>
      </w:r>
      <w:r>
        <w:rPr>
          <w:rFonts w:hint="eastAsia" w:eastAsia="宋体"/>
          <w:kern w:val="2"/>
          <w:lang w:val="en-US" w:eastAsia="zh-CN" w:bidi="ar"/>
        </w:rPr>
        <w:t>controls and CKD patients with stage 3-5</w:t>
      </w:r>
      <w:r>
        <w:t xml:space="preserve"> (n</w:t>
      </w:r>
      <w:r>
        <w:rPr>
          <w:rFonts w:hint="eastAsia" w:eastAsia="宋体"/>
          <w:lang w:val="en-US" w:eastAsia="zh-CN"/>
        </w:rPr>
        <w:t xml:space="preserve"> </w:t>
      </w:r>
      <w:r>
        <w:t>=</w:t>
      </w:r>
      <w:r>
        <w:rPr>
          <w:rFonts w:hint="eastAsia" w:eastAsia="宋体"/>
          <w:lang w:val="en-US" w:eastAsia="zh-CN"/>
        </w:rPr>
        <w:t xml:space="preserve"> </w:t>
      </w:r>
      <w:r>
        <w:t>15). Data are presented as mean</w:t>
      </w:r>
      <w:r>
        <w:rPr>
          <w:rFonts w:hint="eastAsia" w:eastAsia="宋体"/>
          <w:lang w:val="en-US" w:eastAsia="zh-CN"/>
        </w:rPr>
        <w:t xml:space="preserve"> </w:t>
      </w:r>
      <w:r>
        <w:t>±</w:t>
      </w:r>
      <w:r>
        <w:rPr>
          <w:rFonts w:hint="eastAsia" w:eastAsia="宋体"/>
          <w:lang w:val="en-US" w:eastAsia="zh-CN"/>
        </w:rPr>
        <w:t xml:space="preserve"> </w:t>
      </w:r>
      <w:r>
        <w:t>SD and were analyzed by one-way</w:t>
      </w:r>
      <w:r>
        <w:rPr>
          <w:rFonts w:hint="eastAsia" w:eastAsia="宋体"/>
          <w:lang w:val="en-US" w:eastAsia="zh-CN"/>
        </w:rPr>
        <w:t xml:space="preserve"> </w:t>
      </w:r>
      <w:r>
        <w:rPr>
          <w:shd w:val="clear" w:color="auto" w:fill="FFFFFF"/>
        </w:rPr>
        <w:t>ANOVA</w:t>
      </w:r>
      <w:r>
        <w:t xml:space="preserve">. </w:t>
      </w:r>
      <w:r>
        <w:rPr>
          <w:rFonts w:hint="eastAsia"/>
          <w:lang w:val="en-US" w:eastAsia="zh-CN"/>
        </w:rPr>
        <w:t>ns:</w:t>
      </w:r>
      <w:r>
        <w:t xml:space="preserve"> no significance.</w:t>
      </w:r>
      <w:r>
        <w:rPr>
          <w:rFonts w:hint="eastAsia"/>
          <w:lang w:val="en-US" w:eastAsia="zh-CN"/>
        </w:rPr>
        <w:t xml:space="preserve"> </w:t>
      </w:r>
      <w:r>
        <w:t>*P &lt; 0.05, ***P &lt; 0.001.</w:t>
      </w:r>
    </w:p>
    <w:p w14:paraId="70F39287">
      <w:pPr>
        <w:spacing w:before="312" w:beforeLines="100" w:after="312" w:afterLines="100"/>
      </w:pPr>
    </w:p>
    <w:p w14:paraId="0FF6254F">
      <w:pPr>
        <w:spacing w:before="312" w:beforeLines="100" w:after="312" w:afterLines="100"/>
        <w:rPr>
          <w:lang w:eastAsia="zh-CN"/>
        </w:rPr>
      </w:pPr>
      <w:r>
        <w:rPr>
          <w:rFonts w:hint="eastAsia"/>
        </w:rPr>
        <w:t xml:space="preserve">Figure </w:t>
      </w:r>
      <w:r>
        <w:t>S</w:t>
      </w:r>
      <w:r>
        <w:rPr>
          <w:rFonts w:hint="eastAsia" w:eastAsia="宋体"/>
          <w:lang w:val="en-US" w:eastAsia="zh-CN"/>
        </w:rPr>
        <w:t>2</w:t>
      </w:r>
    </w:p>
    <w:p w14:paraId="710212DA">
      <w:pPr>
        <w:spacing w:line="480" w:lineRule="auto"/>
        <w:jc w:val="both"/>
        <w:rPr>
          <w:rFonts w:eastAsia="宋体"/>
          <w:lang w:eastAsia="zh-CN"/>
        </w:rPr>
      </w:pPr>
      <w:r>
        <w:rPr>
          <w:rFonts w:eastAsia="宋体"/>
          <w:lang w:eastAsia="zh-CN"/>
        </w:rPr>
        <w:drawing>
          <wp:inline distT="0" distB="0" distL="114300" distR="114300">
            <wp:extent cx="5266690" cy="1470660"/>
            <wp:effectExtent l="0" t="0" r="6350" b="7620"/>
            <wp:docPr id="16" name="图片 16" descr="figure S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figure S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470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9A1626">
      <w:pPr>
        <w:spacing w:line="480" w:lineRule="auto"/>
        <w:jc w:val="both"/>
        <w:rPr>
          <w:rFonts w:eastAsia="宋体"/>
          <w:lang w:eastAsia="zh-CN"/>
        </w:rPr>
      </w:pPr>
      <w:r>
        <w:rPr>
          <w:rFonts w:hint="eastAsia"/>
          <w:b/>
          <w:bCs/>
        </w:rPr>
        <w:t xml:space="preserve">Figure S2. </w:t>
      </w:r>
      <w:r>
        <w:rPr>
          <w:b/>
          <w:bCs/>
          <w:lang w:val="en-US"/>
        </w:rPr>
        <w:t>CD8</w:t>
      </w:r>
      <w:r>
        <w:rPr>
          <w:b/>
          <w:bCs/>
          <w:vertAlign w:val="superscript"/>
          <w:lang w:val="en-US"/>
        </w:rPr>
        <w:t xml:space="preserve">+ </w:t>
      </w:r>
      <w:r>
        <w:rPr>
          <w:b/>
          <w:bCs/>
          <w:lang w:val="en-US"/>
        </w:rPr>
        <w:t>T cells exhibit upregulated senescence biomarkers</w:t>
      </w:r>
      <w:r>
        <w:rPr>
          <w:rFonts w:hint="eastAsia" w:eastAsiaTheme="minorEastAsia"/>
          <w:b/>
          <w:bCs/>
          <w:lang w:val="en-US" w:eastAsia="zh-CN"/>
        </w:rPr>
        <w:t xml:space="preserve"> </w:t>
      </w:r>
      <w:r>
        <w:rPr>
          <w:rFonts w:eastAsiaTheme="minorEastAsia"/>
          <w:b/>
          <w:bCs/>
          <w:lang w:val="en-US" w:eastAsia="zh-CN"/>
        </w:rPr>
        <w:t>in ESRD</w:t>
      </w:r>
      <w:r>
        <w:rPr>
          <w:rFonts w:hint="eastAsia" w:eastAsiaTheme="minorEastAsia"/>
          <w:b/>
          <w:bCs/>
          <w:lang w:val="en-US" w:eastAsia="zh-CN"/>
        </w:rPr>
        <w:t>.</w:t>
      </w:r>
      <w:r>
        <w:rPr>
          <w:rFonts w:eastAsia="宋体"/>
          <w:b/>
          <w:bCs/>
          <w:lang w:val="en-US" w:eastAsia="zh-CN"/>
        </w:rPr>
        <w:t xml:space="preserve"> </w:t>
      </w:r>
      <w:r>
        <w:t>(</w:t>
      </w:r>
      <w:r>
        <w:rPr>
          <w:rFonts w:hint="eastAsia" w:eastAsia="宋体"/>
          <w:lang w:val="en-US" w:eastAsia="zh-CN"/>
        </w:rPr>
        <w:t>a</w:t>
      </w:r>
      <w:r>
        <w:t xml:space="preserve">, </w:t>
      </w:r>
      <w:r>
        <w:rPr>
          <w:rFonts w:hint="eastAsia" w:eastAsia="宋体"/>
          <w:lang w:val="en-US" w:eastAsia="zh-CN"/>
        </w:rPr>
        <w:t>b</w:t>
      </w:r>
      <w:r>
        <w:t>) Representative flow cytometry plots showing the expression levels of p21</w:t>
      </w:r>
      <w:r>
        <w:rPr>
          <w:rFonts w:hint="eastAsia" w:eastAsiaTheme="minorEastAsia"/>
          <w:lang w:eastAsia="zh-CN"/>
        </w:rPr>
        <w:t xml:space="preserve"> expression (</w:t>
      </w:r>
      <w:r>
        <w:rPr>
          <w:rFonts w:hint="eastAsia" w:eastAsiaTheme="minorEastAsia"/>
          <w:lang w:val="en-US" w:eastAsia="zh-CN"/>
        </w:rPr>
        <w:t>a</w:t>
      </w:r>
      <w:r>
        <w:rPr>
          <w:rFonts w:hint="eastAsia" w:eastAsiaTheme="minorEastAsia"/>
          <w:lang w:eastAsia="zh-CN"/>
        </w:rPr>
        <w:t>)</w:t>
      </w:r>
      <w:r>
        <w:t xml:space="preserve"> and γ-H2A.X</w:t>
      </w:r>
      <w:r>
        <w:rPr>
          <w:rFonts w:hint="eastAsia" w:eastAsiaTheme="minorEastAsia"/>
          <w:lang w:eastAsia="zh-CN"/>
        </w:rPr>
        <w:t xml:space="preserve"> level (</w:t>
      </w:r>
      <w:r>
        <w:rPr>
          <w:rFonts w:hint="eastAsia" w:eastAsiaTheme="minorEastAsia"/>
          <w:lang w:val="en-US" w:eastAsia="zh-CN"/>
        </w:rPr>
        <w:t>b</w:t>
      </w:r>
      <w:r>
        <w:rPr>
          <w:rFonts w:hint="eastAsia" w:eastAsiaTheme="minorEastAsia"/>
          <w:lang w:eastAsia="zh-CN"/>
        </w:rPr>
        <w:t>)</w:t>
      </w:r>
      <w:r>
        <w:t xml:space="preserve"> in CD8⁺</w:t>
      </w:r>
      <w:r>
        <w:rPr>
          <w:rFonts w:hint="eastAsia" w:eastAsia="宋体"/>
          <w:lang w:val="en-US" w:eastAsia="zh-CN"/>
        </w:rPr>
        <w:t xml:space="preserve"> </w:t>
      </w:r>
      <w:r>
        <w:t>T cells</w:t>
      </w:r>
      <w:r>
        <w:rPr>
          <w:rFonts w:hint="eastAsia" w:eastAsia="宋体"/>
          <w:lang w:val="en-US" w:eastAsia="zh-CN"/>
        </w:rPr>
        <w:t xml:space="preserve"> </w:t>
      </w:r>
      <w:r>
        <w:rPr>
          <w:rFonts w:hint="eastAsia" w:eastAsiaTheme="minorEastAsia"/>
          <w:lang w:val="en-US" w:eastAsia="zh-CN"/>
        </w:rPr>
        <w:t>of</w:t>
      </w:r>
      <w:r>
        <w:t xml:space="preserve"> </w:t>
      </w:r>
      <w:r>
        <w:rPr>
          <w:rFonts w:hint="eastAsia" w:eastAsiaTheme="minorEastAsia"/>
          <w:lang w:eastAsia="zh-CN"/>
        </w:rPr>
        <w:t>healthy controls and ESRD patients</w:t>
      </w:r>
      <w:r>
        <w:t xml:space="preserve"> (n</w:t>
      </w:r>
      <w:r>
        <w:rPr>
          <w:rFonts w:hint="eastAsia" w:eastAsia="宋体"/>
          <w:lang w:val="en-US" w:eastAsia="zh-CN"/>
        </w:rPr>
        <w:t xml:space="preserve"> </w:t>
      </w:r>
      <w:r>
        <w:t>=</w:t>
      </w:r>
      <w:r>
        <w:rPr>
          <w:rFonts w:hint="eastAsia" w:eastAsia="宋体"/>
          <w:lang w:val="en-US" w:eastAsia="zh-CN"/>
        </w:rPr>
        <w:t xml:space="preserve"> </w:t>
      </w:r>
      <w:r>
        <w:t>30). Data are presented as mean</w:t>
      </w:r>
      <w:r>
        <w:rPr>
          <w:rFonts w:hint="eastAsia" w:eastAsia="宋体"/>
          <w:lang w:val="en-US" w:eastAsia="zh-CN"/>
        </w:rPr>
        <w:t xml:space="preserve"> </w:t>
      </w:r>
      <w:r>
        <w:t>±</w:t>
      </w:r>
      <w:r>
        <w:rPr>
          <w:rFonts w:hint="eastAsia" w:eastAsia="宋体"/>
          <w:lang w:val="en-US" w:eastAsia="zh-CN"/>
        </w:rPr>
        <w:t xml:space="preserve"> </w:t>
      </w:r>
      <w:r>
        <w:t>SD and were analyzed by 2-tailed, unpaired Student's t-test. **P &lt; 0.01,</w:t>
      </w:r>
      <w:r>
        <w:rPr>
          <w:rFonts w:hint="eastAsia" w:eastAsia="宋体"/>
          <w:lang w:val="en-US" w:eastAsia="zh-CN"/>
        </w:rPr>
        <w:t xml:space="preserve"> </w:t>
      </w:r>
      <w:r>
        <w:t>***P &lt; 0.001.</w:t>
      </w:r>
    </w:p>
    <w:p w14:paraId="6D50B1CE">
      <w:pPr>
        <w:spacing w:line="480" w:lineRule="auto"/>
        <w:jc w:val="both"/>
        <w:rPr>
          <w:rFonts w:eastAsia="宋体"/>
          <w:lang w:eastAsia="zh-CN"/>
        </w:rPr>
      </w:pPr>
    </w:p>
    <w:p w14:paraId="4BC20B5E">
      <w:pPr>
        <w:spacing w:line="480" w:lineRule="auto"/>
        <w:jc w:val="both"/>
        <w:rPr>
          <w:rFonts w:eastAsia="宋体"/>
          <w:lang w:eastAsia="zh-CN"/>
        </w:rPr>
      </w:pPr>
    </w:p>
    <w:p w14:paraId="6E3B05C3">
      <w:pPr>
        <w:spacing w:line="480" w:lineRule="auto"/>
        <w:jc w:val="both"/>
        <w:rPr>
          <w:rFonts w:eastAsia="宋体"/>
          <w:lang w:eastAsia="zh-CN"/>
        </w:rPr>
      </w:pPr>
    </w:p>
    <w:p w14:paraId="69590A44">
      <w:pPr>
        <w:spacing w:line="480" w:lineRule="auto"/>
        <w:jc w:val="both"/>
        <w:rPr>
          <w:rFonts w:eastAsia="宋体"/>
          <w:lang w:eastAsia="zh-CN"/>
        </w:rPr>
      </w:pPr>
    </w:p>
    <w:p w14:paraId="17EBB96F">
      <w:pPr>
        <w:spacing w:line="480" w:lineRule="auto"/>
        <w:jc w:val="both"/>
        <w:rPr>
          <w:rFonts w:eastAsia="宋体"/>
          <w:lang w:eastAsia="zh-CN"/>
        </w:rPr>
      </w:pPr>
    </w:p>
    <w:p w14:paraId="49358BEC">
      <w:pPr>
        <w:spacing w:line="480" w:lineRule="auto"/>
        <w:jc w:val="both"/>
        <w:rPr>
          <w:rFonts w:eastAsia="宋体"/>
          <w:lang w:eastAsia="zh-CN"/>
        </w:rPr>
      </w:pPr>
    </w:p>
    <w:p w14:paraId="2645CA35">
      <w:pPr>
        <w:spacing w:line="480" w:lineRule="auto"/>
        <w:jc w:val="both"/>
        <w:rPr>
          <w:rFonts w:eastAsia="宋体"/>
          <w:lang w:eastAsia="zh-CN"/>
        </w:rPr>
      </w:pPr>
    </w:p>
    <w:p w14:paraId="0294F513">
      <w:pPr>
        <w:spacing w:after="312" w:afterLines="100"/>
        <w:rPr>
          <w:rFonts w:eastAsia="宋体"/>
          <w:lang w:eastAsia="zh-CN"/>
        </w:rPr>
      </w:pPr>
      <w:r>
        <w:rPr>
          <w:rFonts w:hint="eastAsia"/>
        </w:rPr>
        <w:t xml:space="preserve">Figure </w:t>
      </w:r>
      <w:r>
        <w:t>S</w:t>
      </w:r>
      <w:r>
        <w:rPr>
          <w:rFonts w:hint="eastAsia" w:eastAsia="宋体"/>
          <w:lang w:val="en-US" w:eastAsia="zh-CN"/>
        </w:rPr>
        <w:t>3</w:t>
      </w:r>
    </w:p>
    <w:p w14:paraId="278A7E52">
      <w:pPr>
        <w:spacing w:line="480" w:lineRule="auto"/>
        <w:jc w:val="both"/>
        <w:rPr>
          <w:rFonts w:eastAsia="宋体"/>
          <w:b/>
          <w:bCs/>
          <w:lang w:eastAsia="zh-CN"/>
        </w:rPr>
      </w:pPr>
      <w:r>
        <w:rPr>
          <w:rFonts w:eastAsia="宋体"/>
          <w:b/>
          <w:bCs/>
          <w:lang w:eastAsia="zh-CN"/>
        </w:rPr>
        <w:drawing>
          <wp:inline distT="0" distB="0" distL="114300" distR="114300">
            <wp:extent cx="5266690" cy="3155950"/>
            <wp:effectExtent l="0" t="0" r="6350" b="13970"/>
            <wp:docPr id="17" name="图片 17" descr="figure S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figure S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155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1CD968">
      <w:pPr>
        <w:spacing w:line="480" w:lineRule="auto"/>
        <w:jc w:val="both"/>
      </w:pPr>
      <w:r>
        <w:rPr>
          <w:rFonts w:hint="eastAsia"/>
          <w:b/>
          <w:bCs/>
        </w:rPr>
        <w:t>Figure S3</w:t>
      </w:r>
      <w:r>
        <w:rPr>
          <w:rFonts w:hint="eastAsia" w:eastAsia="宋体"/>
          <w:b/>
          <w:bCs/>
          <w:lang w:val="en-US" w:eastAsia="zh-CN"/>
        </w:rPr>
        <w:t>.</w:t>
      </w:r>
      <w:r>
        <w:rPr>
          <w:rFonts w:hint="eastAsia"/>
          <w:b/>
          <w:bCs/>
        </w:rPr>
        <w:t xml:space="preserve"> NAC significantly alleviates premature CD8</w:t>
      </w:r>
      <w:r>
        <w:rPr>
          <w:rFonts w:hint="eastAsia"/>
          <w:b/>
          <w:bCs/>
          <w:vertAlign w:val="superscript"/>
        </w:rPr>
        <w:t>+</w:t>
      </w:r>
      <w:r>
        <w:rPr>
          <w:rFonts w:hint="eastAsia"/>
          <w:b/>
          <w:bCs/>
        </w:rPr>
        <w:t xml:space="preserve"> T cell senescence induced by platelets from ESRD patients. </w:t>
      </w:r>
      <w:r>
        <w:rPr>
          <w:rFonts w:hint="eastAsia" w:eastAsiaTheme="minorEastAsia"/>
          <w:lang w:eastAsia="zh-CN"/>
        </w:rPr>
        <w:t>(</w:t>
      </w:r>
      <w:r>
        <w:rPr>
          <w:rFonts w:hint="eastAsia" w:eastAsiaTheme="minorEastAsia"/>
          <w:lang w:val="en-US" w:eastAsia="zh-CN"/>
        </w:rPr>
        <w:t>a</w:t>
      </w:r>
      <w:r>
        <w:rPr>
          <w:rFonts w:hint="eastAsia" w:eastAsiaTheme="minorEastAsia"/>
          <w:lang w:eastAsia="zh-CN"/>
        </w:rPr>
        <w:t xml:space="preserve">, </w:t>
      </w:r>
      <w:r>
        <w:rPr>
          <w:rFonts w:hint="eastAsia" w:eastAsiaTheme="minorEastAsia"/>
          <w:lang w:val="en-US" w:eastAsia="zh-CN"/>
        </w:rPr>
        <w:t>b</w:t>
      </w:r>
      <w:r>
        <w:rPr>
          <w:rFonts w:hint="eastAsia" w:eastAsiaTheme="minorEastAsia"/>
          <w:lang w:eastAsia="zh-CN"/>
        </w:rPr>
        <w:t xml:space="preserve">) </w:t>
      </w:r>
      <w:r>
        <w:rPr>
          <w:rFonts w:eastAsiaTheme="minorEastAsia"/>
          <w:lang w:eastAsia="zh-CN"/>
        </w:rPr>
        <w:t>Flow cytometric analysis of TMRM levels (</w:t>
      </w:r>
      <w:r>
        <w:rPr>
          <w:rFonts w:hint="eastAsia" w:eastAsiaTheme="minorEastAsia"/>
          <w:lang w:val="en-US" w:eastAsia="zh-CN"/>
        </w:rPr>
        <w:t>a</w:t>
      </w:r>
      <w:r>
        <w:rPr>
          <w:rFonts w:eastAsiaTheme="minorEastAsia"/>
          <w:lang w:eastAsia="zh-CN"/>
        </w:rPr>
        <w:t>) and ROS levels (</w:t>
      </w:r>
      <w:r>
        <w:rPr>
          <w:rFonts w:hint="eastAsia" w:eastAsiaTheme="minorEastAsia"/>
          <w:lang w:val="en-US" w:eastAsia="zh-CN"/>
        </w:rPr>
        <w:t>b</w:t>
      </w:r>
      <w:r>
        <w:rPr>
          <w:rFonts w:eastAsiaTheme="minorEastAsia"/>
          <w:lang w:eastAsia="zh-CN"/>
        </w:rPr>
        <w:t>) in CD8⁺ T cells on day 3 of co-culture, with or without supplementation of 5 mM NAC.</w:t>
      </w:r>
      <w:r>
        <w:rPr>
          <w:rFonts w:hint="eastAsia" w:eastAsiaTheme="minorEastAsia"/>
          <w:lang w:eastAsia="zh-CN"/>
        </w:rPr>
        <w:t xml:space="preserve"> (</w:t>
      </w:r>
      <w:r>
        <w:rPr>
          <w:rFonts w:hint="eastAsia" w:eastAsiaTheme="minorEastAsia"/>
          <w:lang w:val="en-US" w:eastAsia="zh-CN"/>
        </w:rPr>
        <w:t>c</w:t>
      </w:r>
      <w:r>
        <w:rPr>
          <w:rFonts w:hint="eastAsia" w:eastAsiaTheme="minorEastAsia"/>
          <w:lang w:eastAsia="zh-CN"/>
        </w:rPr>
        <w:t>-</w:t>
      </w:r>
      <w:r>
        <w:rPr>
          <w:rFonts w:hint="eastAsia" w:eastAsiaTheme="minorEastAsia"/>
          <w:lang w:val="en-US" w:eastAsia="zh-CN"/>
        </w:rPr>
        <w:t>f</w:t>
      </w:r>
      <w:r>
        <w:rPr>
          <w:rFonts w:hint="eastAsia" w:eastAsiaTheme="minorEastAsia"/>
          <w:lang w:eastAsia="zh-CN"/>
        </w:rPr>
        <w:t xml:space="preserve">) </w:t>
      </w:r>
      <w:r>
        <w:rPr>
          <w:rFonts w:eastAsiaTheme="minorEastAsia"/>
          <w:lang w:eastAsia="zh-CN"/>
        </w:rPr>
        <w:t>Flow cytometric analysis of</w:t>
      </w:r>
      <w:r>
        <w:rPr>
          <w:rFonts w:hint="eastAsia" w:eastAsiaTheme="minorEastAsia"/>
          <w:lang w:eastAsia="zh-CN"/>
        </w:rPr>
        <w:t xml:space="preserve"> </w:t>
      </w:r>
      <w:r>
        <w:t>SA-β-Gal activity (</w:t>
      </w:r>
      <w:r>
        <w:rPr>
          <w:rFonts w:hint="eastAsia" w:eastAsia="宋体"/>
          <w:lang w:val="en-US" w:eastAsia="zh-CN"/>
        </w:rPr>
        <w:t>c</w:t>
      </w:r>
      <w:r>
        <w:t xml:space="preserve">), γ-H2AX </w:t>
      </w:r>
      <w:r>
        <w:rPr>
          <w:rFonts w:hint="eastAsia" w:eastAsiaTheme="minorEastAsia"/>
          <w:lang w:eastAsia="zh-CN"/>
        </w:rPr>
        <w:t>level</w:t>
      </w:r>
      <w:r>
        <w:t xml:space="preserve"> (</w:t>
      </w:r>
      <w:r>
        <w:rPr>
          <w:rFonts w:hint="eastAsia" w:eastAsia="宋体"/>
          <w:lang w:val="en-US" w:eastAsia="zh-CN"/>
        </w:rPr>
        <w:t>d</w:t>
      </w:r>
      <w:r>
        <w:t>), p21 expression (</w:t>
      </w:r>
      <w:r>
        <w:rPr>
          <w:rFonts w:hint="eastAsia" w:eastAsia="宋体"/>
          <w:lang w:val="en-US" w:eastAsia="zh-CN"/>
        </w:rPr>
        <w:t>e</w:t>
      </w:r>
      <w:r>
        <w:t>) and proportion of CD57⁺ cells</w:t>
      </w:r>
      <w:r>
        <w:rPr>
          <w:rFonts w:hint="eastAsia" w:eastAsiaTheme="minorEastAsia"/>
          <w:lang w:eastAsia="zh-CN"/>
        </w:rPr>
        <w:t xml:space="preserve"> (</w:t>
      </w:r>
      <w:r>
        <w:rPr>
          <w:rFonts w:hint="eastAsia" w:eastAsiaTheme="minorEastAsia"/>
          <w:lang w:val="en-US" w:eastAsia="zh-CN"/>
        </w:rPr>
        <w:t>f</w:t>
      </w:r>
      <w:r>
        <w:rPr>
          <w:rFonts w:hint="eastAsia" w:eastAsiaTheme="minorEastAsia"/>
          <w:lang w:eastAsia="zh-CN"/>
        </w:rPr>
        <w:t>)</w:t>
      </w:r>
      <w:r>
        <w:t xml:space="preserve"> in CD8⁺ T cell</w:t>
      </w:r>
      <w:r>
        <w:rPr>
          <w:rFonts w:hint="eastAsia" w:eastAsiaTheme="minorEastAsia"/>
          <w:lang w:eastAsia="zh-CN"/>
        </w:rPr>
        <w:t xml:space="preserve"> </w:t>
      </w:r>
      <w:r>
        <w:rPr>
          <w:rFonts w:eastAsiaTheme="minorEastAsia"/>
          <w:lang w:eastAsia="zh-CN"/>
        </w:rPr>
        <w:t xml:space="preserve">on day </w:t>
      </w:r>
      <w:r>
        <w:rPr>
          <w:rFonts w:hint="eastAsia" w:eastAsiaTheme="minorEastAsia"/>
          <w:lang w:eastAsia="zh-CN"/>
        </w:rPr>
        <w:t>5</w:t>
      </w:r>
      <w:r>
        <w:rPr>
          <w:rFonts w:eastAsiaTheme="minorEastAsia"/>
          <w:lang w:eastAsia="zh-CN"/>
        </w:rPr>
        <w:t xml:space="preserve"> of co-culture, with or without supplementation of 5 mM NAC</w:t>
      </w:r>
      <w:r>
        <w:rPr>
          <w:rFonts w:hint="eastAsia" w:eastAsiaTheme="minorEastAsia"/>
          <w:lang w:eastAsia="zh-CN"/>
        </w:rPr>
        <w:t xml:space="preserve"> </w:t>
      </w:r>
      <w:r>
        <w:t>(n</w:t>
      </w:r>
      <w:r>
        <w:rPr>
          <w:rFonts w:hint="eastAsia" w:eastAsia="宋体"/>
          <w:lang w:val="en-US" w:eastAsia="zh-CN"/>
        </w:rPr>
        <w:t xml:space="preserve"> </w:t>
      </w:r>
      <w:r>
        <w:t>=</w:t>
      </w:r>
      <w:r>
        <w:rPr>
          <w:rFonts w:hint="eastAsia" w:eastAsia="宋体"/>
          <w:lang w:val="en-US" w:eastAsia="zh-CN"/>
        </w:rPr>
        <w:t xml:space="preserve"> </w:t>
      </w:r>
      <w:r>
        <w:t>6). Data are presented as mean</w:t>
      </w:r>
      <w:r>
        <w:rPr>
          <w:rFonts w:hint="eastAsia" w:eastAsia="宋体"/>
          <w:lang w:val="en-US" w:eastAsia="zh-CN"/>
        </w:rPr>
        <w:t xml:space="preserve"> </w:t>
      </w:r>
      <w:r>
        <w:t>±</w:t>
      </w:r>
      <w:r>
        <w:rPr>
          <w:rFonts w:hint="eastAsia" w:eastAsia="宋体"/>
          <w:lang w:val="en-US" w:eastAsia="zh-CN"/>
        </w:rPr>
        <w:t xml:space="preserve"> </w:t>
      </w:r>
      <w:r>
        <w:t xml:space="preserve">SD and were analyzed by one-way </w:t>
      </w:r>
      <w:r>
        <w:rPr>
          <w:shd w:val="clear" w:color="auto" w:fill="FFFFFF"/>
        </w:rPr>
        <w:t>ANOVA</w:t>
      </w:r>
      <w:r>
        <w:t>. ***P &lt; 0.001.</w:t>
      </w:r>
    </w:p>
    <w:p w14:paraId="78CD2C27">
      <w:pPr>
        <w:spacing w:line="480" w:lineRule="auto"/>
        <w:jc w:val="both"/>
        <w:rPr>
          <w:rFonts w:eastAsia="宋体"/>
          <w:lang w:eastAsia="zh-CN"/>
        </w:rPr>
      </w:pPr>
    </w:p>
    <w:p w14:paraId="7223D3A8">
      <w:pPr>
        <w:spacing w:line="480" w:lineRule="auto"/>
        <w:jc w:val="both"/>
        <w:rPr>
          <w:rFonts w:eastAsia="宋体"/>
          <w:lang w:eastAsia="zh-CN"/>
        </w:rPr>
      </w:pPr>
    </w:p>
    <w:p w14:paraId="637BC373">
      <w:pPr>
        <w:spacing w:line="480" w:lineRule="auto"/>
        <w:jc w:val="both"/>
        <w:rPr>
          <w:rFonts w:eastAsia="宋体"/>
          <w:lang w:eastAsia="zh-CN"/>
        </w:rPr>
      </w:pPr>
    </w:p>
    <w:p w14:paraId="59E64E67">
      <w:pPr>
        <w:spacing w:line="480" w:lineRule="auto"/>
        <w:jc w:val="both"/>
        <w:rPr>
          <w:rFonts w:eastAsia="宋体"/>
          <w:lang w:eastAsia="zh-CN"/>
        </w:rPr>
      </w:pPr>
    </w:p>
    <w:p w14:paraId="1E05F084">
      <w:pPr>
        <w:spacing w:line="480" w:lineRule="auto"/>
        <w:jc w:val="both"/>
        <w:rPr>
          <w:rFonts w:eastAsia="宋体"/>
          <w:lang w:eastAsia="zh-CN"/>
        </w:rPr>
      </w:pPr>
    </w:p>
    <w:p w14:paraId="64E8B458">
      <w:pPr>
        <w:spacing w:after="312" w:afterLines="100"/>
        <w:rPr>
          <w:rFonts w:eastAsia="宋体"/>
          <w:lang w:val="en-US" w:eastAsia="zh-CN"/>
        </w:rPr>
      </w:pPr>
      <w:r>
        <w:rPr>
          <w:rFonts w:hint="eastAsia"/>
        </w:rPr>
        <w:t xml:space="preserve">Figure </w:t>
      </w:r>
      <w:r>
        <w:t>S</w:t>
      </w:r>
      <w:r>
        <w:rPr>
          <w:rFonts w:hint="eastAsia" w:eastAsia="宋体"/>
          <w:lang w:val="en-US" w:eastAsia="zh-CN"/>
        </w:rPr>
        <w:t>4</w:t>
      </w:r>
    </w:p>
    <w:p w14:paraId="4E5B7D3E">
      <w:pPr>
        <w:spacing w:after="312" w:afterLines="100"/>
        <w:rPr>
          <w:rFonts w:hint="eastAsia" w:eastAsia="宋体"/>
          <w:b/>
          <w:bCs/>
          <w:lang w:eastAsia="zh-CN"/>
        </w:rPr>
      </w:pPr>
      <w:r>
        <w:rPr>
          <w:rFonts w:hint="eastAsia" w:eastAsia="宋体"/>
          <w:b/>
          <w:bCs/>
          <w:lang w:eastAsia="zh-CN"/>
        </w:rPr>
        <w:drawing>
          <wp:inline distT="0" distB="0" distL="114300" distR="114300">
            <wp:extent cx="5266690" cy="7042150"/>
            <wp:effectExtent l="0" t="0" r="6350" b="13970"/>
            <wp:docPr id="18" name="图片 18" descr="figure S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figure S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42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88FE8D">
      <w:pPr>
        <w:spacing w:line="480" w:lineRule="auto"/>
        <w:jc w:val="both"/>
        <w:rPr>
          <w:lang w:val="en-US"/>
        </w:rPr>
      </w:pPr>
      <w:r>
        <w:rPr>
          <w:rFonts w:hint="eastAsia"/>
          <w:b/>
          <w:bCs/>
        </w:rPr>
        <w:t>Figure S4</w:t>
      </w:r>
      <w:r>
        <w:rPr>
          <w:rFonts w:hint="eastAsia" w:eastAsia="宋体"/>
          <w:b/>
          <w:bCs/>
          <w:lang w:val="en-US" w:eastAsia="zh-CN"/>
        </w:rPr>
        <w:t>.</w:t>
      </w:r>
      <w:r>
        <w:rPr>
          <w:rFonts w:hint="eastAsia"/>
          <w:b/>
          <w:bCs/>
        </w:rPr>
        <w:t xml:space="preserve"> PMPs mediate mitochondrial dysfunction and cellular senescence in CD8</w:t>
      </w:r>
      <w:r>
        <w:rPr>
          <w:rFonts w:hint="eastAsia"/>
          <w:b/>
          <w:bCs/>
          <w:vertAlign w:val="superscript"/>
        </w:rPr>
        <w:t>+</w:t>
      </w:r>
      <w:r>
        <w:rPr>
          <w:rFonts w:hint="eastAsia"/>
          <w:b/>
          <w:bCs/>
        </w:rPr>
        <w:t xml:space="preserve"> T cells.</w:t>
      </w:r>
      <w:r>
        <w:rPr>
          <w:rFonts w:hint="eastAsia" w:eastAsia="宋体"/>
          <w:b/>
          <w:bCs/>
          <w:lang w:val="en-US" w:eastAsia="zh-CN"/>
        </w:rPr>
        <w:t xml:space="preserve"> </w:t>
      </w:r>
      <w:r>
        <w:t>(</w:t>
      </w:r>
      <w:r>
        <w:rPr>
          <w:rFonts w:hint="eastAsia" w:eastAsia="宋体"/>
          <w:lang w:val="en-US" w:eastAsia="zh-CN"/>
        </w:rPr>
        <w:t>a</w:t>
      </w:r>
      <w:r>
        <w:t>)</w:t>
      </w:r>
      <w:r>
        <w:rPr>
          <w:rFonts w:hint="eastAsia" w:eastAsia="宋体"/>
          <w:lang w:val="en-US" w:eastAsia="zh-CN"/>
        </w:rPr>
        <w:t xml:space="preserve"> </w:t>
      </w:r>
      <w:r>
        <w:t xml:space="preserve">Flow cytometric analysis of P-selectin and activated GPIIb/IIIa expression in platelets from </w:t>
      </w:r>
      <w:r>
        <w:rPr>
          <w:rFonts w:hint="eastAsia" w:eastAsiaTheme="minorEastAsia"/>
          <w:lang w:eastAsia="zh-CN"/>
        </w:rPr>
        <w:t>healthy controls or ESRD patients</w:t>
      </w:r>
      <w:r>
        <w:t>, either untreated or treated with 0.1 U/mL thrombin (n</w:t>
      </w:r>
      <w:r>
        <w:rPr>
          <w:rFonts w:hint="eastAsia" w:eastAsia="宋体"/>
          <w:lang w:val="en-US" w:eastAsia="zh-CN"/>
        </w:rPr>
        <w:t xml:space="preserve"> </w:t>
      </w:r>
      <w:r>
        <w:t>=</w:t>
      </w:r>
      <w:r>
        <w:rPr>
          <w:rFonts w:hint="eastAsia" w:eastAsia="宋体"/>
          <w:lang w:val="en-US" w:eastAsia="zh-CN"/>
        </w:rPr>
        <w:t xml:space="preserve"> </w:t>
      </w:r>
      <w:r>
        <w:t>30</w:t>
      </w:r>
      <w:r>
        <w:rPr>
          <w:rFonts w:hint="eastAsia" w:eastAsia="宋体"/>
          <w:lang w:val="en-US" w:eastAsia="zh-CN"/>
        </w:rPr>
        <w:t xml:space="preserve"> </w:t>
      </w:r>
      <w:r>
        <w:t>for each analysis). (</w:t>
      </w:r>
      <w:r>
        <w:rPr>
          <w:rFonts w:hint="eastAsia" w:eastAsia="宋体"/>
          <w:lang w:val="en-US" w:eastAsia="zh-CN"/>
        </w:rPr>
        <w:t>b</w:t>
      </w:r>
      <w:r>
        <w:t>) Flow cytometric quantification of PMP concentration in whole blood, expressed as the number of PMPs per μL of whole blood</w:t>
      </w:r>
      <w:r>
        <w:rPr>
          <w:rFonts w:hint="eastAsia" w:eastAsia="宋体"/>
          <w:lang w:val="en-US" w:eastAsia="zh-CN"/>
        </w:rPr>
        <w:t xml:space="preserve"> </w:t>
      </w:r>
      <w:r>
        <w:t xml:space="preserve">from </w:t>
      </w:r>
      <w:r>
        <w:rPr>
          <w:rFonts w:hint="eastAsia" w:eastAsiaTheme="minorEastAsia"/>
          <w:lang w:eastAsia="zh-CN"/>
        </w:rPr>
        <w:t>healthy controls or ESRD patients</w:t>
      </w:r>
      <w:r>
        <w:t xml:space="preserve"> (n</w:t>
      </w:r>
      <w:r>
        <w:rPr>
          <w:rFonts w:hint="eastAsia" w:eastAsia="宋体"/>
          <w:lang w:val="en-US" w:eastAsia="zh-CN"/>
        </w:rPr>
        <w:t xml:space="preserve"> </w:t>
      </w:r>
      <w:r>
        <w:t>=</w:t>
      </w:r>
      <w:r>
        <w:rPr>
          <w:rFonts w:hint="eastAsia" w:eastAsia="宋体"/>
          <w:lang w:val="en-US" w:eastAsia="zh-CN"/>
        </w:rPr>
        <w:t xml:space="preserve"> </w:t>
      </w:r>
      <w:r>
        <w:t>30). (</w:t>
      </w:r>
      <w:r>
        <w:rPr>
          <w:rFonts w:hint="eastAsia" w:eastAsia="宋体"/>
          <w:lang w:val="en-US" w:eastAsia="zh-CN"/>
        </w:rPr>
        <w:t>c</w:t>
      </w:r>
      <w:r>
        <w:t xml:space="preserve">) Flow cytometric analysis of </w:t>
      </w:r>
      <w:r>
        <w:rPr>
          <w:rFonts w:hint="eastAsia" w:eastAsiaTheme="minorEastAsia"/>
          <w:lang w:eastAsia="zh-CN"/>
        </w:rPr>
        <w:t>p</w:t>
      </w:r>
      <w:r>
        <w:t>roportion of CD57⁺ cells in CD8⁺ T cells</w:t>
      </w:r>
      <w:r>
        <w:rPr>
          <w:rFonts w:hint="eastAsia" w:eastAsiaTheme="minorEastAsia"/>
          <w:lang w:eastAsia="zh-CN"/>
        </w:rPr>
        <w:t xml:space="preserve"> treated with PMPs from healthy controls or ESRD patients</w:t>
      </w:r>
      <w:r>
        <w:t xml:space="preserve"> (n</w:t>
      </w:r>
      <w:r>
        <w:rPr>
          <w:rFonts w:hint="eastAsia" w:eastAsia="宋体"/>
          <w:lang w:val="en-US" w:eastAsia="zh-CN"/>
        </w:rPr>
        <w:t xml:space="preserve"> </w:t>
      </w:r>
      <w:r>
        <w:t>=</w:t>
      </w:r>
      <w:r>
        <w:rPr>
          <w:rFonts w:hint="eastAsia" w:eastAsia="宋体"/>
          <w:lang w:val="en-US" w:eastAsia="zh-CN"/>
        </w:rPr>
        <w:t xml:space="preserve"> </w:t>
      </w:r>
      <w:r>
        <w:t>6). (</w:t>
      </w:r>
      <w:r>
        <w:rPr>
          <w:rFonts w:hint="eastAsia" w:eastAsia="宋体"/>
          <w:lang w:val="en-US" w:eastAsia="zh-CN"/>
        </w:rPr>
        <w:t>d</w:t>
      </w:r>
      <w:r>
        <w:t xml:space="preserve">) Relative telomere length in CD8⁺ T cells </w:t>
      </w:r>
      <w:r>
        <w:rPr>
          <w:rFonts w:hint="eastAsia" w:eastAsiaTheme="minorEastAsia"/>
          <w:lang w:eastAsia="zh-CN"/>
        </w:rPr>
        <w:t>treated with PMPs from healthy controls or ESRD patients</w:t>
      </w:r>
      <w:r>
        <w:t xml:space="preserve"> (n = 6). (</w:t>
      </w:r>
      <w:r>
        <w:rPr>
          <w:rFonts w:hint="eastAsia" w:eastAsia="宋体"/>
          <w:lang w:val="en-US" w:eastAsia="zh-CN"/>
        </w:rPr>
        <w:t>e</w:t>
      </w:r>
      <w:r>
        <w:t xml:space="preserve">) qPCR analysis of </w:t>
      </w:r>
      <w:r>
        <w:rPr>
          <w:rFonts w:hint="eastAsia"/>
          <w:lang w:val="en-US"/>
        </w:rPr>
        <w:t>TNF-</w:t>
      </w:r>
      <w:r>
        <w:rPr>
          <w:lang w:val="en-US"/>
        </w:rPr>
        <w:t>α</w:t>
      </w:r>
      <w:r>
        <w:rPr>
          <w:rFonts w:hint="eastAsia"/>
          <w:lang w:val="en-US"/>
        </w:rPr>
        <w:t xml:space="preserve"> and IFN-</w:t>
      </w:r>
      <w:r>
        <w:rPr>
          <w:lang w:val="en-US"/>
        </w:rPr>
        <w:t>γ expression</w:t>
      </w:r>
      <w:r>
        <w:t xml:space="preserve"> in CD8⁺ T cells </w:t>
      </w:r>
      <w:r>
        <w:rPr>
          <w:rFonts w:hint="eastAsia" w:eastAsiaTheme="minorEastAsia"/>
          <w:lang w:eastAsia="zh-CN"/>
        </w:rPr>
        <w:t>treated with PMPs from healthy controls or ESRD patients</w:t>
      </w:r>
      <w:r>
        <w:t xml:space="preserve"> (n</w:t>
      </w:r>
      <w:r>
        <w:rPr>
          <w:rFonts w:hint="eastAsia" w:eastAsia="宋体"/>
          <w:lang w:val="en-US" w:eastAsia="zh-CN"/>
        </w:rPr>
        <w:t xml:space="preserve"> </w:t>
      </w:r>
      <w:r>
        <w:t>=</w:t>
      </w:r>
      <w:r>
        <w:rPr>
          <w:rFonts w:hint="eastAsia" w:eastAsia="宋体"/>
          <w:lang w:val="en-US" w:eastAsia="zh-CN"/>
        </w:rPr>
        <w:t xml:space="preserve"> </w:t>
      </w:r>
      <w:r>
        <w:t>6). (</w:t>
      </w:r>
      <w:r>
        <w:rPr>
          <w:rFonts w:hint="eastAsia" w:eastAsia="宋体"/>
          <w:lang w:val="en-US" w:eastAsia="zh-CN"/>
        </w:rPr>
        <w:t>f</w:t>
      </w:r>
      <w:r>
        <w:t xml:space="preserve">) OCR in CD8⁺ T cells </w:t>
      </w:r>
      <w:r>
        <w:rPr>
          <w:rFonts w:hint="eastAsia" w:eastAsiaTheme="minorEastAsia"/>
          <w:lang w:eastAsia="zh-CN"/>
        </w:rPr>
        <w:t>treated with PMPs from healthy controls or ESRD patients</w:t>
      </w:r>
      <w:r>
        <w:t>, with quantitation of basal respiration, ATP production, and maximal respiration (n</w:t>
      </w:r>
      <w:r>
        <w:rPr>
          <w:rFonts w:hint="eastAsia" w:eastAsia="宋体"/>
          <w:lang w:val="en-US" w:eastAsia="zh-CN"/>
        </w:rPr>
        <w:t xml:space="preserve"> </w:t>
      </w:r>
      <w:r>
        <w:t>=</w:t>
      </w:r>
      <w:r>
        <w:rPr>
          <w:rFonts w:hint="eastAsia" w:eastAsia="宋体"/>
          <w:lang w:val="en-US" w:eastAsia="zh-CN"/>
        </w:rPr>
        <w:t xml:space="preserve"> </w:t>
      </w:r>
      <w:r>
        <w:t>9). (</w:t>
      </w:r>
      <w:r>
        <w:rPr>
          <w:rFonts w:hint="eastAsia" w:eastAsia="宋体"/>
          <w:lang w:val="en-US" w:eastAsia="zh-CN"/>
        </w:rPr>
        <w:t>g</w:t>
      </w:r>
      <w:r>
        <w:t>-</w:t>
      </w:r>
      <w:r>
        <w:rPr>
          <w:rFonts w:hint="eastAsia" w:eastAsia="宋体"/>
          <w:lang w:val="en-US" w:eastAsia="zh-CN"/>
        </w:rPr>
        <w:t>l</w:t>
      </w:r>
      <w:r>
        <w:t xml:space="preserve">) Flow cytometric analysis of TMRM </w:t>
      </w:r>
      <w:r>
        <w:rPr>
          <w:rFonts w:hint="eastAsia" w:eastAsiaTheme="minorEastAsia"/>
          <w:lang w:eastAsia="zh-CN"/>
        </w:rPr>
        <w:t>levels</w:t>
      </w:r>
      <w:r>
        <w:t xml:space="preserve"> (</w:t>
      </w:r>
      <w:r>
        <w:rPr>
          <w:rFonts w:hint="eastAsia" w:eastAsia="宋体"/>
          <w:lang w:val="en-US" w:eastAsia="zh-CN"/>
        </w:rPr>
        <w:t>g</w:t>
      </w:r>
      <w:r>
        <w:t>), ROS levels (</w:t>
      </w:r>
      <w:r>
        <w:rPr>
          <w:rFonts w:hint="eastAsia" w:eastAsia="宋体"/>
          <w:lang w:val="en-US" w:eastAsia="zh-CN"/>
        </w:rPr>
        <w:t>h</w:t>
      </w:r>
      <w:r>
        <w:t>), SA-β-Gal activity (</w:t>
      </w:r>
      <w:r>
        <w:rPr>
          <w:rFonts w:hint="eastAsia" w:eastAsia="宋体"/>
          <w:lang w:val="en-US" w:eastAsia="zh-CN"/>
        </w:rPr>
        <w:t>i</w:t>
      </w:r>
      <w:r>
        <w:t xml:space="preserve">), γ-H2AX </w:t>
      </w:r>
      <w:r>
        <w:rPr>
          <w:rFonts w:hint="eastAsia" w:eastAsiaTheme="minorEastAsia"/>
          <w:lang w:eastAsia="zh-CN"/>
        </w:rPr>
        <w:t>level</w:t>
      </w:r>
      <w:r>
        <w:t xml:space="preserve"> (</w:t>
      </w:r>
      <w:r>
        <w:rPr>
          <w:rFonts w:hint="eastAsia" w:eastAsia="宋体"/>
          <w:lang w:val="en-US" w:eastAsia="zh-CN"/>
        </w:rPr>
        <w:t>j</w:t>
      </w:r>
      <w:r>
        <w:t>), p21 expression (</w:t>
      </w:r>
      <w:r>
        <w:rPr>
          <w:rFonts w:hint="eastAsia" w:eastAsia="宋体"/>
          <w:lang w:val="en-US" w:eastAsia="zh-CN"/>
        </w:rPr>
        <w:t>k</w:t>
      </w:r>
      <w:r>
        <w:t>) and proportion of CD57⁺</w:t>
      </w:r>
      <w:r>
        <w:rPr>
          <w:rFonts w:hint="eastAsia" w:eastAsia="宋体"/>
          <w:lang w:val="en-US" w:eastAsia="zh-CN"/>
        </w:rPr>
        <w:t xml:space="preserve"> </w:t>
      </w:r>
      <w:r>
        <w:t>(</w:t>
      </w:r>
      <w:r>
        <w:rPr>
          <w:rFonts w:hint="eastAsia" w:eastAsia="宋体"/>
          <w:lang w:val="en-US" w:eastAsia="zh-CN"/>
        </w:rPr>
        <w:t>l</w:t>
      </w:r>
      <w:r>
        <w:t>) cells in CD8⁺ T cell</w:t>
      </w:r>
      <w:r>
        <w:rPr>
          <w:rFonts w:hint="eastAsia" w:eastAsiaTheme="minorEastAsia"/>
          <w:lang w:eastAsia="zh-CN"/>
        </w:rPr>
        <w:t xml:space="preserve"> treated with PMPs from healthy controls or ESRD patients, </w:t>
      </w:r>
      <w:r>
        <w:rPr>
          <w:rFonts w:eastAsiaTheme="minorEastAsia"/>
          <w:lang w:eastAsia="zh-CN"/>
        </w:rPr>
        <w:t>with or without supplementation of 5 mM NAC</w:t>
      </w:r>
      <w:r>
        <w:rPr>
          <w:rFonts w:hint="eastAsia" w:eastAsiaTheme="minorEastAsia"/>
          <w:lang w:eastAsia="zh-CN"/>
        </w:rPr>
        <w:t xml:space="preserve"> </w:t>
      </w:r>
      <w:r>
        <w:t>(n</w:t>
      </w:r>
      <w:r>
        <w:rPr>
          <w:rFonts w:hint="eastAsia" w:eastAsia="宋体"/>
          <w:lang w:val="en-US" w:eastAsia="zh-CN"/>
        </w:rPr>
        <w:t xml:space="preserve"> </w:t>
      </w:r>
      <w:r>
        <w:t>=</w:t>
      </w:r>
      <w:r>
        <w:rPr>
          <w:rFonts w:hint="eastAsia" w:eastAsia="宋体"/>
          <w:lang w:val="en-US" w:eastAsia="zh-CN"/>
        </w:rPr>
        <w:t xml:space="preserve"> </w:t>
      </w:r>
      <w:r>
        <w:t>6)</w:t>
      </w:r>
      <w:r>
        <w:rPr>
          <w:rFonts w:hint="eastAsia" w:eastAsiaTheme="minorEastAsia"/>
          <w:lang w:eastAsia="zh-CN"/>
        </w:rPr>
        <w:t xml:space="preserve">. </w:t>
      </w:r>
      <w:r>
        <w:t>Data are presented as mean</w:t>
      </w:r>
      <w:r>
        <w:rPr>
          <w:rFonts w:hint="eastAsia" w:eastAsia="宋体"/>
          <w:lang w:val="en-US" w:eastAsia="zh-CN"/>
        </w:rPr>
        <w:t xml:space="preserve"> </w:t>
      </w:r>
      <w:r>
        <w:t>±</w:t>
      </w:r>
      <w:r>
        <w:rPr>
          <w:rFonts w:hint="eastAsia" w:eastAsia="宋体"/>
          <w:lang w:val="en-US" w:eastAsia="zh-CN"/>
        </w:rPr>
        <w:t xml:space="preserve"> </w:t>
      </w:r>
      <w:r>
        <w:t xml:space="preserve">SD and were analyzed by one-way </w:t>
      </w:r>
      <w:r>
        <w:rPr>
          <w:shd w:val="clear" w:color="auto" w:fill="FFFFFF"/>
        </w:rPr>
        <w:t>ANOVA</w:t>
      </w:r>
      <w:r>
        <w:t xml:space="preserve"> or 2-tailed, unpaired Student's t-test (</w:t>
      </w:r>
      <w:r>
        <w:rPr>
          <w:rFonts w:hint="eastAsia" w:eastAsia="宋体"/>
          <w:lang w:val="en-US" w:eastAsia="zh-CN"/>
        </w:rPr>
        <w:t>a, b</w:t>
      </w:r>
      <w:r>
        <w:t>). *P &lt; 0.05, **P &lt; 0.01,</w:t>
      </w:r>
      <w:r>
        <w:rPr>
          <w:rFonts w:hint="eastAsia" w:eastAsia="宋体"/>
          <w:lang w:val="en-US" w:eastAsia="zh-CN"/>
        </w:rPr>
        <w:t xml:space="preserve"> </w:t>
      </w:r>
      <w:r>
        <w:t>***P &lt; 0.001.</w:t>
      </w:r>
    </w:p>
    <w:p w14:paraId="10C9CCE2">
      <w:pPr>
        <w:spacing w:line="480" w:lineRule="auto"/>
        <w:jc w:val="both"/>
        <w:rPr>
          <w:rFonts w:eastAsia="宋体"/>
          <w:lang w:eastAsia="zh-CN"/>
        </w:rPr>
      </w:pPr>
    </w:p>
    <w:p w14:paraId="28C5A26A">
      <w:pPr>
        <w:spacing w:line="480" w:lineRule="auto"/>
        <w:jc w:val="both"/>
        <w:rPr>
          <w:rFonts w:eastAsia="宋体"/>
          <w:lang w:eastAsia="zh-CN"/>
        </w:rPr>
      </w:pPr>
    </w:p>
    <w:p w14:paraId="40F48BB5">
      <w:pPr>
        <w:spacing w:line="480" w:lineRule="auto"/>
        <w:jc w:val="both"/>
        <w:rPr>
          <w:rFonts w:eastAsia="宋体"/>
          <w:lang w:eastAsia="zh-CN"/>
        </w:rPr>
      </w:pPr>
    </w:p>
    <w:p w14:paraId="00A0785F">
      <w:pPr>
        <w:spacing w:line="480" w:lineRule="auto"/>
        <w:jc w:val="both"/>
        <w:rPr>
          <w:rFonts w:eastAsia="宋体"/>
          <w:lang w:eastAsia="zh-CN"/>
        </w:rPr>
      </w:pPr>
    </w:p>
    <w:p w14:paraId="32E97177">
      <w:pPr>
        <w:spacing w:line="480" w:lineRule="auto"/>
        <w:jc w:val="both"/>
        <w:rPr>
          <w:rFonts w:hint="eastAsia" w:eastAsiaTheme="minorEastAsia"/>
          <w:b/>
          <w:bCs/>
          <w:lang w:eastAsia="zh-CN"/>
        </w:rPr>
      </w:pPr>
    </w:p>
    <w:p w14:paraId="1140F0C9">
      <w:pPr>
        <w:spacing w:line="480" w:lineRule="auto"/>
        <w:jc w:val="both"/>
        <w:rPr>
          <w:rFonts w:hint="eastAsia" w:eastAsiaTheme="minorEastAsia"/>
          <w:b/>
          <w:bCs/>
          <w:lang w:eastAsia="zh-CN"/>
        </w:rPr>
      </w:pPr>
    </w:p>
    <w:p w14:paraId="40B2A0F2">
      <w:pPr>
        <w:spacing w:after="312" w:afterLines="100"/>
        <w:rPr>
          <w:rFonts w:eastAsia="宋体"/>
          <w:lang w:val="en-US" w:eastAsia="zh-CN"/>
        </w:rPr>
      </w:pPr>
      <w:r>
        <w:rPr>
          <w:rFonts w:hint="eastAsia"/>
        </w:rPr>
        <w:t xml:space="preserve">Figure </w:t>
      </w:r>
      <w:r>
        <w:t>S</w:t>
      </w:r>
      <w:r>
        <w:rPr>
          <w:rFonts w:hint="eastAsia" w:eastAsia="宋体"/>
          <w:lang w:val="en-US" w:eastAsia="zh-CN"/>
        </w:rPr>
        <w:t>5</w:t>
      </w:r>
    </w:p>
    <w:p w14:paraId="1FD53F07">
      <w:pPr>
        <w:spacing w:after="312" w:afterLines="100"/>
        <w:rPr>
          <w:rFonts w:eastAsiaTheme="minorEastAsia"/>
          <w:b/>
          <w:bCs/>
          <w:lang w:eastAsia="zh-CN"/>
        </w:rPr>
      </w:pPr>
      <w:r>
        <w:rPr>
          <w:rFonts w:eastAsiaTheme="minorEastAsia"/>
          <w:b/>
          <w:bCs/>
          <w:lang w:eastAsia="zh-CN"/>
        </w:rPr>
        <w:drawing>
          <wp:inline distT="0" distB="0" distL="114300" distR="114300">
            <wp:extent cx="5266690" cy="2898775"/>
            <wp:effectExtent l="0" t="0" r="6350" b="12065"/>
            <wp:docPr id="19" name="图片 19" descr="figure S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figure S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9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DFC496">
      <w:pPr>
        <w:spacing w:line="480" w:lineRule="auto"/>
        <w:jc w:val="both"/>
      </w:pPr>
      <w:r>
        <w:rPr>
          <w:rFonts w:hint="eastAsia"/>
          <w:b/>
          <w:bCs/>
        </w:rPr>
        <w:t>Figure S5</w:t>
      </w:r>
      <w:r>
        <w:rPr>
          <w:rFonts w:hint="eastAsia" w:eastAsia="宋体"/>
          <w:b/>
          <w:bCs/>
          <w:lang w:val="en-US" w:eastAsia="zh-CN"/>
        </w:rPr>
        <w:t>.</w:t>
      </w:r>
      <w:r>
        <w:rPr>
          <w:rFonts w:hint="eastAsia"/>
          <w:b/>
          <w:bCs/>
        </w:rPr>
        <w:t xml:space="preserve"> MiR-550a-5p mimic treatment increases mitochondrial dysfunction and cellular senescence in CD8</w:t>
      </w:r>
      <w:r>
        <w:rPr>
          <w:rFonts w:hint="eastAsia"/>
          <w:b/>
          <w:bCs/>
          <w:vertAlign w:val="superscript"/>
        </w:rPr>
        <w:t>+</w:t>
      </w:r>
      <w:r>
        <w:rPr>
          <w:rFonts w:hint="eastAsia"/>
          <w:b/>
          <w:bCs/>
        </w:rPr>
        <w:t xml:space="preserve"> T cell.</w:t>
      </w:r>
      <w:r>
        <w:rPr>
          <w:rFonts w:hint="eastAsia" w:eastAsia="宋体"/>
          <w:b/>
          <w:bCs/>
          <w:lang w:val="en-US" w:eastAsia="zh-CN"/>
        </w:rPr>
        <w:t xml:space="preserve"> </w:t>
      </w:r>
      <w:r>
        <w:t>(</w:t>
      </w:r>
      <w:r>
        <w:rPr>
          <w:rFonts w:hint="eastAsia" w:eastAsia="宋体"/>
          <w:lang w:val="en-US" w:eastAsia="zh-CN"/>
        </w:rPr>
        <w:t>a</w:t>
      </w:r>
      <w:r>
        <w:t>) qPCR analysis of miR-550a-5p expression in CD8</w:t>
      </w:r>
      <w:r>
        <w:rPr>
          <w:vertAlign w:val="superscript"/>
        </w:rPr>
        <w:t>+</w:t>
      </w:r>
      <w:r>
        <w:t xml:space="preserve"> T cells </w:t>
      </w:r>
      <w:r>
        <w:rPr>
          <w:rFonts w:hint="eastAsia"/>
          <w:lang w:val="en-US"/>
        </w:rPr>
        <w:t>of healthy controls and ESRD patients</w:t>
      </w:r>
      <w:r>
        <w:rPr>
          <w:rFonts w:hint="eastAsia" w:eastAsiaTheme="minorEastAsia"/>
          <w:lang w:val="en-US" w:eastAsia="zh-CN"/>
        </w:rPr>
        <w:t xml:space="preserve"> and </w:t>
      </w:r>
      <w:r>
        <w:t>and PMPs</w:t>
      </w:r>
      <w:r>
        <w:rPr>
          <w:rFonts w:hint="eastAsia" w:eastAsiaTheme="minorEastAsia"/>
          <w:lang w:eastAsia="zh-CN"/>
        </w:rPr>
        <w:t xml:space="preserve"> of </w:t>
      </w:r>
      <w:r>
        <w:rPr>
          <w:rFonts w:hint="eastAsia"/>
          <w:lang w:val="en-US"/>
        </w:rPr>
        <w:t>healthy controls</w:t>
      </w:r>
      <w:r>
        <w:t xml:space="preserve"> (n</w:t>
      </w:r>
      <w:r>
        <w:rPr>
          <w:rFonts w:hint="eastAsia" w:eastAsia="宋体"/>
          <w:lang w:val="en-US" w:eastAsia="zh-CN"/>
        </w:rPr>
        <w:t xml:space="preserve"> </w:t>
      </w:r>
      <w:r>
        <w:t>=</w:t>
      </w:r>
      <w:r>
        <w:rPr>
          <w:rFonts w:hint="eastAsia" w:eastAsia="宋体"/>
          <w:lang w:val="en-US" w:eastAsia="zh-CN"/>
        </w:rPr>
        <w:t xml:space="preserve"> </w:t>
      </w:r>
      <w:r>
        <w:t>6). (</w:t>
      </w:r>
      <w:r>
        <w:rPr>
          <w:rFonts w:hint="eastAsia" w:eastAsia="宋体"/>
          <w:lang w:val="en-US" w:eastAsia="zh-CN"/>
        </w:rPr>
        <w:t>b</w:t>
      </w:r>
      <w:r>
        <w:t xml:space="preserve">) qPCR analysis of </w:t>
      </w:r>
      <w:r>
        <w:rPr>
          <w:lang w:val="en-US"/>
        </w:rPr>
        <w:t>miR-550a-5p expression</w:t>
      </w:r>
      <w:r>
        <w:rPr>
          <w:rFonts w:hint="eastAsia" w:eastAsiaTheme="minorEastAsia"/>
          <w:lang w:val="en-US" w:eastAsia="zh-CN"/>
        </w:rPr>
        <w:t xml:space="preserve"> </w:t>
      </w:r>
      <w:r>
        <w:rPr>
          <w:rFonts w:eastAsiaTheme="minorEastAsia"/>
          <w:lang w:val="en-US" w:eastAsia="zh-CN"/>
        </w:rPr>
        <w:t>in CD8</w:t>
      </w:r>
      <w:r>
        <w:rPr>
          <w:rFonts w:eastAsiaTheme="minorEastAsia"/>
          <w:vertAlign w:val="superscript"/>
          <w:lang w:val="en-US" w:eastAsia="zh-CN"/>
        </w:rPr>
        <w:t>+</w:t>
      </w:r>
      <w:r>
        <w:rPr>
          <w:rFonts w:eastAsiaTheme="minorEastAsia"/>
          <w:lang w:val="en-US" w:eastAsia="zh-CN"/>
        </w:rPr>
        <w:t xml:space="preserve"> T cells</w:t>
      </w:r>
      <w:r>
        <w:rPr>
          <w:rFonts w:hint="eastAsia" w:eastAsiaTheme="minorEastAsia"/>
          <w:lang w:val="en-US" w:eastAsia="zh-CN"/>
        </w:rPr>
        <w:t xml:space="preserve"> treated with </w:t>
      </w:r>
      <w:r>
        <w:rPr>
          <w:rFonts w:eastAsiaTheme="minorEastAsia"/>
          <w:lang w:val="en-US" w:eastAsia="zh-CN"/>
        </w:rPr>
        <w:t>miR-550a-5p mimic</w:t>
      </w:r>
      <w:r>
        <w:rPr>
          <w:rFonts w:hint="eastAsia" w:eastAsiaTheme="minorEastAsia"/>
          <w:lang w:val="en-US" w:eastAsia="zh-CN"/>
        </w:rPr>
        <w:t xml:space="preserve"> or </w:t>
      </w:r>
      <w:r>
        <w:rPr>
          <w:rFonts w:eastAsiaTheme="minorEastAsia"/>
          <w:lang w:val="en-US" w:eastAsia="zh-CN"/>
        </w:rPr>
        <w:t>control</w:t>
      </w:r>
      <w:r>
        <w:rPr>
          <w:rFonts w:hint="eastAsia" w:eastAsiaTheme="minorEastAsia"/>
          <w:lang w:val="en-US" w:eastAsia="zh-CN"/>
        </w:rPr>
        <w:t xml:space="preserve"> mimic (n = 6).</w:t>
      </w:r>
      <w:r>
        <w:t xml:space="preserve"> (</w:t>
      </w:r>
      <w:r>
        <w:rPr>
          <w:rFonts w:hint="eastAsia" w:eastAsia="宋体"/>
          <w:lang w:val="en-US" w:eastAsia="zh-CN"/>
        </w:rPr>
        <w:t>c</w:t>
      </w:r>
      <w:r>
        <w:t xml:space="preserve">) Representative fluorescence images of CD8⁺ T cells </w:t>
      </w:r>
      <w:r>
        <w:rPr>
          <w:rFonts w:hint="eastAsia" w:eastAsiaTheme="minorEastAsia"/>
          <w:lang w:eastAsia="zh-CN"/>
        </w:rPr>
        <w:t xml:space="preserve">after </w:t>
      </w:r>
      <w:r>
        <w:t>24</w:t>
      </w:r>
      <w:r>
        <w:rPr>
          <w:rFonts w:hint="eastAsia" w:eastAsiaTheme="minorEastAsia"/>
          <w:lang w:eastAsia="zh-CN"/>
        </w:rPr>
        <w:t xml:space="preserve"> </w:t>
      </w:r>
      <w:r>
        <w:t>hours post-transfection. Scale bar, 75 μm.</w:t>
      </w:r>
      <w:r>
        <w:rPr>
          <w:rFonts w:hint="eastAsia" w:eastAsiaTheme="minorEastAsia"/>
          <w:lang w:eastAsia="zh-CN"/>
        </w:rPr>
        <w:t xml:space="preserve"> </w:t>
      </w:r>
      <w:r>
        <w:t>(</w:t>
      </w:r>
      <w:r>
        <w:rPr>
          <w:rFonts w:hint="eastAsia" w:eastAsia="宋体"/>
          <w:lang w:val="en-US" w:eastAsia="zh-CN"/>
        </w:rPr>
        <w:t>d</w:t>
      </w:r>
      <w:r>
        <w:t xml:space="preserve">) Western blot analysis of γ-H2AX and p21 protein levels in CD8⁺ T cells </w:t>
      </w:r>
      <w:r>
        <w:rPr>
          <w:rFonts w:hint="eastAsia" w:eastAsiaTheme="minorEastAsia"/>
          <w:lang w:val="en-US" w:eastAsia="zh-CN"/>
        </w:rPr>
        <w:t xml:space="preserve">treated with </w:t>
      </w:r>
      <w:r>
        <w:rPr>
          <w:rFonts w:eastAsiaTheme="minorEastAsia"/>
          <w:lang w:val="en-US" w:eastAsia="zh-CN"/>
        </w:rPr>
        <w:t>miR-550a-5p mimic</w:t>
      </w:r>
      <w:r>
        <w:rPr>
          <w:rFonts w:hint="eastAsia" w:eastAsiaTheme="minorEastAsia"/>
          <w:lang w:val="en-US" w:eastAsia="zh-CN"/>
        </w:rPr>
        <w:t xml:space="preserve"> or </w:t>
      </w:r>
      <w:r>
        <w:rPr>
          <w:rFonts w:eastAsiaTheme="minorEastAsia"/>
          <w:lang w:val="en-US" w:eastAsia="zh-CN"/>
        </w:rPr>
        <w:t>control</w:t>
      </w:r>
      <w:r>
        <w:rPr>
          <w:rFonts w:hint="eastAsia" w:eastAsiaTheme="minorEastAsia"/>
          <w:lang w:val="en-US" w:eastAsia="zh-CN"/>
        </w:rPr>
        <w:t xml:space="preserve"> mimic</w:t>
      </w:r>
      <w:r>
        <w:t xml:space="preserve"> (n</w:t>
      </w:r>
      <w:r>
        <w:rPr>
          <w:rFonts w:hint="eastAsia" w:eastAsia="宋体"/>
          <w:lang w:val="en-US" w:eastAsia="zh-CN"/>
        </w:rPr>
        <w:t xml:space="preserve"> </w:t>
      </w:r>
      <w:r>
        <w:t>=</w:t>
      </w:r>
      <w:r>
        <w:rPr>
          <w:rFonts w:hint="eastAsia" w:eastAsia="宋体"/>
          <w:lang w:val="en-US" w:eastAsia="zh-CN"/>
        </w:rPr>
        <w:t xml:space="preserve"> </w:t>
      </w:r>
      <w:r>
        <w:t>3). Data are presented as mean</w:t>
      </w:r>
      <w:r>
        <w:rPr>
          <w:rFonts w:hint="eastAsia" w:eastAsia="宋体"/>
          <w:lang w:val="en-US" w:eastAsia="zh-CN"/>
        </w:rPr>
        <w:t xml:space="preserve"> </w:t>
      </w:r>
      <w:r>
        <w:t>±</w:t>
      </w:r>
      <w:r>
        <w:rPr>
          <w:rFonts w:hint="eastAsia" w:eastAsia="宋体"/>
          <w:lang w:val="en-US" w:eastAsia="zh-CN"/>
        </w:rPr>
        <w:t xml:space="preserve"> </w:t>
      </w:r>
      <w:r>
        <w:t xml:space="preserve">SD and were analyzed by one-way </w:t>
      </w:r>
      <w:r>
        <w:rPr>
          <w:shd w:val="clear" w:color="auto" w:fill="FFFFFF"/>
        </w:rPr>
        <w:t>ANOVA</w:t>
      </w:r>
      <w:r>
        <w:rPr>
          <w:rFonts w:hint="eastAsia" w:eastAsia="宋体"/>
          <w:shd w:val="clear" w:color="auto" w:fill="FFFFFF"/>
          <w:lang w:val="en-US" w:eastAsia="zh-CN"/>
        </w:rPr>
        <w:t xml:space="preserve"> </w:t>
      </w:r>
      <w:r>
        <w:t>or 2-tailed, unpaired Student's t-test (</w:t>
      </w:r>
      <w:r>
        <w:rPr>
          <w:rFonts w:hint="eastAsia" w:eastAsia="宋体"/>
          <w:lang w:val="en-US" w:eastAsia="zh-CN"/>
        </w:rPr>
        <w:t>c</w:t>
      </w:r>
      <w:r>
        <w:t>). **P &lt; 0.01, ***P &lt; 0.001.</w:t>
      </w:r>
    </w:p>
    <w:p w14:paraId="6D858E8C">
      <w:pPr>
        <w:spacing w:line="480" w:lineRule="auto"/>
        <w:jc w:val="both"/>
      </w:pPr>
    </w:p>
    <w:p w14:paraId="0A92AD9E">
      <w:pPr>
        <w:spacing w:line="480" w:lineRule="auto"/>
        <w:jc w:val="both"/>
        <w:rPr>
          <w:rFonts w:hint="eastAsia" w:eastAsiaTheme="minorEastAsia"/>
          <w:lang w:eastAsia="zh-CN"/>
        </w:rPr>
      </w:pPr>
    </w:p>
    <w:p w14:paraId="23675CD1">
      <w:pPr>
        <w:spacing w:line="480" w:lineRule="auto"/>
        <w:jc w:val="both"/>
        <w:rPr>
          <w:rFonts w:hint="eastAsia" w:eastAsiaTheme="minorEastAsia"/>
          <w:lang w:eastAsia="zh-CN"/>
        </w:rPr>
      </w:pPr>
    </w:p>
    <w:p w14:paraId="381B2DF6">
      <w:pPr>
        <w:spacing w:after="312" w:afterLines="100"/>
        <w:rPr>
          <w:rFonts w:eastAsia="宋体"/>
          <w:lang w:val="en-US" w:eastAsia="zh-CN"/>
        </w:rPr>
      </w:pPr>
      <w:r>
        <w:rPr>
          <w:rFonts w:hint="eastAsia"/>
        </w:rPr>
        <w:t xml:space="preserve">Figure </w:t>
      </w:r>
      <w:r>
        <w:t>S</w:t>
      </w:r>
      <w:r>
        <w:rPr>
          <w:rFonts w:hint="eastAsia" w:eastAsia="宋体"/>
          <w:lang w:val="en-US" w:eastAsia="zh-CN"/>
        </w:rPr>
        <w:t>6</w:t>
      </w:r>
    </w:p>
    <w:p w14:paraId="05BF0C9D">
      <w:pPr>
        <w:spacing w:after="312" w:afterLines="100"/>
        <w:rPr>
          <w:rFonts w:eastAsia="宋体"/>
          <w:lang w:eastAsia="zh-CN"/>
        </w:rPr>
      </w:pPr>
      <w:r>
        <w:rPr>
          <w:rFonts w:eastAsia="宋体"/>
          <w:lang w:eastAsia="zh-CN"/>
        </w:rPr>
        <w:drawing>
          <wp:inline distT="0" distB="0" distL="114300" distR="114300">
            <wp:extent cx="5266690" cy="5778500"/>
            <wp:effectExtent l="0" t="0" r="6350" b="12700"/>
            <wp:docPr id="20" name="图片 20" descr="figure S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figure S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577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539923">
      <w:pPr>
        <w:spacing w:line="480" w:lineRule="auto"/>
        <w:jc w:val="both"/>
      </w:pPr>
      <w:r>
        <w:rPr>
          <w:rFonts w:hint="eastAsia"/>
          <w:b/>
          <w:bCs/>
        </w:rPr>
        <w:t>Figure S6</w:t>
      </w:r>
      <w:r>
        <w:rPr>
          <w:rFonts w:hint="eastAsia" w:eastAsia="宋体"/>
          <w:b/>
          <w:bCs/>
          <w:lang w:val="en-US" w:eastAsia="zh-CN"/>
        </w:rPr>
        <w:t>.</w:t>
      </w:r>
      <w:r>
        <w:rPr>
          <w:rFonts w:hint="eastAsia"/>
          <w:b/>
          <w:bCs/>
        </w:rPr>
        <w:t xml:space="preserve"> miR-550a-5p inhibitor alleviate</w:t>
      </w:r>
      <w:r>
        <w:rPr>
          <w:rFonts w:hint="eastAsia" w:eastAsiaTheme="minorEastAsia"/>
          <w:b/>
          <w:bCs/>
          <w:lang w:eastAsia="zh-CN"/>
        </w:rPr>
        <w:t>s</w:t>
      </w:r>
      <w:r>
        <w:rPr>
          <w:rFonts w:hint="eastAsia"/>
          <w:b/>
          <w:bCs/>
        </w:rPr>
        <w:t xml:space="preserve"> mitochondrial dysfunction and cellular senescence in CD8</w:t>
      </w:r>
      <w:r>
        <w:rPr>
          <w:rFonts w:hint="eastAsia"/>
          <w:b/>
          <w:bCs/>
          <w:vertAlign w:val="superscript"/>
        </w:rPr>
        <w:t>+</w:t>
      </w:r>
      <w:r>
        <w:rPr>
          <w:rFonts w:hint="eastAsia"/>
          <w:b/>
          <w:bCs/>
        </w:rPr>
        <w:t xml:space="preserve"> T cells induced by platelets from ESRD patients.</w:t>
      </w:r>
      <w:r>
        <w:rPr>
          <w:rFonts w:hint="eastAsia" w:eastAsiaTheme="minorEastAsia"/>
          <w:b/>
          <w:bCs/>
          <w:lang w:eastAsia="zh-CN"/>
        </w:rPr>
        <w:t xml:space="preserve"> </w:t>
      </w:r>
      <w:r>
        <w:t>(</w:t>
      </w:r>
      <w:r>
        <w:rPr>
          <w:rFonts w:hint="eastAsia" w:eastAsia="宋体"/>
          <w:lang w:val="en-US" w:eastAsia="zh-CN"/>
        </w:rPr>
        <w:t>a</w:t>
      </w:r>
      <w:r>
        <w:t>-</w:t>
      </w:r>
      <w:r>
        <w:rPr>
          <w:rFonts w:hint="eastAsia" w:eastAsia="宋体"/>
          <w:lang w:val="en-US" w:eastAsia="zh-CN"/>
        </w:rPr>
        <w:t>i</w:t>
      </w:r>
      <w:r>
        <w:t>)</w:t>
      </w:r>
      <w:r>
        <w:rPr>
          <w:rFonts w:hint="eastAsia" w:eastAsiaTheme="minorEastAsia"/>
          <w:lang w:eastAsia="zh-CN"/>
        </w:rPr>
        <w:t xml:space="preserve"> </w:t>
      </w:r>
      <w:r>
        <w:t>Flow cytometric analysis of SA-β-Gal activity (</w:t>
      </w:r>
      <w:r>
        <w:rPr>
          <w:rFonts w:hint="eastAsia" w:eastAsia="宋体"/>
          <w:lang w:val="en-US" w:eastAsia="zh-CN"/>
        </w:rPr>
        <w:t>a</w:t>
      </w:r>
      <w:r>
        <w:t>), γ-H2AX level (</w:t>
      </w:r>
      <w:r>
        <w:rPr>
          <w:rFonts w:hint="eastAsia" w:eastAsia="宋体"/>
          <w:lang w:val="en-US" w:eastAsia="zh-CN"/>
        </w:rPr>
        <w:t>b</w:t>
      </w:r>
      <w:r>
        <w:t>), p21 expression (</w:t>
      </w:r>
      <w:r>
        <w:rPr>
          <w:rFonts w:hint="eastAsia" w:eastAsia="宋体"/>
          <w:lang w:val="en-US" w:eastAsia="zh-CN"/>
        </w:rPr>
        <w:t>c</w:t>
      </w:r>
      <w:r>
        <w:t>), TMRM</w:t>
      </w:r>
      <w:r>
        <w:rPr>
          <w:rFonts w:hint="eastAsia" w:eastAsiaTheme="minorEastAsia"/>
          <w:lang w:eastAsia="zh-CN"/>
        </w:rPr>
        <w:t xml:space="preserve"> levels</w:t>
      </w:r>
      <w:r>
        <w:t xml:space="preserve"> (</w:t>
      </w:r>
      <w:r>
        <w:rPr>
          <w:rFonts w:hint="eastAsia" w:eastAsia="宋体"/>
          <w:lang w:val="en-US" w:eastAsia="zh-CN"/>
        </w:rPr>
        <w:t>d</w:t>
      </w:r>
      <w:r>
        <w:t>), ROS level</w:t>
      </w:r>
      <w:r>
        <w:rPr>
          <w:rFonts w:hint="eastAsia" w:eastAsiaTheme="minorEastAsia"/>
          <w:lang w:eastAsia="zh-CN"/>
        </w:rPr>
        <w:t>s</w:t>
      </w:r>
      <w:r>
        <w:t xml:space="preserve"> (</w:t>
      </w:r>
      <w:r>
        <w:rPr>
          <w:rFonts w:hint="eastAsia" w:eastAsia="宋体"/>
          <w:lang w:val="en-US" w:eastAsia="zh-CN"/>
        </w:rPr>
        <w:t>e</w:t>
      </w:r>
      <w:r>
        <w:t>) and</w:t>
      </w:r>
      <w:r>
        <w:rPr>
          <w:rFonts w:hint="eastAsia" w:eastAsiaTheme="minorEastAsia"/>
          <w:lang w:eastAsia="zh-CN"/>
        </w:rPr>
        <w:t xml:space="preserve"> </w:t>
      </w:r>
      <w:r>
        <w:t>proportion of CD57⁺ cells (</w:t>
      </w:r>
      <w:r>
        <w:rPr>
          <w:rFonts w:hint="eastAsia" w:eastAsia="宋体"/>
          <w:lang w:val="en-US" w:eastAsia="zh-CN"/>
        </w:rPr>
        <w:t>f</w:t>
      </w:r>
      <w:r>
        <w:t>) in CD8⁺ T cells</w:t>
      </w:r>
      <w:r>
        <w:rPr>
          <w:rFonts w:hint="eastAsia" w:eastAsiaTheme="minorEastAsia"/>
          <w:lang w:eastAsia="zh-CN"/>
        </w:rPr>
        <w:t xml:space="preserve"> treated with </w:t>
      </w:r>
      <w:r>
        <w:t>miR-550a-5p inhibitor or negative control</w:t>
      </w:r>
      <w:r>
        <w:rPr>
          <w:rFonts w:hint="eastAsia" w:eastAsiaTheme="minorEastAsia"/>
          <w:lang w:eastAsia="zh-CN"/>
        </w:rPr>
        <w:t xml:space="preserve"> under co-cultured system (</w:t>
      </w:r>
      <w:r>
        <w:t>n</w:t>
      </w:r>
      <w:r>
        <w:rPr>
          <w:rFonts w:hint="eastAsia" w:eastAsia="宋体"/>
          <w:lang w:val="en-US" w:eastAsia="zh-CN"/>
        </w:rPr>
        <w:t xml:space="preserve"> </w:t>
      </w:r>
      <w:r>
        <w:t>=</w:t>
      </w:r>
      <w:r>
        <w:rPr>
          <w:rFonts w:hint="eastAsia" w:eastAsia="宋体"/>
          <w:lang w:val="en-US" w:eastAsia="zh-CN"/>
        </w:rPr>
        <w:t xml:space="preserve"> </w:t>
      </w:r>
      <w:r>
        <w:t>6</w:t>
      </w:r>
      <w:r>
        <w:rPr>
          <w:rFonts w:hint="eastAsia" w:eastAsiaTheme="minorEastAsia"/>
          <w:lang w:eastAsia="zh-CN"/>
        </w:rPr>
        <w:t xml:space="preserve">). </w:t>
      </w:r>
      <w:r>
        <w:t>(</w:t>
      </w:r>
      <w:r>
        <w:rPr>
          <w:rFonts w:hint="eastAsia" w:eastAsia="宋体"/>
          <w:lang w:val="en-US" w:eastAsia="zh-CN"/>
        </w:rPr>
        <w:t>g</w:t>
      </w:r>
      <w:r>
        <w:t xml:space="preserve">) </w:t>
      </w:r>
      <w:r>
        <w:rPr>
          <w:rFonts w:hint="eastAsia" w:eastAsiaTheme="minorEastAsia"/>
          <w:lang w:eastAsia="zh-CN"/>
        </w:rPr>
        <w:t>R</w:t>
      </w:r>
      <w:r>
        <w:t>elative telomere length in CD8⁺ T cells</w:t>
      </w:r>
      <w:r>
        <w:rPr>
          <w:rFonts w:hint="eastAsia" w:eastAsiaTheme="minorEastAsia"/>
          <w:lang w:eastAsia="zh-CN"/>
        </w:rPr>
        <w:t xml:space="preserve"> treated with </w:t>
      </w:r>
      <w:r>
        <w:t>miR-550a-5p inhibitor or negative control</w:t>
      </w:r>
      <w:r>
        <w:rPr>
          <w:rFonts w:hint="eastAsia" w:eastAsiaTheme="minorEastAsia"/>
          <w:lang w:eastAsia="zh-CN"/>
        </w:rPr>
        <w:t xml:space="preserve"> under co-cultured system (</w:t>
      </w:r>
      <w:r>
        <w:t>n</w:t>
      </w:r>
      <w:r>
        <w:rPr>
          <w:rFonts w:hint="eastAsia" w:eastAsia="宋体"/>
          <w:lang w:val="en-US" w:eastAsia="zh-CN"/>
        </w:rPr>
        <w:t xml:space="preserve"> </w:t>
      </w:r>
      <w:r>
        <w:t>=</w:t>
      </w:r>
      <w:r>
        <w:rPr>
          <w:rFonts w:hint="eastAsia" w:eastAsia="宋体"/>
          <w:lang w:val="en-US" w:eastAsia="zh-CN"/>
        </w:rPr>
        <w:t xml:space="preserve"> </w:t>
      </w:r>
      <w:r>
        <w:t>6</w:t>
      </w:r>
      <w:r>
        <w:rPr>
          <w:rFonts w:hint="eastAsia" w:eastAsiaTheme="minorEastAsia"/>
          <w:lang w:eastAsia="zh-CN"/>
        </w:rPr>
        <w:t>). (</w:t>
      </w:r>
      <w:r>
        <w:rPr>
          <w:rFonts w:hint="eastAsia" w:eastAsiaTheme="minorEastAsia"/>
          <w:lang w:val="en-US" w:eastAsia="zh-CN"/>
        </w:rPr>
        <w:t>h</w:t>
      </w:r>
      <w:r>
        <w:rPr>
          <w:rFonts w:hint="eastAsia" w:eastAsiaTheme="minorEastAsia"/>
          <w:lang w:eastAsia="zh-CN"/>
        </w:rPr>
        <w:t xml:space="preserve">) </w:t>
      </w:r>
      <w:r>
        <w:t xml:space="preserve">qPCR analysis of </w:t>
      </w:r>
      <w:r>
        <w:rPr>
          <w:rFonts w:hint="eastAsia"/>
          <w:lang w:val="en-US"/>
        </w:rPr>
        <w:t>TNF-</w:t>
      </w:r>
      <w:r>
        <w:rPr>
          <w:lang w:val="en-US"/>
        </w:rPr>
        <w:t>α</w:t>
      </w:r>
      <w:r>
        <w:rPr>
          <w:rFonts w:hint="eastAsia"/>
          <w:lang w:val="en-US"/>
        </w:rPr>
        <w:t xml:space="preserve"> and IFN-</w:t>
      </w:r>
      <w:r>
        <w:rPr>
          <w:lang w:val="en-US"/>
        </w:rPr>
        <w:t>γ expression</w:t>
      </w:r>
      <w:r>
        <w:t xml:space="preserve"> in CD8⁺ T cells</w:t>
      </w:r>
      <w:r>
        <w:rPr>
          <w:rFonts w:hint="eastAsia" w:eastAsiaTheme="minorEastAsia"/>
          <w:lang w:eastAsia="zh-CN"/>
        </w:rPr>
        <w:t xml:space="preserve"> treated with </w:t>
      </w:r>
      <w:r>
        <w:t>miR-550a-5p inhibitor or negative control</w:t>
      </w:r>
      <w:r>
        <w:rPr>
          <w:rFonts w:hint="eastAsia" w:eastAsiaTheme="minorEastAsia"/>
          <w:lang w:eastAsia="zh-CN"/>
        </w:rPr>
        <w:t xml:space="preserve"> under co-cultured system (</w:t>
      </w:r>
      <w:r>
        <w:t>n</w:t>
      </w:r>
      <w:r>
        <w:rPr>
          <w:rFonts w:hint="eastAsia" w:eastAsia="宋体"/>
          <w:lang w:val="en-US" w:eastAsia="zh-CN"/>
        </w:rPr>
        <w:t xml:space="preserve"> </w:t>
      </w:r>
      <w:r>
        <w:t>=</w:t>
      </w:r>
      <w:r>
        <w:rPr>
          <w:rFonts w:hint="eastAsia" w:eastAsia="宋体"/>
          <w:lang w:val="en-US" w:eastAsia="zh-CN"/>
        </w:rPr>
        <w:t xml:space="preserve"> </w:t>
      </w:r>
      <w:r>
        <w:t>6</w:t>
      </w:r>
      <w:r>
        <w:rPr>
          <w:rFonts w:hint="eastAsia" w:eastAsiaTheme="minorEastAsia"/>
          <w:lang w:eastAsia="zh-CN"/>
        </w:rPr>
        <w:t>). (</w:t>
      </w:r>
      <w:r>
        <w:rPr>
          <w:rFonts w:hint="eastAsia" w:eastAsiaTheme="minorEastAsia"/>
          <w:lang w:val="en-US" w:eastAsia="zh-CN"/>
        </w:rPr>
        <w:t>i</w:t>
      </w:r>
      <w:r>
        <w:rPr>
          <w:rFonts w:hint="eastAsia" w:eastAsiaTheme="minorEastAsia"/>
          <w:lang w:eastAsia="zh-CN"/>
        </w:rPr>
        <w:t xml:space="preserve">) </w:t>
      </w:r>
      <w:r>
        <w:t xml:space="preserve">OCR in CD8⁺ T cells </w:t>
      </w:r>
      <w:r>
        <w:rPr>
          <w:rFonts w:hint="eastAsia" w:eastAsiaTheme="minorEastAsia"/>
          <w:lang w:eastAsia="zh-CN"/>
        </w:rPr>
        <w:t xml:space="preserve">treated with </w:t>
      </w:r>
      <w:r>
        <w:t>miR-550a-5p inhibitor or negative control</w:t>
      </w:r>
      <w:r>
        <w:rPr>
          <w:rFonts w:hint="eastAsia" w:eastAsiaTheme="minorEastAsia"/>
          <w:lang w:eastAsia="zh-CN"/>
        </w:rPr>
        <w:t xml:space="preserve"> under co-cultured system</w:t>
      </w:r>
      <w:r>
        <w:t>, with quantitation of basal respiration, ATP production, and maximal respiration (n</w:t>
      </w:r>
      <w:r>
        <w:rPr>
          <w:rFonts w:hint="eastAsia" w:eastAsia="宋体"/>
          <w:lang w:val="en-US" w:eastAsia="zh-CN"/>
        </w:rPr>
        <w:t xml:space="preserve"> </w:t>
      </w:r>
      <w:r>
        <w:t>=</w:t>
      </w:r>
      <w:r>
        <w:rPr>
          <w:rFonts w:hint="eastAsia" w:eastAsia="宋体"/>
          <w:lang w:val="en-US" w:eastAsia="zh-CN"/>
        </w:rPr>
        <w:t xml:space="preserve"> </w:t>
      </w:r>
      <w:r>
        <w:t>9). Data are presented as mean</w:t>
      </w:r>
      <w:r>
        <w:rPr>
          <w:rFonts w:hint="eastAsia" w:eastAsia="宋体"/>
          <w:lang w:val="en-US" w:eastAsia="zh-CN"/>
        </w:rPr>
        <w:t xml:space="preserve"> </w:t>
      </w:r>
      <w:r>
        <w:t>±</w:t>
      </w:r>
      <w:r>
        <w:rPr>
          <w:rFonts w:hint="eastAsia" w:eastAsia="宋体"/>
          <w:lang w:val="en-US" w:eastAsia="zh-CN"/>
        </w:rPr>
        <w:t xml:space="preserve"> </w:t>
      </w:r>
      <w:r>
        <w:t xml:space="preserve">SD and were analyzed by one-way </w:t>
      </w:r>
      <w:r>
        <w:rPr>
          <w:shd w:val="clear" w:color="auto" w:fill="FFFFFF"/>
        </w:rPr>
        <w:t>ANOVA</w:t>
      </w:r>
      <w:r>
        <w:t>. *P &lt; 0.05, **P &lt; 0.01, ***P &lt; 0.001.</w:t>
      </w:r>
    </w:p>
    <w:p w14:paraId="5B268CBC">
      <w:pPr>
        <w:spacing w:line="480" w:lineRule="auto"/>
        <w:jc w:val="both"/>
      </w:pPr>
    </w:p>
    <w:p w14:paraId="70F1EAE6">
      <w:pPr>
        <w:spacing w:line="480" w:lineRule="auto"/>
        <w:jc w:val="both"/>
      </w:pPr>
    </w:p>
    <w:p w14:paraId="0BCD7B42">
      <w:pPr>
        <w:spacing w:line="480" w:lineRule="auto"/>
        <w:jc w:val="both"/>
      </w:pPr>
    </w:p>
    <w:p w14:paraId="64FE56A3">
      <w:pPr>
        <w:spacing w:line="480" w:lineRule="auto"/>
        <w:jc w:val="both"/>
      </w:pPr>
    </w:p>
    <w:p w14:paraId="0C4E85E2">
      <w:pPr>
        <w:spacing w:line="480" w:lineRule="auto"/>
        <w:jc w:val="both"/>
      </w:pPr>
    </w:p>
    <w:p w14:paraId="3B72DA56">
      <w:pPr>
        <w:spacing w:line="480" w:lineRule="auto"/>
        <w:jc w:val="both"/>
      </w:pPr>
    </w:p>
    <w:p w14:paraId="402EE7AA">
      <w:pPr>
        <w:spacing w:line="480" w:lineRule="auto"/>
        <w:jc w:val="both"/>
      </w:pPr>
    </w:p>
    <w:p w14:paraId="627A371A">
      <w:pPr>
        <w:spacing w:line="480" w:lineRule="auto"/>
        <w:jc w:val="both"/>
      </w:pPr>
    </w:p>
    <w:p w14:paraId="05A0D231">
      <w:pPr>
        <w:spacing w:line="480" w:lineRule="auto"/>
        <w:jc w:val="both"/>
      </w:pPr>
    </w:p>
    <w:p w14:paraId="05AC4AF1">
      <w:pPr>
        <w:spacing w:line="480" w:lineRule="auto"/>
        <w:jc w:val="both"/>
      </w:pPr>
    </w:p>
    <w:p w14:paraId="3DC3A850">
      <w:pPr>
        <w:spacing w:line="480" w:lineRule="auto"/>
        <w:jc w:val="both"/>
      </w:pPr>
    </w:p>
    <w:p w14:paraId="161CD7B6">
      <w:pPr>
        <w:spacing w:line="480" w:lineRule="auto"/>
        <w:jc w:val="both"/>
      </w:pPr>
    </w:p>
    <w:p w14:paraId="6B8C2201">
      <w:pPr>
        <w:spacing w:line="480" w:lineRule="auto"/>
        <w:jc w:val="both"/>
        <w:rPr>
          <w:rFonts w:eastAsiaTheme="minorEastAsia"/>
          <w:lang w:eastAsia="zh-CN"/>
        </w:rPr>
      </w:pPr>
    </w:p>
    <w:p w14:paraId="79BCB0D9">
      <w:pPr>
        <w:spacing w:line="480" w:lineRule="auto"/>
        <w:jc w:val="both"/>
        <w:rPr>
          <w:rFonts w:eastAsiaTheme="minorEastAsia"/>
          <w:lang w:eastAsia="zh-CN"/>
        </w:rPr>
      </w:pPr>
    </w:p>
    <w:p w14:paraId="6EB69416">
      <w:pPr>
        <w:spacing w:line="480" w:lineRule="auto"/>
        <w:jc w:val="both"/>
        <w:rPr>
          <w:rFonts w:hint="eastAsia" w:eastAsiaTheme="minorEastAsia"/>
          <w:lang w:eastAsia="zh-CN"/>
        </w:rPr>
      </w:pPr>
    </w:p>
    <w:p w14:paraId="7A0165BD">
      <w:pPr>
        <w:spacing w:after="312" w:afterLines="100"/>
        <w:rPr>
          <w:rFonts w:eastAsia="宋体"/>
          <w:lang w:val="en-US" w:eastAsia="zh-CN"/>
        </w:rPr>
      </w:pPr>
      <w:r>
        <w:rPr>
          <w:rFonts w:hint="eastAsia"/>
        </w:rPr>
        <w:t xml:space="preserve">Figure </w:t>
      </w:r>
      <w:r>
        <w:t>S</w:t>
      </w:r>
      <w:r>
        <w:rPr>
          <w:rFonts w:hint="eastAsia" w:eastAsia="宋体"/>
          <w:lang w:val="en-US" w:eastAsia="zh-CN"/>
        </w:rPr>
        <w:t>7</w:t>
      </w:r>
    </w:p>
    <w:p w14:paraId="22A8FAB9">
      <w:pPr>
        <w:spacing w:line="480" w:lineRule="auto"/>
        <w:jc w:val="both"/>
        <w:rPr>
          <w:rFonts w:eastAsia="宋体"/>
          <w:lang w:eastAsia="zh-CN"/>
        </w:rPr>
      </w:pPr>
      <w:r>
        <w:rPr>
          <w:rFonts w:eastAsia="宋体"/>
          <w:lang w:eastAsia="zh-CN"/>
        </w:rPr>
        <w:drawing>
          <wp:inline distT="0" distB="0" distL="114300" distR="114300">
            <wp:extent cx="5266690" cy="7393305"/>
            <wp:effectExtent l="0" t="0" r="6350" b="13335"/>
            <wp:docPr id="21" name="图片 21" descr="figure S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figure S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39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A756CF">
      <w:pPr>
        <w:spacing w:line="480" w:lineRule="auto"/>
        <w:jc w:val="both"/>
        <w:rPr>
          <w:lang w:val="en-US"/>
        </w:rPr>
      </w:pPr>
      <w:r>
        <w:rPr>
          <w:b/>
          <w:bCs/>
        </w:rPr>
        <w:t>Figure S7</w:t>
      </w:r>
      <w:r>
        <w:rPr>
          <w:rFonts w:hint="eastAsia" w:eastAsia="宋体"/>
          <w:b/>
          <w:bCs/>
          <w:lang w:val="en-US" w:eastAsia="zh-CN"/>
        </w:rPr>
        <w:t>.</w:t>
      </w:r>
      <w:r>
        <w:rPr>
          <w:b/>
          <w:bCs/>
        </w:rPr>
        <w:t xml:space="preserve"> MiR-550a-5p </w:t>
      </w:r>
      <w:r>
        <w:rPr>
          <w:rFonts w:hint="eastAsia" w:eastAsiaTheme="minorEastAsia"/>
          <w:b/>
          <w:bCs/>
          <w:lang w:eastAsia="zh-CN"/>
        </w:rPr>
        <w:t>regulates</w:t>
      </w:r>
      <w:r>
        <w:rPr>
          <w:b/>
          <w:bCs/>
        </w:rPr>
        <w:t xml:space="preserve"> PMPCB expression via directly binding to its 3’UTR region.</w:t>
      </w:r>
      <w:r>
        <w:rPr>
          <w:rFonts w:hint="eastAsia" w:eastAsia="宋体"/>
          <w:b/>
          <w:bCs/>
          <w:lang w:val="en-US" w:eastAsia="zh-CN"/>
        </w:rPr>
        <w:t xml:space="preserve"> </w:t>
      </w:r>
      <w:r>
        <w:t>(</w:t>
      </w:r>
      <w:r>
        <w:rPr>
          <w:rFonts w:hint="eastAsia" w:eastAsia="宋体"/>
          <w:lang w:val="en-US" w:eastAsia="zh-CN"/>
        </w:rPr>
        <w:t>a</w:t>
      </w:r>
      <w:r>
        <w:t xml:space="preserve">) qPCR analysis of expression levels of </w:t>
      </w:r>
      <w:r>
        <w:rPr>
          <w:rFonts w:hint="eastAsia" w:eastAsiaTheme="minorEastAsia"/>
          <w:lang w:eastAsia="zh-CN"/>
        </w:rPr>
        <w:t xml:space="preserve">selected </w:t>
      </w:r>
      <w:r>
        <w:t xml:space="preserve">potential target genes of miR-550a-5p in CD8⁺ T cells </w:t>
      </w:r>
      <w:r>
        <w:rPr>
          <w:rFonts w:hint="eastAsia"/>
          <w:lang w:val="en-US"/>
        </w:rPr>
        <w:t>of</w:t>
      </w:r>
      <w:r>
        <w:rPr>
          <w:lang w:val="en-US"/>
        </w:rPr>
        <w:t xml:space="preserve"> healthy </w:t>
      </w:r>
      <w:r>
        <w:rPr>
          <w:rFonts w:hint="eastAsia"/>
          <w:lang w:val="en-US"/>
        </w:rPr>
        <w:t>controls and</w:t>
      </w:r>
      <w:r>
        <w:rPr>
          <w:lang w:val="en-US"/>
        </w:rPr>
        <w:t xml:space="preserve"> </w:t>
      </w:r>
      <w:r>
        <w:rPr>
          <w:rFonts w:hint="eastAsia"/>
          <w:lang w:val="en-US"/>
        </w:rPr>
        <w:t>ESRD</w:t>
      </w:r>
      <w:r>
        <w:rPr>
          <w:lang w:val="en-US"/>
        </w:rPr>
        <w:t xml:space="preserve"> </w:t>
      </w:r>
      <w:r>
        <w:rPr>
          <w:rFonts w:hint="eastAsia"/>
          <w:lang w:val="en-US"/>
        </w:rPr>
        <w:t>patients</w:t>
      </w:r>
      <w:r>
        <w:t xml:space="preserve"> (n</w:t>
      </w:r>
      <w:r>
        <w:rPr>
          <w:rFonts w:hint="eastAsia" w:eastAsia="宋体"/>
          <w:lang w:val="en-US" w:eastAsia="zh-CN"/>
        </w:rPr>
        <w:t xml:space="preserve"> </w:t>
      </w:r>
      <w:r>
        <w:t>=</w:t>
      </w:r>
      <w:r>
        <w:rPr>
          <w:rFonts w:hint="eastAsia" w:eastAsia="宋体"/>
          <w:lang w:val="en-US" w:eastAsia="zh-CN"/>
        </w:rPr>
        <w:t xml:space="preserve"> </w:t>
      </w:r>
      <w:r>
        <w:t>12). (</w:t>
      </w:r>
      <w:r>
        <w:rPr>
          <w:rFonts w:hint="eastAsia" w:eastAsia="宋体"/>
          <w:lang w:val="en-US" w:eastAsia="zh-CN"/>
        </w:rPr>
        <w:t>b</w:t>
      </w:r>
      <w:r>
        <w:t xml:space="preserve">) Western blot analysis of PMPCB expression in CD8⁺ T cells </w:t>
      </w:r>
      <w:r>
        <w:rPr>
          <w:rFonts w:hint="eastAsia"/>
          <w:lang w:val="en-US"/>
        </w:rPr>
        <w:t>of</w:t>
      </w:r>
      <w:r>
        <w:rPr>
          <w:lang w:val="en-US"/>
        </w:rPr>
        <w:t xml:space="preserve"> healthy </w:t>
      </w:r>
      <w:r>
        <w:rPr>
          <w:rFonts w:hint="eastAsia"/>
          <w:lang w:val="en-US"/>
        </w:rPr>
        <w:t>controls and</w:t>
      </w:r>
      <w:r>
        <w:rPr>
          <w:lang w:val="en-US"/>
        </w:rPr>
        <w:t xml:space="preserve"> </w:t>
      </w:r>
      <w:r>
        <w:rPr>
          <w:rFonts w:hint="eastAsia"/>
          <w:lang w:val="en-US"/>
        </w:rPr>
        <w:t>ESRD</w:t>
      </w:r>
      <w:r>
        <w:rPr>
          <w:lang w:val="en-US"/>
        </w:rPr>
        <w:t xml:space="preserve"> </w:t>
      </w:r>
      <w:r>
        <w:rPr>
          <w:rFonts w:hint="eastAsia"/>
          <w:lang w:val="en-US"/>
        </w:rPr>
        <w:t>patients</w:t>
      </w:r>
      <w:r>
        <w:t xml:space="preserve"> (n</w:t>
      </w:r>
      <w:r>
        <w:rPr>
          <w:rFonts w:hint="eastAsia" w:eastAsia="宋体"/>
          <w:lang w:val="en-US" w:eastAsia="zh-CN"/>
        </w:rPr>
        <w:t xml:space="preserve"> </w:t>
      </w:r>
      <w:r>
        <w:t>=</w:t>
      </w:r>
      <w:r>
        <w:rPr>
          <w:rFonts w:hint="eastAsia" w:eastAsia="宋体"/>
          <w:lang w:val="en-US" w:eastAsia="zh-CN"/>
        </w:rPr>
        <w:t xml:space="preserve"> </w:t>
      </w:r>
      <w:r>
        <w:rPr>
          <w:rFonts w:hint="eastAsia" w:eastAsiaTheme="minorEastAsia"/>
          <w:lang w:eastAsia="zh-CN"/>
        </w:rPr>
        <w:t>3</w:t>
      </w:r>
      <w:r>
        <w:t>). (</w:t>
      </w:r>
      <w:r>
        <w:rPr>
          <w:rFonts w:hint="eastAsia" w:eastAsia="宋体"/>
          <w:lang w:val="en-US" w:eastAsia="zh-CN"/>
        </w:rPr>
        <w:t>c</w:t>
      </w:r>
      <w:r>
        <w:t xml:space="preserve">) Representative immunofluorescence staining images showing PMPCB expression (red) in CD8⁺ T cells </w:t>
      </w:r>
      <w:r>
        <w:rPr>
          <w:rFonts w:hint="eastAsia"/>
          <w:lang w:val="en-US"/>
        </w:rPr>
        <w:t>of</w:t>
      </w:r>
      <w:r>
        <w:rPr>
          <w:lang w:val="en-US"/>
        </w:rPr>
        <w:t xml:space="preserve"> healthy </w:t>
      </w:r>
      <w:r>
        <w:rPr>
          <w:rFonts w:hint="eastAsia"/>
          <w:lang w:val="en-US"/>
        </w:rPr>
        <w:t>controls and</w:t>
      </w:r>
      <w:r>
        <w:rPr>
          <w:lang w:val="en-US"/>
        </w:rPr>
        <w:t xml:space="preserve"> </w:t>
      </w:r>
      <w:r>
        <w:rPr>
          <w:rFonts w:hint="eastAsia"/>
          <w:lang w:val="en-US"/>
        </w:rPr>
        <w:t>ESRD</w:t>
      </w:r>
      <w:r>
        <w:rPr>
          <w:lang w:val="en-US"/>
        </w:rPr>
        <w:t xml:space="preserve"> </w:t>
      </w:r>
      <w:r>
        <w:rPr>
          <w:rFonts w:hint="eastAsia"/>
          <w:lang w:val="en-US"/>
        </w:rPr>
        <w:t>patients</w:t>
      </w:r>
      <w:r>
        <w:t>. Mitochondria were labeled with T</w:t>
      </w:r>
      <w:r>
        <w:rPr>
          <w:rFonts w:hint="eastAsia" w:eastAsiaTheme="minorEastAsia"/>
          <w:lang w:eastAsia="zh-CN"/>
        </w:rPr>
        <w:t>om</w:t>
      </w:r>
      <w:r>
        <w:t>20 (green). Scale bar, 10 μm. (</w:t>
      </w:r>
      <w:r>
        <w:rPr>
          <w:rFonts w:hint="eastAsia" w:eastAsia="宋体"/>
          <w:lang w:val="en-US" w:eastAsia="zh-CN"/>
        </w:rPr>
        <w:t>d</w:t>
      </w:r>
      <w:r>
        <w:t xml:space="preserve">) qPCR analysis of PMPCB expression in CD8⁺ T cells </w:t>
      </w:r>
      <w:r>
        <w:rPr>
          <w:rFonts w:hint="eastAsia"/>
          <w:lang w:val="en-US"/>
        </w:rPr>
        <w:t>co-cultured with platelets from healthy controls or ESRD patients</w:t>
      </w:r>
      <w:r>
        <w:t xml:space="preserve"> (n</w:t>
      </w:r>
      <w:r>
        <w:rPr>
          <w:rFonts w:hint="eastAsia" w:eastAsia="宋体"/>
          <w:lang w:val="en-US" w:eastAsia="zh-CN"/>
        </w:rPr>
        <w:t xml:space="preserve"> </w:t>
      </w:r>
      <w:r>
        <w:t>=</w:t>
      </w:r>
      <w:r>
        <w:rPr>
          <w:rFonts w:hint="eastAsia" w:eastAsia="宋体"/>
          <w:lang w:val="en-US" w:eastAsia="zh-CN"/>
        </w:rPr>
        <w:t xml:space="preserve"> 6</w:t>
      </w:r>
      <w:r>
        <w:t>). (</w:t>
      </w:r>
      <w:r>
        <w:rPr>
          <w:rFonts w:hint="eastAsia" w:eastAsia="宋体"/>
          <w:lang w:val="en-US" w:eastAsia="zh-CN"/>
        </w:rPr>
        <w:t>e</w:t>
      </w:r>
      <w:r>
        <w:t xml:space="preserve">) Representative immunofluorescence staining images showing PMPCB expression (red) in CD8⁺ T cells </w:t>
      </w:r>
      <w:r>
        <w:rPr>
          <w:rFonts w:hint="eastAsia"/>
          <w:lang w:val="en-US"/>
        </w:rPr>
        <w:t xml:space="preserve">treated with or without </w:t>
      </w:r>
      <w:r>
        <w:rPr>
          <w:lang w:val="en-US"/>
        </w:rPr>
        <w:t>miR-550a-5p mimic</w:t>
      </w:r>
      <w:r>
        <w:t>. Mitochondria were labeled with T</w:t>
      </w:r>
      <w:r>
        <w:rPr>
          <w:rFonts w:hint="eastAsia" w:eastAsiaTheme="minorEastAsia"/>
          <w:lang w:eastAsia="zh-CN"/>
        </w:rPr>
        <w:t>om</w:t>
      </w:r>
      <w:r>
        <w:t>20 (green). Scale bar, 10 μm. (</w:t>
      </w:r>
      <w:r>
        <w:rPr>
          <w:rFonts w:hint="eastAsia" w:eastAsia="宋体"/>
          <w:lang w:val="en-US" w:eastAsia="zh-CN"/>
        </w:rPr>
        <w:t>f</w:t>
      </w:r>
      <w:r>
        <w:t xml:space="preserve">) Western blot analysis of PMPCB protein levels in CD8⁺ T cells </w:t>
      </w:r>
      <w:r>
        <w:rPr>
          <w:rFonts w:hint="eastAsia"/>
          <w:lang w:val="en-US"/>
        </w:rPr>
        <w:t xml:space="preserve">treated with or without </w:t>
      </w:r>
      <w:r>
        <w:rPr>
          <w:lang w:val="en-US"/>
        </w:rPr>
        <w:t>miR-550a-5p mimic</w:t>
      </w:r>
      <w:r>
        <w:t xml:space="preserve"> (n</w:t>
      </w:r>
      <w:r>
        <w:rPr>
          <w:rFonts w:hint="eastAsia" w:eastAsia="宋体"/>
          <w:lang w:val="en-US" w:eastAsia="zh-CN"/>
        </w:rPr>
        <w:t xml:space="preserve"> </w:t>
      </w:r>
      <w:r>
        <w:t>=</w:t>
      </w:r>
      <w:r>
        <w:rPr>
          <w:rFonts w:hint="eastAsia" w:eastAsia="宋体"/>
          <w:lang w:val="en-US" w:eastAsia="zh-CN"/>
        </w:rPr>
        <w:t xml:space="preserve"> </w:t>
      </w:r>
      <w:r>
        <w:t>3). (</w:t>
      </w:r>
      <w:r>
        <w:rPr>
          <w:rFonts w:hint="eastAsia" w:eastAsia="宋体"/>
          <w:lang w:val="en-US" w:eastAsia="zh-CN"/>
        </w:rPr>
        <w:t>g</w:t>
      </w:r>
      <w:r>
        <w:t>) Schematic illustration of the putative miR-550a-5p binding sites within the 3′ untranslated region (UTR) of the mouse PMPCB gene. (</w:t>
      </w:r>
      <w:r>
        <w:rPr>
          <w:rFonts w:hint="eastAsia" w:eastAsia="宋体"/>
          <w:lang w:val="en-US" w:eastAsia="zh-CN"/>
        </w:rPr>
        <w:t>h</w:t>
      </w:r>
      <w:r>
        <w:t>) Western blot analysis of the PMPCB protein levels in</w:t>
      </w:r>
      <w:r>
        <w:rPr>
          <w:rFonts w:hint="eastAsia" w:eastAsiaTheme="minorEastAsia"/>
          <w:lang w:eastAsia="zh-CN"/>
        </w:rPr>
        <w:t xml:space="preserve"> </w:t>
      </w:r>
      <w:r>
        <w:t xml:space="preserve">peripheral blood CD8⁺ T cells </w:t>
      </w:r>
      <w:r>
        <w:rPr>
          <w:rFonts w:hint="eastAsia" w:eastAsiaTheme="minorEastAsia"/>
          <w:lang w:eastAsia="zh-CN"/>
        </w:rPr>
        <w:t>of mouse t</w:t>
      </w:r>
      <w:r>
        <w:rPr>
          <w:rFonts w:hint="eastAsia"/>
          <w:lang w:val="en-US"/>
        </w:rPr>
        <w:t xml:space="preserve">reated with or without </w:t>
      </w:r>
      <w:r>
        <w:rPr>
          <w:lang w:val="en-US"/>
        </w:rPr>
        <w:t xml:space="preserve">miR-550a-5p </w:t>
      </w:r>
      <w:r>
        <w:rPr>
          <w:rFonts w:hint="eastAsia" w:eastAsiaTheme="minorEastAsia"/>
          <w:lang w:val="en-US" w:eastAsia="zh-CN"/>
        </w:rPr>
        <w:t xml:space="preserve">agomir </w:t>
      </w:r>
      <w:r>
        <w:t>(n</w:t>
      </w:r>
      <w:r>
        <w:rPr>
          <w:rFonts w:hint="eastAsia" w:eastAsia="宋体"/>
          <w:lang w:val="en-US" w:eastAsia="zh-CN"/>
        </w:rPr>
        <w:t xml:space="preserve"> </w:t>
      </w:r>
      <w:r>
        <w:t>=</w:t>
      </w:r>
      <w:r>
        <w:rPr>
          <w:rFonts w:hint="eastAsia" w:eastAsia="宋体"/>
          <w:lang w:val="en-US" w:eastAsia="zh-CN"/>
        </w:rPr>
        <w:t xml:space="preserve"> </w:t>
      </w:r>
      <w:r>
        <w:t>3). Data are presented as mean</w:t>
      </w:r>
      <w:r>
        <w:rPr>
          <w:rFonts w:hint="eastAsia" w:eastAsia="宋体"/>
          <w:lang w:val="en-US" w:eastAsia="zh-CN"/>
        </w:rPr>
        <w:t xml:space="preserve"> </w:t>
      </w:r>
      <w:r>
        <w:t>±</w:t>
      </w:r>
      <w:r>
        <w:rPr>
          <w:rFonts w:hint="eastAsia" w:eastAsia="宋体"/>
          <w:lang w:val="en-US" w:eastAsia="zh-CN"/>
        </w:rPr>
        <w:t xml:space="preserve"> </w:t>
      </w:r>
      <w:r>
        <w:t>SD and were analyzed by 2-tailed, unpaired Student's t-test</w:t>
      </w:r>
      <w:r>
        <w:rPr>
          <w:rFonts w:hint="eastAsia" w:eastAsia="宋体"/>
          <w:lang w:val="en-US" w:eastAsia="zh-CN"/>
        </w:rPr>
        <w:t xml:space="preserve"> or </w:t>
      </w:r>
      <w:r>
        <w:t xml:space="preserve">one-way </w:t>
      </w:r>
      <w:r>
        <w:rPr>
          <w:shd w:val="clear" w:color="auto" w:fill="FFFFFF"/>
        </w:rPr>
        <w:t>ANOVA</w:t>
      </w:r>
      <w:r>
        <w:t xml:space="preserve"> (</w:t>
      </w:r>
      <w:r>
        <w:rPr>
          <w:rFonts w:hint="eastAsia" w:eastAsia="宋体"/>
          <w:lang w:val="en-US" w:eastAsia="zh-CN"/>
        </w:rPr>
        <w:t>d</w:t>
      </w:r>
      <w:r>
        <w:t xml:space="preserve">). </w:t>
      </w:r>
      <w:r>
        <w:rPr>
          <w:rFonts w:hint="eastAsia"/>
          <w:lang w:val="en-US" w:eastAsia="zh-CN"/>
        </w:rPr>
        <w:t>ns:</w:t>
      </w:r>
      <w:r>
        <w:t xml:space="preserve"> no significance.</w:t>
      </w:r>
      <w:r>
        <w:rPr>
          <w:rFonts w:hint="eastAsia"/>
          <w:lang w:val="en-US" w:eastAsia="zh-CN"/>
        </w:rPr>
        <w:t xml:space="preserve"> </w:t>
      </w:r>
      <w:r>
        <w:t>**P &lt; 0.01, ***P &lt; 0.001.</w:t>
      </w:r>
    </w:p>
    <w:p w14:paraId="79BA279A">
      <w:pPr>
        <w:spacing w:line="480" w:lineRule="auto"/>
        <w:jc w:val="both"/>
      </w:pPr>
    </w:p>
    <w:p w14:paraId="758E2811">
      <w:pPr>
        <w:spacing w:line="480" w:lineRule="auto"/>
        <w:jc w:val="both"/>
      </w:pPr>
    </w:p>
    <w:p w14:paraId="69A40E62">
      <w:pPr>
        <w:spacing w:line="480" w:lineRule="auto"/>
        <w:jc w:val="both"/>
      </w:pPr>
    </w:p>
    <w:p w14:paraId="54ADC32A">
      <w:pPr>
        <w:spacing w:line="480" w:lineRule="auto"/>
        <w:jc w:val="both"/>
        <w:rPr>
          <w:rFonts w:hint="eastAsia" w:eastAsiaTheme="minorEastAsia"/>
          <w:lang w:eastAsia="zh-CN"/>
        </w:rPr>
      </w:pPr>
    </w:p>
    <w:p w14:paraId="2924FB93">
      <w:pPr>
        <w:spacing w:line="480" w:lineRule="auto"/>
        <w:jc w:val="both"/>
      </w:pPr>
    </w:p>
    <w:p w14:paraId="12DA418C">
      <w:pPr>
        <w:spacing w:line="480" w:lineRule="auto"/>
        <w:jc w:val="both"/>
      </w:pPr>
    </w:p>
    <w:p w14:paraId="0AD3FDAA">
      <w:pPr>
        <w:spacing w:after="312" w:afterLines="100"/>
        <w:rPr>
          <w:rFonts w:eastAsia="宋体"/>
          <w:lang w:val="en-US" w:eastAsia="zh-CN"/>
        </w:rPr>
      </w:pPr>
      <w:r>
        <w:rPr>
          <w:rFonts w:hint="eastAsia"/>
        </w:rPr>
        <w:t xml:space="preserve">Figure </w:t>
      </w:r>
      <w:r>
        <w:t>S</w:t>
      </w:r>
      <w:r>
        <w:rPr>
          <w:rFonts w:hint="eastAsia" w:eastAsia="宋体"/>
          <w:lang w:val="en-US" w:eastAsia="zh-CN"/>
        </w:rPr>
        <w:t>8</w:t>
      </w:r>
    </w:p>
    <w:p w14:paraId="01B70C46">
      <w:pPr>
        <w:spacing w:line="480" w:lineRule="auto"/>
        <w:jc w:val="both"/>
        <w:rPr>
          <w:rFonts w:eastAsia="宋体"/>
          <w:lang w:eastAsia="zh-CN"/>
        </w:rPr>
      </w:pPr>
      <w:r>
        <w:rPr>
          <w:rFonts w:eastAsia="宋体"/>
          <w:lang w:eastAsia="zh-CN"/>
        </w:rPr>
        <w:drawing>
          <wp:inline distT="0" distB="0" distL="114300" distR="114300">
            <wp:extent cx="5266690" cy="6901180"/>
            <wp:effectExtent l="0" t="0" r="6350" b="2540"/>
            <wp:docPr id="22" name="图片 22" descr="figure S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figure S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690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2E4A87">
      <w:pPr>
        <w:spacing w:line="480" w:lineRule="auto"/>
        <w:jc w:val="both"/>
        <w:rPr>
          <w:b/>
          <w:bCs/>
        </w:rPr>
      </w:pPr>
      <w:r>
        <w:rPr>
          <w:rFonts w:hint="eastAsia"/>
          <w:b/>
          <w:bCs/>
        </w:rPr>
        <w:t>Figure S</w:t>
      </w:r>
      <w:r>
        <w:rPr>
          <w:rFonts w:hint="eastAsia" w:eastAsia="宋体"/>
          <w:b/>
          <w:bCs/>
          <w:lang w:val="en-US" w:eastAsia="zh-CN"/>
        </w:rPr>
        <w:t>8.</w:t>
      </w:r>
      <w:r>
        <w:rPr>
          <w:rFonts w:hint="eastAsia"/>
          <w:b/>
          <w:bCs/>
        </w:rPr>
        <w:t xml:space="preserve"> MiR-550a-5p agomir treatment increases mitochondrial dysfunction and cellular senescence of CD8</w:t>
      </w:r>
      <w:r>
        <w:rPr>
          <w:rFonts w:hint="eastAsia"/>
          <w:b/>
          <w:bCs/>
          <w:vertAlign w:val="superscript"/>
        </w:rPr>
        <w:t>+</w:t>
      </w:r>
      <w:r>
        <w:rPr>
          <w:rFonts w:hint="eastAsia"/>
          <w:b/>
          <w:bCs/>
        </w:rPr>
        <w:t xml:space="preserve"> T cells in vivo.</w:t>
      </w:r>
      <w:r>
        <w:rPr>
          <w:rFonts w:hint="eastAsia" w:eastAsiaTheme="minorEastAsia"/>
          <w:b/>
          <w:bCs/>
          <w:lang w:eastAsia="zh-CN"/>
        </w:rPr>
        <w:t xml:space="preserve"> </w:t>
      </w:r>
      <w:r>
        <w:rPr>
          <w:rFonts w:hint="eastAsia" w:eastAsiaTheme="minorEastAsia"/>
          <w:lang w:eastAsia="zh-CN"/>
        </w:rPr>
        <w:t>(</w:t>
      </w:r>
      <w:r>
        <w:rPr>
          <w:rFonts w:hint="eastAsia" w:eastAsiaTheme="minorEastAsia"/>
          <w:lang w:val="en-US" w:eastAsia="zh-CN"/>
        </w:rPr>
        <w:t>a</w:t>
      </w:r>
      <w:r>
        <w:rPr>
          <w:rFonts w:hint="eastAsia" w:eastAsiaTheme="minorEastAsia"/>
          <w:lang w:eastAsia="zh-CN"/>
        </w:rPr>
        <w:t>)</w:t>
      </w:r>
      <w:r>
        <w:rPr>
          <w:rFonts w:hint="eastAsia" w:eastAsiaTheme="minorEastAsia"/>
          <w:b/>
          <w:bCs/>
          <w:lang w:eastAsia="zh-CN"/>
        </w:rPr>
        <w:t xml:space="preserve"> </w:t>
      </w:r>
      <w:r>
        <w:rPr>
          <w:rFonts w:hint="eastAsia"/>
          <w:shd w:val="clear" w:color="auto" w:fill="FFFFFF"/>
        </w:rPr>
        <w:t xml:space="preserve">Experimental outline. </w:t>
      </w:r>
      <w:r>
        <w:rPr>
          <w:rFonts w:hint="eastAsia" w:eastAsiaTheme="minorEastAsia"/>
          <w:lang w:eastAsia="zh-CN"/>
        </w:rPr>
        <w:t>P</w:t>
      </w:r>
      <w:r>
        <w:t>eripheral blood CD8⁺ T cells</w:t>
      </w:r>
      <w:r>
        <w:rPr>
          <w:rFonts w:hint="eastAsia" w:eastAsiaTheme="minorEastAsia"/>
          <w:lang w:eastAsia="zh-CN"/>
        </w:rPr>
        <w:t xml:space="preserve"> of mouse</w:t>
      </w:r>
      <w:r>
        <w:rPr>
          <w:rFonts w:hint="eastAsia"/>
          <w:shd w:val="clear" w:color="auto" w:fill="FFFFFF"/>
        </w:rPr>
        <w:t xml:space="preserve"> were harvested for functional assays. (</w:t>
      </w:r>
      <w:r>
        <w:rPr>
          <w:rFonts w:hint="eastAsia" w:eastAsia="宋体"/>
          <w:shd w:val="clear" w:color="auto" w:fill="FFFFFF"/>
          <w:lang w:val="en-US" w:eastAsia="zh-CN"/>
        </w:rPr>
        <w:t>b</w:t>
      </w:r>
      <w:r>
        <w:rPr>
          <w:rFonts w:hint="eastAsia"/>
          <w:shd w:val="clear" w:color="auto" w:fill="FFFFFF"/>
        </w:rPr>
        <w:t>)</w:t>
      </w:r>
      <w:r>
        <w:rPr>
          <w:rFonts w:hint="eastAsia" w:eastAsiaTheme="minorEastAsia"/>
          <w:shd w:val="clear" w:color="auto" w:fill="FFFFFF"/>
          <w:lang w:eastAsia="zh-CN"/>
        </w:rPr>
        <w:t xml:space="preserve"> </w:t>
      </w:r>
      <w:r>
        <w:rPr>
          <w:rFonts w:hint="eastAsia"/>
          <w:shd w:val="clear" w:color="auto" w:fill="FFFFFF"/>
        </w:rPr>
        <w:t>qPCR analysis of miR-550a-5p expression in CD8</w:t>
      </w:r>
      <w:r>
        <w:rPr>
          <w:rFonts w:hint="eastAsia"/>
          <w:shd w:val="clear" w:color="auto" w:fill="FFFFFF"/>
          <w:vertAlign w:val="superscript"/>
        </w:rPr>
        <w:t>+</w:t>
      </w:r>
      <w:r>
        <w:rPr>
          <w:rFonts w:hint="eastAsia"/>
          <w:shd w:val="clear" w:color="auto" w:fill="FFFFFF"/>
        </w:rPr>
        <w:t xml:space="preserve"> T cells</w:t>
      </w:r>
      <w:r>
        <w:rPr>
          <w:rFonts w:hint="eastAsia" w:eastAsiaTheme="minorEastAsia"/>
          <w:shd w:val="clear" w:color="auto" w:fill="FFFFFF"/>
          <w:lang w:eastAsia="zh-CN"/>
        </w:rPr>
        <w:t xml:space="preserve"> </w:t>
      </w:r>
      <w:r>
        <w:rPr>
          <w:rFonts w:hint="eastAsia" w:eastAsiaTheme="minorEastAsia"/>
          <w:lang w:eastAsia="zh-CN"/>
        </w:rPr>
        <w:t>of mouse t</w:t>
      </w:r>
      <w:r>
        <w:rPr>
          <w:rFonts w:hint="eastAsia"/>
          <w:lang w:val="en-US"/>
        </w:rPr>
        <w:t>reat</w:t>
      </w:r>
      <w:r>
        <w:rPr>
          <w:rFonts w:hint="eastAsia" w:eastAsiaTheme="minorEastAsia"/>
          <w:lang w:val="en-US" w:eastAsia="zh-CN"/>
        </w:rPr>
        <w:t>ed</w:t>
      </w:r>
      <w:r>
        <w:rPr>
          <w:rFonts w:hint="eastAsia"/>
          <w:lang w:val="en-US"/>
        </w:rPr>
        <w:t xml:space="preserve"> with </w:t>
      </w:r>
      <w:r>
        <w:rPr>
          <w:lang w:val="en-US"/>
        </w:rPr>
        <w:t xml:space="preserve">miR-550a-5p </w:t>
      </w:r>
      <w:r>
        <w:rPr>
          <w:rFonts w:hint="eastAsia" w:eastAsiaTheme="minorEastAsia"/>
          <w:lang w:val="en-US" w:eastAsia="zh-CN"/>
        </w:rPr>
        <w:t>agomir or negative control (n = 6).</w:t>
      </w:r>
      <w:r>
        <w:rPr>
          <w:rFonts w:hint="eastAsia" w:eastAsiaTheme="minorEastAsia"/>
          <w:b/>
          <w:bCs/>
          <w:lang w:val="en-US" w:eastAsia="zh-CN"/>
        </w:rPr>
        <w:t xml:space="preserve"> </w:t>
      </w:r>
      <w:r>
        <w:rPr>
          <w:rFonts w:hint="eastAsia"/>
          <w:shd w:val="clear" w:color="auto" w:fill="FFFFFF"/>
        </w:rPr>
        <w:t>(</w:t>
      </w:r>
      <w:r>
        <w:rPr>
          <w:rFonts w:hint="eastAsia" w:eastAsia="宋体"/>
          <w:shd w:val="clear" w:color="auto" w:fill="FFFFFF"/>
          <w:lang w:val="en-US" w:eastAsia="zh-CN"/>
        </w:rPr>
        <w:t>c</w:t>
      </w:r>
      <w:r>
        <w:rPr>
          <w:rFonts w:hint="eastAsia"/>
          <w:shd w:val="clear" w:color="auto" w:fill="FFFFFF"/>
        </w:rPr>
        <w:t>) Flow cytometric gating strategy for mouse lymphocyte subsets</w:t>
      </w:r>
      <w:r>
        <w:rPr>
          <w:rFonts w:hint="eastAsia" w:eastAsiaTheme="minorEastAsia"/>
          <w:shd w:val="clear" w:color="auto" w:fill="FFFFFF"/>
          <w:lang w:eastAsia="zh-CN"/>
        </w:rPr>
        <w:t xml:space="preserve"> analysis</w:t>
      </w:r>
      <w:r>
        <w:rPr>
          <w:rFonts w:hint="eastAsia"/>
          <w:shd w:val="clear" w:color="auto" w:fill="FFFFFF"/>
        </w:rPr>
        <w:t>. (</w:t>
      </w:r>
      <w:r>
        <w:rPr>
          <w:rFonts w:hint="eastAsia" w:eastAsia="宋体"/>
          <w:shd w:val="clear" w:color="auto" w:fill="FFFFFF"/>
          <w:lang w:val="en-US" w:eastAsia="zh-CN"/>
        </w:rPr>
        <w:t>d</w:t>
      </w:r>
      <w:r>
        <w:rPr>
          <w:rFonts w:hint="eastAsia"/>
          <w:shd w:val="clear" w:color="auto" w:fill="FFFFFF"/>
        </w:rPr>
        <w:t>-</w:t>
      </w:r>
      <w:r>
        <w:rPr>
          <w:rFonts w:hint="eastAsia" w:eastAsia="宋体"/>
          <w:shd w:val="clear" w:color="auto" w:fill="FFFFFF"/>
          <w:lang w:val="en-US" w:eastAsia="zh-CN"/>
        </w:rPr>
        <w:t>h</w:t>
      </w:r>
      <w:r>
        <w:rPr>
          <w:rFonts w:hint="eastAsia"/>
          <w:shd w:val="clear" w:color="auto" w:fill="FFFFFF"/>
        </w:rPr>
        <w:t>) Flow cytometric analysis of SA-</w:t>
      </w:r>
      <w:r>
        <w:rPr>
          <w:shd w:val="clear" w:color="auto" w:fill="FFFFFF"/>
        </w:rPr>
        <w:t>β</w:t>
      </w:r>
      <w:r>
        <w:rPr>
          <w:rFonts w:hint="eastAsia"/>
          <w:shd w:val="clear" w:color="auto" w:fill="FFFFFF"/>
        </w:rPr>
        <w:t>-Gal activity (</w:t>
      </w:r>
      <w:r>
        <w:rPr>
          <w:rFonts w:hint="eastAsia" w:eastAsia="宋体"/>
          <w:shd w:val="clear" w:color="auto" w:fill="FFFFFF"/>
          <w:lang w:val="en-US" w:eastAsia="zh-CN"/>
        </w:rPr>
        <w:t>d</w:t>
      </w:r>
      <w:r>
        <w:rPr>
          <w:rFonts w:hint="eastAsia"/>
          <w:shd w:val="clear" w:color="auto" w:fill="FFFFFF"/>
        </w:rPr>
        <w:t xml:space="preserve">), </w:t>
      </w:r>
      <w:r>
        <w:rPr>
          <w:shd w:val="clear" w:color="auto" w:fill="FFFFFF"/>
        </w:rPr>
        <w:t>γ-</w:t>
      </w:r>
      <w:r>
        <w:rPr>
          <w:rFonts w:hint="eastAsia"/>
          <w:shd w:val="clear" w:color="auto" w:fill="FFFFFF"/>
        </w:rPr>
        <w:t>H2AX level (</w:t>
      </w:r>
      <w:r>
        <w:rPr>
          <w:rFonts w:hint="eastAsia" w:eastAsia="宋体"/>
          <w:shd w:val="clear" w:color="auto" w:fill="FFFFFF"/>
          <w:lang w:val="en-US" w:eastAsia="zh-CN"/>
        </w:rPr>
        <w:t>e</w:t>
      </w:r>
      <w:r>
        <w:rPr>
          <w:rFonts w:hint="eastAsia"/>
          <w:shd w:val="clear" w:color="auto" w:fill="FFFFFF"/>
        </w:rPr>
        <w:t>), p21 expression (</w:t>
      </w:r>
      <w:r>
        <w:rPr>
          <w:rFonts w:hint="eastAsia" w:eastAsia="宋体"/>
          <w:shd w:val="clear" w:color="auto" w:fill="FFFFFF"/>
          <w:lang w:val="en-US" w:eastAsia="zh-CN"/>
        </w:rPr>
        <w:t>f</w:t>
      </w:r>
      <w:r>
        <w:rPr>
          <w:rFonts w:hint="eastAsia"/>
          <w:shd w:val="clear" w:color="auto" w:fill="FFFFFF"/>
        </w:rPr>
        <w:t xml:space="preserve">), TMRM </w:t>
      </w:r>
      <w:r>
        <w:rPr>
          <w:rFonts w:hint="eastAsia" w:eastAsiaTheme="minorEastAsia"/>
          <w:shd w:val="clear" w:color="auto" w:fill="FFFFFF"/>
          <w:lang w:eastAsia="zh-CN"/>
        </w:rPr>
        <w:t>levels</w:t>
      </w:r>
      <w:r>
        <w:rPr>
          <w:rFonts w:hint="eastAsia"/>
          <w:shd w:val="clear" w:color="auto" w:fill="FFFFFF"/>
        </w:rPr>
        <w:t xml:space="preserve"> (</w:t>
      </w:r>
      <w:r>
        <w:rPr>
          <w:rFonts w:hint="eastAsia" w:eastAsia="宋体"/>
          <w:shd w:val="clear" w:color="auto" w:fill="FFFFFF"/>
          <w:lang w:val="en-US" w:eastAsia="zh-CN"/>
        </w:rPr>
        <w:t>g</w:t>
      </w:r>
      <w:r>
        <w:rPr>
          <w:rFonts w:hint="eastAsia"/>
          <w:shd w:val="clear" w:color="auto" w:fill="FFFFFF"/>
        </w:rPr>
        <w:t>), and ROS level</w:t>
      </w:r>
      <w:r>
        <w:rPr>
          <w:rFonts w:hint="eastAsia" w:eastAsiaTheme="minorEastAsia"/>
          <w:shd w:val="clear" w:color="auto" w:fill="FFFFFF"/>
          <w:lang w:eastAsia="zh-CN"/>
        </w:rPr>
        <w:t>s</w:t>
      </w:r>
      <w:r>
        <w:rPr>
          <w:rFonts w:hint="eastAsia"/>
          <w:shd w:val="clear" w:color="auto" w:fill="FFFFFF"/>
        </w:rPr>
        <w:t xml:space="preserve"> (</w:t>
      </w:r>
      <w:r>
        <w:rPr>
          <w:rFonts w:hint="eastAsia" w:eastAsia="宋体"/>
          <w:shd w:val="clear" w:color="auto" w:fill="FFFFFF"/>
          <w:lang w:val="en-US" w:eastAsia="zh-CN"/>
        </w:rPr>
        <w:t>h</w:t>
      </w:r>
      <w:r>
        <w:rPr>
          <w:rFonts w:hint="eastAsia"/>
          <w:shd w:val="clear" w:color="auto" w:fill="FFFFFF"/>
        </w:rPr>
        <w:t>) in CD8</w:t>
      </w:r>
      <w:r>
        <w:rPr>
          <w:rFonts w:hint="eastAsia" w:eastAsia="宋体"/>
          <w:shd w:val="clear" w:color="auto" w:fill="FFFFFF"/>
          <w:vertAlign w:val="superscript"/>
          <w:lang w:val="en-US" w:eastAsia="zh-CN"/>
        </w:rPr>
        <w:t xml:space="preserve">+ </w:t>
      </w:r>
      <w:r>
        <w:rPr>
          <w:rFonts w:hint="eastAsia"/>
          <w:shd w:val="clear" w:color="auto" w:fill="FFFFFF"/>
        </w:rPr>
        <w:t xml:space="preserve">T cells </w:t>
      </w:r>
      <w:r>
        <w:rPr>
          <w:rFonts w:hint="eastAsia" w:eastAsiaTheme="minorEastAsia"/>
          <w:lang w:eastAsia="zh-CN"/>
        </w:rPr>
        <w:t>of mouse t</w:t>
      </w:r>
      <w:r>
        <w:rPr>
          <w:rFonts w:hint="eastAsia"/>
          <w:lang w:val="en-US"/>
        </w:rPr>
        <w:t>reat</w:t>
      </w:r>
      <w:r>
        <w:rPr>
          <w:rFonts w:hint="eastAsia" w:eastAsiaTheme="minorEastAsia"/>
          <w:lang w:val="en-US" w:eastAsia="zh-CN"/>
        </w:rPr>
        <w:t>ed</w:t>
      </w:r>
      <w:r>
        <w:rPr>
          <w:rFonts w:hint="eastAsia"/>
          <w:lang w:val="en-US"/>
        </w:rPr>
        <w:t xml:space="preserve"> with </w:t>
      </w:r>
      <w:r>
        <w:rPr>
          <w:lang w:val="en-US"/>
        </w:rPr>
        <w:t xml:space="preserve">miR-550a-5p </w:t>
      </w:r>
      <w:r>
        <w:rPr>
          <w:rFonts w:hint="eastAsia" w:eastAsiaTheme="minorEastAsia"/>
          <w:lang w:val="en-US" w:eastAsia="zh-CN"/>
        </w:rPr>
        <w:t>agomir or negative control</w:t>
      </w:r>
      <w:r>
        <w:rPr>
          <w:rFonts w:hint="eastAsia"/>
          <w:shd w:val="clear" w:color="auto" w:fill="FFFFFF"/>
        </w:rPr>
        <w:t xml:space="preserve"> (n</w:t>
      </w:r>
      <w:r>
        <w:rPr>
          <w:rFonts w:hint="eastAsia" w:eastAsia="宋体"/>
          <w:shd w:val="clear" w:color="auto" w:fill="FFFFFF"/>
          <w:lang w:val="en-US" w:eastAsia="zh-CN"/>
        </w:rPr>
        <w:t xml:space="preserve"> </w:t>
      </w:r>
      <w:r>
        <w:rPr>
          <w:rFonts w:hint="eastAsia"/>
          <w:shd w:val="clear" w:color="auto" w:fill="FFFFFF"/>
        </w:rPr>
        <w:t>=</w:t>
      </w:r>
      <w:r>
        <w:rPr>
          <w:rFonts w:hint="eastAsia" w:eastAsia="宋体"/>
          <w:shd w:val="clear" w:color="auto" w:fill="FFFFFF"/>
          <w:lang w:val="en-US" w:eastAsia="zh-CN"/>
        </w:rPr>
        <w:t xml:space="preserve"> </w:t>
      </w:r>
      <w:r>
        <w:rPr>
          <w:rFonts w:hint="eastAsia"/>
          <w:shd w:val="clear" w:color="auto" w:fill="FFFFFF"/>
        </w:rPr>
        <w:t>6). (</w:t>
      </w:r>
      <w:r>
        <w:rPr>
          <w:rFonts w:hint="eastAsia" w:eastAsia="宋体"/>
          <w:shd w:val="clear" w:color="auto" w:fill="FFFFFF"/>
          <w:lang w:val="en-US" w:eastAsia="zh-CN"/>
        </w:rPr>
        <w:t>i</w:t>
      </w:r>
      <w:r>
        <w:rPr>
          <w:rFonts w:hint="eastAsia"/>
          <w:shd w:val="clear" w:color="auto" w:fill="FFFFFF"/>
        </w:rPr>
        <w:t>) OCR in CD8</w:t>
      </w:r>
      <w:r>
        <w:rPr>
          <w:rFonts w:hint="eastAsia" w:eastAsia="宋体"/>
          <w:shd w:val="clear" w:color="auto" w:fill="FFFFFF"/>
          <w:vertAlign w:val="superscript"/>
          <w:lang w:val="en-US" w:eastAsia="zh-CN"/>
        </w:rPr>
        <w:t xml:space="preserve">+ </w:t>
      </w:r>
      <w:r>
        <w:rPr>
          <w:rFonts w:hint="eastAsia"/>
          <w:shd w:val="clear" w:color="auto" w:fill="FFFFFF"/>
        </w:rPr>
        <w:t xml:space="preserve">T cells </w:t>
      </w:r>
      <w:r>
        <w:rPr>
          <w:rFonts w:hint="eastAsia" w:eastAsiaTheme="minorEastAsia"/>
          <w:lang w:eastAsia="zh-CN"/>
        </w:rPr>
        <w:t>of mouse t</w:t>
      </w:r>
      <w:r>
        <w:rPr>
          <w:rFonts w:hint="eastAsia"/>
          <w:lang w:val="en-US"/>
        </w:rPr>
        <w:t>reat</w:t>
      </w:r>
      <w:r>
        <w:rPr>
          <w:rFonts w:hint="eastAsia" w:eastAsiaTheme="minorEastAsia"/>
          <w:lang w:val="en-US" w:eastAsia="zh-CN"/>
        </w:rPr>
        <w:t>ed</w:t>
      </w:r>
      <w:r>
        <w:rPr>
          <w:rFonts w:hint="eastAsia"/>
          <w:lang w:val="en-US"/>
        </w:rPr>
        <w:t xml:space="preserve"> with </w:t>
      </w:r>
      <w:r>
        <w:rPr>
          <w:lang w:val="en-US"/>
        </w:rPr>
        <w:t xml:space="preserve">miR-550a-5p </w:t>
      </w:r>
      <w:r>
        <w:rPr>
          <w:rFonts w:hint="eastAsia" w:eastAsiaTheme="minorEastAsia"/>
          <w:lang w:val="en-US" w:eastAsia="zh-CN"/>
        </w:rPr>
        <w:t>agomir or negative control</w:t>
      </w:r>
      <w:r>
        <w:rPr>
          <w:rFonts w:hint="eastAsia"/>
          <w:shd w:val="clear" w:color="auto" w:fill="FFFFFF"/>
        </w:rPr>
        <w:t>, with quantitation of basal respiration, ATP production, and maximal respiration (n</w:t>
      </w:r>
      <w:r>
        <w:rPr>
          <w:rFonts w:hint="eastAsia" w:eastAsia="宋体"/>
          <w:shd w:val="clear" w:color="auto" w:fill="FFFFFF"/>
          <w:lang w:val="en-US" w:eastAsia="zh-CN"/>
        </w:rPr>
        <w:t xml:space="preserve"> </w:t>
      </w:r>
      <w:r>
        <w:rPr>
          <w:rFonts w:hint="eastAsia"/>
          <w:shd w:val="clear" w:color="auto" w:fill="FFFFFF"/>
        </w:rPr>
        <w:t>=</w:t>
      </w:r>
      <w:r>
        <w:rPr>
          <w:rFonts w:hint="eastAsia" w:eastAsia="宋体"/>
          <w:shd w:val="clear" w:color="auto" w:fill="FFFFFF"/>
          <w:lang w:val="en-US" w:eastAsia="zh-CN"/>
        </w:rPr>
        <w:t xml:space="preserve"> </w:t>
      </w:r>
      <w:r>
        <w:rPr>
          <w:rFonts w:hint="eastAsia"/>
          <w:shd w:val="clear" w:color="auto" w:fill="FFFFFF"/>
        </w:rPr>
        <w:t>9). (</w:t>
      </w:r>
      <w:r>
        <w:rPr>
          <w:rFonts w:hint="eastAsia" w:eastAsia="宋体"/>
          <w:shd w:val="clear" w:color="auto" w:fill="FFFFFF"/>
          <w:lang w:val="en-US" w:eastAsia="zh-CN"/>
        </w:rPr>
        <w:t>j</w:t>
      </w:r>
      <w:r>
        <w:rPr>
          <w:rFonts w:hint="eastAsia"/>
          <w:shd w:val="clear" w:color="auto" w:fill="FFFFFF"/>
        </w:rPr>
        <w:t>) Flow cytometric analysis</w:t>
      </w:r>
      <w:r>
        <w:rPr>
          <w:rFonts w:hint="eastAsia" w:eastAsiaTheme="minorEastAsia"/>
          <w:shd w:val="clear" w:color="auto" w:fill="FFFFFF"/>
          <w:lang w:eastAsia="zh-CN"/>
        </w:rPr>
        <w:t xml:space="preserve"> of the</w:t>
      </w:r>
      <w:r>
        <w:rPr>
          <w:rFonts w:hint="eastAsia"/>
          <w:shd w:val="clear" w:color="auto" w:fill="FFFFFF"/>
        </w:rPr>
        <w:t> proportion of CD44</w:t>
      </w:r>
      <w:r>
        <w:rPr>
          <w:rFonts w:hint="eastAsia" w:eastAsia="宋体"/>
          <w:shd w:val="clear" w:color="auto" w:fill="FFFFFF"/>
          <w:vertAlign w:val="superscript"/>
          <w:lang w:val="en-US" w:eastAsia="zh-CN"/>
        </w:rPr>
        <w:t>+</w:t>
      </w:r>
      <w:r>
        <w:rPr>
          <w:rFonts w:hint="eastAsia"/>
          <w:shd w:val="clear" w:color="auto" w:fill="FFFFFF"/>
        </w:rPr>
        <w:t>CD154</w:t>
      </w:r>
      <w:r>
        <w:rPr>
          <w:rFonts w:hint="eastAsia"/>
          <w:shd w:val="clear" w:color="auto" w:fill="FFFFFF"/>
          <w:vertAlign w:val="superscript"/>
        </w:rPr>
        <w:t>+</w:t>
      </w:r>
      <w:r>
        <w:rPr>
          <w:rFonts w:hint="eastAsia" w:eastAsia="宋体"/>
          <w:shd w:val="clear" w:color="auto" w:fill="FFFFFF"/>
          <w:vertAlign w:val="superscript"/>
          <w:lang w:val="en-US" w:eastAsia="zh-CN"/>
        </w:rPr>
        <w:t xml:space="preserve"> </w:t>
      </w:r>
      <w:r>
        <w:rPr>
          <w:rFonts w:hint="eastAsia"/>
          <w:shd w:val="clear" w:color="auto" w:fill="FFFFFF"/>
        </w:rPr>
        <w:t>cells in CD8</w:t>
      </w:r>
      <w:r>
        <w:rPr>
          <w:rFonts w:hint="eastAsia" w:eastAsia="宋体"/>
          <w:shd w:val="clear" w:color="auto" w:fill="FFFFFF"/>
          <w:vertAlign w:val="superscript"/>
          <w:lang w:val="en-US" w:eastAsia="zh-CN"/>
        </w:rPr>
        <w:t xml:space="preserve">+ </w:t>
      </w:r>
      <w:r>
        <w:rPr>
          <w:rFonts w:hint="eastAsia"/>
          <w:shd w:val="clear" w:color="auto" w:fill="FFFFFF"/>
        </w:rPr>
        <w:t>T cells</w:t>
      </w:r>
      <w:r>
        <w:rPr>
          <w:rFonts w:hint="eastAsia" w:eastAsia="宋体"/>
          <w:shd w:val="clear" w:color="auto" w:fill="FFFFFF"/>
          <w:lang w:val="en-US" w:eastAsia="zh-CN"/>
        </w:rPr>
        <w:t xml:space="preserve"> </w:t>
      </w:r>
      <w:r>
        <w:rPr>
          <w:rFonts w:hint="eastAsia" w:eastAsiaTheme="minorEastAsia"/>
          <w:lang w:eastAsia="zh-CN"/>
        </w:rPr>
        <w:t>of mouse t</w:t>
      </w:r>
      <w:r>
        <w:rPr>
          <w:rFonts w:hint="eastAsia"/>
          <w:lang w:val="en-US"/>
        </w:rPr>
        <w:t>reat</w:t>
      </w:r>
      <w:r>
        <w:rPr>
          <w:rFonts w:hint="eastAsia" w:eastAsiaTheme="minorEastAsia"/>
          <w:lang w:val="en-US" w:eastAsia="zh-CN"/>
        </w:rPr>
        <w:t>ed</w:t>
      </w:r>
      <w:r>
        <w:rPr>
          <w:rFonts w:hint="eastAsia"/>
          <w:lang w:val="en-US"/>
        </w:rPr>
        <w:t xml:space="preserve"> with </w:t>
      </w:r>
      <w:r>
        <w:rPr>
          <w:lang w:val="en-US"/>
        </w:rPr>
        <w:t xml:space="preserve">miR-550a-5p </w:t>
      </w:r>
      <w:r>
        <w:rPr>
          <w:rFonts w:hint="eastAsia" w:eastAsiaTheme="minorEastAsia"/>
          <w:lang w:val="en-US" w:eastAsia="zh-CN"/>
        </w:rPr>
        <w:t>agomir or negative control</w:t>
      </w:r>
      <w:r>
        <w:rPr>
          <w:rFonts w:hint="eastAsia" w:eastAsia="宋体"/>
          <w:shd w:val="clear" w:color="auto" w:fill="FFFFFF"/>
          <w:lang w:val="en-US" w:eastAsia="zh-CN"/>
        </w:rPr>
        <w:t xml:space="preserve"> </w:t>
      </w:r>
      <w:r>
        <w:rPr>
          <w:rFonts w:hint="eastAsia"/>
          <w:shd w:val="clear" w:color="auto" w:fill="FFFFFF"/>
        </w:rPr>
        <w:t>(n</w:t>
      </w:r>
      <w:r>
        <w:rPr>
          <w:rFonts w:hint="eastAsia" w:eastAsia="宋体"/>
          <w:shd w:val="clear" w:color="auto" w:fill="FFFFFF"/>
          <w:lang w:val="en-US" w:eastAsia="zh-CN"/>
        </w:rPr>
        <w:t xml:space="preserve"> </w:t>
      </w:r>
      <w:r>
        <w:rPr>
          <w:rFonts w:hint="eastAsia"/>
          <w:shd w:val="clear" w:color="auto" w:fill="FFFFFF"/>
        </w:rPr>
        <w:t>=</w:t>
      </w:r>
      <w:r>
        <w:rPr>
          <w:rFonts w:hint="eastAsia" w:eastAsia="宋体"/>
          <w:shd w:val="clear" w:color="auto" w:fill="FFFFFF"/>
          <w:lang w:val="en-US" w:eastAsia="zh-CN"/>
        </w:rPr>
        <w:t xml:space="preserve"> </w:t>
      </w:r>
      <w:r>
        <w:rPr>
          <w:rFonts w:hint="eastAsia"/>
          <w:shd w:val="clear" w:color="auto" w:fill="FFFFFF"/>
        </w:rPr>
        <w:t>9). (</w:t>
      </w:r>
      <w:r>
        <w:rPr>
          <w:rFonts w:hint="eastAsia" w:eastAsia="宋体"/>
          <w:shd w:val="clear" w:color="auto" w:fill="FFFFFF"/>
          <w:lang w:val="en-US" w:eastAsia="zh-CN"/>
        </w:rPr>
        <w:t>k</w:t>
      </w:r>
      <w:r>
        <w:rPr>
          <w:rFonts w:hint="eastAsia"/>
          <w:shd w:val="clear" w:color="auto" w:fill="FFFFFF"/>
        </w:rPr>
        <w:t xml:space="preserve">) qPCR analysis of </w:t>
      </w:r>
      <w:r>
        <w:rPr>
          <w:rFonts w:hint="eastAsia"/>
          <w:shd w:val="clear" w:color="auto" w:fill="FFFFFF"/>
          <w:lang w:val="en-US"/>
        </w:rPr>
        <w:t>TNF-</w:t>
      </w:r>
      <w:r>
        <w:rPr>
          <w:shd w:val="clear" w:color="auto" w:fill="FFFFFF"/>
          <w:lang w:val="en-US"/>
        </w:rPr>
        <w:t>α</w:t>
      </w:r>
      <w:r>
        <w:rPr>
          <w:rFonts w:hint="eastAsia"/>
          <w:shd w:val="clear" w:color="auto" w:fill="FFFFFF"/>
          <w:lang w:val="en-US"/>
        </w:rPr>
        <w:t xml:space="preserve"> and IFN-</w:t>
      </w:r>
      <w:r>
        <w:rPr>
          <w:shd w:val="clear" w:color="auto" w:fill="FFFFFF"/>
          <w:lang w:val="en-US"/>
        </w:rPr>
        <w:t>γ expression</w:t>
      </w:r>
      <w:r>
        <w:rPr>
          <w:rFonts w:hint="eastAsia" w:eastAsiaTheme="minorEastAsia"/>
          <w:shd w:val="clear" w:color="auto" w:fill="FFFFFF"/>
          <w:lang w:val="en-US" w:eastAsia="zh-CN"/>
        </w:rPr>
        <w:t xml:space="preserve"> </w:t>
      </w:r>
      <w:r>
        <w:rPr>
          <w:rFonts w:hint="eastAsia"/>
          <w:shd w:val="clear" w:color="auto" w:fill="FFFFFF"/>
        </w:rPr>
        <w:t>in CD8</w:t>
      </w:r>
      <w:r>
        <w:rPr>
          <w:rFonts w:hint="eastAsia" w:eastAsia="宋体"/>
          <w:shd w:val="clear" w:color="auto" w:fill="FFFFFF"/>
          <w:vertAlign w:val="superscript"/>
          <w:lang w:val="en-US" w:eastAsia="zh-CN"/>
        </w:rPr>
        <w:t xml:space="preserve">+ </w:t>
      </w:r>
      <w:r>
        <w:rPr>
          <w:rFonts w:hint="eastAsia"/>
          <w:shd w:val="clear" w:color="auto" w:fill="FFFFFF"/>
        </w:rPr>
        <w:t>T cells</w:t>
      </w:r>
      <w:r>
        <w:rPr>
          <w:rFonts w:hint="eastAsia" w:eastAsia="宋体"/>
          <w:shd w:val="clear" w:color="auto" w:fill="FFFFFF"/>
          <w:lang w:val="en-US" w:eastAsia="zh-CN"/>
        </w:rPr>
        <w:t xml:space="preserve"> </w:t>
      </w:r>
      <w:r>
        <w:rPr>
          <w:rFonts w:hint="eastAsia" w:eastAsiaTheme="minorEastAsia"/>
          <w:lang w:eastAsia="zh-CN"/>
        </w:rPr>
        <w:t>of mouse t</w:t>
      </w:r>
      <w:r>
        <w:rPr>
          <w:rFonts w:hint="eastAsia"/>
          <w:lang w:val="en-US"/>
        </w:rPr>
        <w:t>reat</w:t>
      </w:r>
      <w:r>
        <w:rPr>
          <w:rFonts w:hint="eastAsia" w:eastAsiaTheme="minorEastAsia"/>
          <w:lang w:val="en-US" w:eastAsia="zh-CN"/>
        </w:rPr>
        <w:t>ed</w:t>
      </w:r>
      <w:r>
        <w:rPr>
          <w:rFonts w:hint="eastAsia"/>
          <w:lang w:val="en-US"/>
        </w:rPr>
        <w:t xml:space="preserve"> with </w:t>
      </w:r>
      <w:r>
        <w:rPr>
          <w:lang w:val="en-US"/>
        </w:rPr>
        <w:t xml:space="preserve">miR-550a-5p </w:t>
      </w:r>
      <w:r>
        <w:rPr>
          <w:rFonts w:hint="eastAsia" w:eastAsiaTheme="minorEastAsia"/>
          <w:lang w:val="en-US" w:eastAsia="zh-CN"/>
        </w:rPr>
        <w:t>agomir or negative control.</w:t>
      </w:r>
      <w:r>
        <w:rPr>
          <w:rFonts w:hint="eastAsia"/>
          <w:shd w:val="clear" w:color="auto" w:fill="FFFFFF"/>
        </w:rPr>
        <w:t xml:space="preserve"> (</w:t>
      </w:r>
      <w:r>
        <w:rPr>
          <w:rFonts w:hint="eastAsia" w:eastAsia="宋体"/>
          <w:shd w:val="clear" w:color="auto" w:fill="FFFFFF"/>
          <w:lang w:val="en-US" w:eastAsia="zh-CN"/>
        </w:rPr>
        <w:t>l</w:t>
      </w:r>
      <w:r>
        <w:rPr>
          <w:rFonts w:hint="eastAsia"/>
          <w:shd w:val="clear" w:color="auto" w:fill="FFFFFF"/>
        </w:rPr>
        <w:t xml:space="preserve">) </w:t>
      </w:r>
      <w:r>
        <w:rPr>
          <w:rFonts w:hint="eastAsia" w:eastAsiaTheme="minorEastAsia"/>
          <w:shd w:val="clear" w:color="auto" w:fill="FFFFFF"/>
          <w:lang w:eastAsia="zh-CN"/>
        </w:rPr>
        <w:t>R</w:t>
      </w:r>
      <w:r>
        <w:rPr>
          <w:rFonts w:hint="eastAsia"/>
          <w:shd w:val="clear" w:color="auto" w:fill="FFFFFF"/>
        </w:rPr>
        <w:t>elative telomere length (</w:t>
      </w:r>
      <w:r>
        <w:rPr>
          <w:rFonts w:hint="eastAsia" w:eastAsia="宋体"/>
          <w:shd w:val="clear" w:color="auto" w:fill="FFFFFF"/>
          <w:lang w:val="en-US" w:eastAsia="zh-CN"/>
        </w:rPr>
        <w:t>L</w:t>
      </w:r>
      <w:r>
        <w:rPr>
          <w:rFonts w:hint="eastAsia"/>
          <w:shd w:val="clear" w:color="auto" w:fill="FFFFFF"/>
        </w:rPr>
        <w:t>) in CD8</w:t>
      </w:r>
      <w:r>
        <w:rPr>
          <w:rFonts w:hint="eastAsia"/>
          <w:shd w:val="clear" w:color="auto" w:fill="FFFFFF"/>
          <w:vertAlign w:val="superscript"/>
        </w:rPr>
        <w:t>+</w:t>
      </w:r>
      <w:r>
        <w:rPr>
          <w:rFonts w:hint="eastAsia"/>
          <w:shd w:val="clear" w:color="auto" w:fill="FFFFFF"/>
        </w:rPr>
        <w:t xml:space="preserve"> T cells</w:t>
      </w:r>
      <w:r>
        <w:rPr>
          <w:rFonts w:hint="eastAsia" w:eastAsiaTheme="minorEastAsia"/>
          <w:shd w:val="clear" w:color="auto" w:fill="FFFFFF"/>
          <w:lang w:eastAsia="zh-CN"/>
        </w:rPr>
        <w:t xml:space="preserve"> </w:t>
      </w:r>
      <w:r>
        <w:rPr>
          <w:rFonts w:hint="eastAsia" w:eastAsiaTheme="minorEastAsia"/>
          <w:lang w:eastAsia="zh-CN"/>
        </w:rPr>
        <w:t>of mouse t</w:t>
      </w:r>
      <w:r>
        <w:rPr>
          <w:rFonts w:hint="eastAsia"/>
          <w:lang w:val="en-US"/>
        </w:rPr>
        <w:t>reat</w:t>
      </w:r>
      <w:r>
        <w:rPr>
          <w:rFonts w:hint="eastAsia" w:eastAsiaTheme="minorEastAsia"/>
          <w:lang w:val="en-US" w:eastAsia="zh-CN"/>
        </w:rPr>
        <w:t>ed</w:t>
      </w:r>
      <w:r>
        <w:rPr>
          <w:rFonts w:hint="eastAsia"/>
          <w:lang w:val="en-US"/>
        </w:rPr>
        <w:t xml:space="preserve"> with </w:t>
      </w:r>
      <w:r>
        <w:rPr>
          <w:lang w:val="en-US"/>
        </w:rPr>
        <w:t xml:space="preserve">miR-550a-5p </w:t>
      </w:r>
      <w:r>
        <w:rPr>
          <w:rFonts w:hint="eastAsia" w:eastAsiaTheme="minorEastAsia"/>
          <w:lang w:val="en-US" w:eastAsia="zh-CN"/>
        </w:rPr>
        <w:t>agomir or negative control</w:t>
      </w:r>
      <w:r>
        <w:rPr>
          <w:rFonts w:hint="eastAsia"/>
          <w:shd w:val="clear" w:color="auto" w:fill="FFFFFF"/>
        </w:rPr>
        <w:t xml:space="preserve"> (n</w:t>
      </w:r>
      <w:r>
        <w:rPr>
          <w:rFonts w:hint="eastAsia" w:eastAsia="宋体"/>
          <w:shd w:val="clear" w:color="auto" w:fill="FFFFFF"/>
          <w:lang w:val="en-US" w:eastAsia="zh-CN"/>
        </w:rPr>
        <w:t xml:space="preserve"> = </w:t>
      </w:r>
      <w:r>
        <w:rPr>
          <w:rFonts w:hint="eastAsia"/>
          <w:shd w:val="clear" w:color="auto" w:fill="FFFFFF"/>
        </w:rPr>
        <w:t>6). Data are presented as mean</w:t>
      </w:r>
      <w:r>
        <w:rPr>
          <w:rFonts w:hint="eastAsia" w:eastAsia="宋体"/>
          <w:shd w:val="clear" w:color="auto" w:fill="FFFFFF"/>
          <w:lang w:val="en-US" w:eastAsia="zh-CN"/>
        </w:rPr>
        <w:t xml:space="preserve"> </w:t>
      </w:r>
      <w:r>
        <w:rPr>
          <w:rFonts w:hint="eastAsia"/>
          <w:shd w:val="clear" w:color="auto" w:fill="FFFFFF"/>
        </w:rPr>
        <w:t>±</w:t>
      </w:r>
      <w:r>
        <w:rPr>
          <w:rFonts w:hint="eastAsia" w:eastAsia="宋体"/>
          <w:shd w:val="clear" w:color="auto" w:fill="FFFFFF"/>
          <w:lang w:val="en-US" w:eastAsia="zh-CN"/>
        </w:rPr>
        <w:t xml:space="preserve"> </w:t>
      </w:r>
      <w:r>
        <w:rPr>
          <w:rFonts w:hint="eastAsia"/>
          <w:shd w:val="clear" w:color="auto" w:fill="FFFFFF"/>
        </w:rPr>
        <w:t xml:space="preserve">SD and were analyzed by 2-tailed, unpaired Student's t-test or one-way </w:t>
      </w:r>
      <w:r>
        <w:rPr>
          <w:shd w:val="clear" w:color="auto" w:fill="FFFFFF"/>
        </w:rPr>
        <w:t>ANOVA</w:t>
      </w:r>
      <w:r>
        <w:rPr>
          <w:rFonts w:hint="eastAsia"/>
          <w:shd w:val="clear" w:color="auto" w:fill="FFFFFF"/>
        </w:rPr>
        <w:t xml:space="preserve"> (</w:t>
      </w:r>
      <w:r>
        <w:rPr>
          <w:rFonts w:hint="eastAsia" w:eastAsia="宋体"/>
          <w:shd w:val="clear" w:color="auto" w:fill="FFFFFF"/>
          <w:lang w:val="en-US" w:eastAsia="zh-CN"/>
        </w:rPr>
        <w:t>b</w:t>
      </w:r>
      <w:r>
        <w:rPr>
          <w:rFonts w:hint="eastAsia"/>
          <w:shd w:val="clear" w:color="auto" w:fill="FFFFFF"/>
        </w:rPr>
        <w:t xml:space="preserve">). </w:t>
      </w:r>
      <w:r>
        <w:rPr>
          <w:rFonts w:hint="eastAsia"/>
          <w:lang w:val="en-US" w:eastAsia="zh-CN"/>
        </w:rPr>
        <w:t>ns:</w:t>
      </w:r>
      <w:r>
        <w:t xml:space="preserve"> no significance.</w:t>
      </w:r>
      <w:r>
        <w:rPr>
          <w:rFonts w:hint="eastAsia" w:eastAsia="宋体"/>
          <w:lang w:val="en-US" w:eastAsia="zh-CN"/>
        </w:rPr>
        <w:t xml:space="preserve"> </w:t>
      </w:r>
      <w:r>
        <w:rPr>
          <w:rFonts w:hint="eastAsia"/>
          <w:shd w:val="clear" w:color="auto" w:fill="FFFFFF"/>
        </w:rPr>
        <w:t>*P &lt; 0.05, **P &lt; 0.01, ***P &lt; 0.001.</w:t>
      </w:r>
    </w:p>
    <w:p w14:paraId="0E8CCEC8">
      <w:pPr>
        <w:spacing w:after="312" w:afterLines="100"/>
        <w:rPr>
          <w:rFonts w:hint="eastAsia"/>
        </w:rPr>
      </w:pPr>
    </w:p>
    <w:p w14:paraId="457EE771">
      <w:pPr>
        <w:spacing w:after="312" w:afterLines="100"/>
        <w:rPr>
          <w:rFonts w:hint="eastAsia"/>
        </w:rPr>
      </w:pPr>
    </w:p>
    <w:p w14:paraId="3DF7E441">
      <w:pPr>
        <w:spacing w:after="312" w:afterLines="100"/>
        <w:rPr>
          <w:rFonts w:hint="eastAsia"/>
        </w:rPr>
      </w:pPr>
    </w:p>
    <w:p w14:paraId="1DEFF464">
      <w:pPr>
        <w:spacing w:after="312" w:afterLines="100"/>
        <w:rPr>
          <w:rFonts w:hint="eastAsia"/>
        </w:rPr>
      </w:pPr>
    </w:p>
    <w:p w14:paraId="3579AC8D">
      <w:pPr>
        <w:spacing w:after="312" w:afterLines="100"/>
        <w:rPr>
          <w:rFonts w:hint="eastAsia"/>
        </w:rPr>
      </w:pPr>
    </w:p>
    <w:p w14:paraId="2C7793C4">
      <w:pPr>
        <w:spacing w:after="312" w:afterLines="100"/>
        <w:rPr>
          <w:rFonts w:hint="eastAsia"/>
        </w:rPr>
      </w:pPr>
    </w:p>
    <w:p w14:paraId="0398083C">
      <w:pPr>
        <w:spacing w:after="312" w:afterLines="100"/>
        <w:rPr>
          <w:rFonts w:hint="eastAsia"/>
        </w:rPr>
      </w:pPr>
    </w:p>
    <w:p w14:paraId="3916C7ED">
      <w:pPr>
        <w:spacing w:after="312" w:afterLines="100"/>
        <w:rPr>
          <w:rFonts w:hint="eastAsia"/>
        </w:rPr>
      </w:pPr>
    </w:p>
    <w:p w14:paraId="6772EEED">
      <w:pPr>
        <w:spacing w:after="312" w:afterLines="100"/>
        <w:rPr>
          <w:rFonts w:hint="eastAsia"/>
        </w:rPr>
      </w:pPr>
    </w:p>
    <w:p w14:paraId="5E341728">
      <w:pPr>
        <w:spacing w:after="312" w:afterLines="100"/>
        <w:rPr>
          <w:rFonts w:eastAsia="宋体"/>
          <w:lang w:val="en-US" w:eastAsia="zh-CN"/>
        </w:rPr>
      </w:pPr>
      <w:r>
        <w:rPr>
          <w:rFonts w:hint="eastAsia"/>
        </w:rPr>
        <w:t xml:space="preserve">Figure </w:t>
      </w:r>
      <w:r>
        <w:t>S</w:t>
      </w:r>
      <w:r>
        <w:rPr>
          <w:rFonts w:hint="eastAsia" w:eastAsia="宋体"/>
          <w:lang w:val="en-US" w:eastAsia="zh-CN"/>
        </w:rPr>
        <w:t>9</w:t>
      </w:r>
    </w:p>
    <w:p w14:paraId="0F69334C">
      <w:pPr>
        <w:spacing w:line="480" w:lineRule="auto"/>
        <w:jc w:val="both"/>
        <w:rPr>
          <w:rFonts w:eastAsia="宋体"/>
          <w:shd w:val="clear" w:color="auto" w:fill="FFFFFF"/>
          <w:lang w:eastAsia="zh-CN"/>
        </w:rPr>
      </w:pPr>
      <w:r>
        <w:rPr>
          <w:rFonts w:eastAsia="宋体"/>
          <w:shd w:val="clear" w:color="auto" w:fill="FFFFFF"/>
          <w:lang w:eastAsia="zh-CN"/>
        </w:rPr>
        <w:drawing>
          <wp:inline distT="0" distB="0" distL="114300" distR="114300">
            <wp:extent cx="5266690" cy="1892300"/>
            <wp:effectExtent l="0" t="0" r="6350" b="12700"/>
            <wp:docPr id="24" name="图片 24" descr="figure S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figure S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89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E1B550">
      <w:pPr>
        <w:spacing w:line="480" w:lineRule="auto"/>
        <w:jc w:val="both"/>
      </w:pPr>
      <w:r>
        <w:rPr>
          <w:rFonts w:hint="eastAsia"/>
          <w:b/>
          <w:bCs/>
        </w:rPr>
        <w:t>Figure S</w:t>
      </w:r>
      <w:r>
        <w:rPr>
          <w:rFonts w:hint="eastAsia" w:eastAsia="宋体"/>
          <w:b/>
          <w:bCs/>
          <w:lang w:val="en-US" w:eastAsia="zh-CN"/>
        </w:rPr>
        <w:t>9.</w:t>
      </w:r>
      <w:r>
        <w:rPr>
          <w:rFonts w:hint="eastAsia"/>
          <w:b/>
          <w:bCs/>
        </w:rPr>
        <w:t xml:space="preserve"> Knock</w:t>
      </w:r>
      <w:r>
        <w:rPr>
          <w:rFonts w:hint="eastAsia" w:eastAsiaTheme="minorEastAsia"/>
          <w:b/>
          <w:bCs/>
          <w:lang w:eastAsia="zh-CN"/>
        </w:rPr>
        <w:t>own</w:t>
      </w:r>
      <w:r>
        <w:rPr>
          <w:rFonts w:hint="eastAsia"/>
          <w:b/>
          <w:bCs/>
        </w:rPr>
        <w:t xml:space="preserve"> of PMPCB induces cellular senescence in CD8</w:t>
      </w:r>
      <w:r>
        <w:rPr>
          <w:rFonts w:hint="eastAsia"/>
          <w:b/>
          <w:bCs/>
          <w:vertAlign w:val="superscript"/>
        </w:rPr>
        <w:t>+</w:t>
      </w:r>
      <w:r>
        <w:rPr>
          <w:rFonts w:hint="eastAsia"/>
          <w:b/>
          <w:bCs/>
        </w:rPr>
        <w:t xml:space="preserve"> T cells</w:t>
      </w:r>
      <w:r>
        <w:rPr>
          <w:rFonts w:hint="eastAsia" w:eastAsia="宋体"/>
          <w:b/>
          <w:bCs/>
          <w:lang w:val="en-US" w:eastAsia="zh-CN"/>
        </w:rPr>
        <w:t xml:space="preserve">. </w:t>
      </w:r>
      <w:r>
        <w:t>(</w:t>
      </w:r>
      <w:r>
        <w:rPr>
          <w:rFonts w:hint="eastAsia" w:eastAsia="宋体"/>
          <w:lang w:val="en-US" w:eastAsia="zh-CN"/>
        </w:rPr>
        <w:t>a</w:t>
      </w:r>
      <w:r>
        <w:t xml:space="preserve">, </w:t>
      </w:r>
      <w:r>
        <w:rPr>
          <w:rFonts w:hint="eastAsia" w:eastAsia="宋体"/>
          <w:lang w:val="en-US" w:eastAsia="zh-CN"/>
        </w:rPr>
        <w:t>b</w:t>
      </w:r>
      <w:r>
        <w:t>) Representative immunofluorescence staining images showing γ-H2A.X</w:t>
      </w:r>
      <w:r>
        <w:rPr>
          <w:rFonts w:hint="eastAsia" w:eastAsiaTheme="minorEastAsia"/>
          <w:lang w:eastAsia="zh-CN"/>
        </w:rPr>
        <w:t xml:space="preserve"> level</w:t>
      </w:r>
      <w:r>
        <w:t xml:space="preserve"> (</w:t>
      </w:r>
      <w:r>
        <w:rPr>
          <w:rFonts w:hint="eastAsia" w:eastAsia="宋体"/>
          <w:lang w:val="en-US" w:eastAsia="zh-CN"/>
        </w:rPr>
        <w:t>a</w:t>
      </w:r>
      <w:r>
        <w:t>) and p21 expression (</w:t>
      </w:r>
      <w:r>
        <w:rPr>
          <w:rFonts w:hint="eastAsia" w:eastAsia="宋体"/>
          <w:lang w:val="en-US" w:eastAsia="zh-CN"/>
        </w:rPr>
        <w:t>b</w:t>
      </w:r>
      <w:r>
        <w:t xml:space="preserve">) in CD8⁺ T cells </w:t>
      </w:r>
      <w:r>
        <w:rPr>
          <w:rFonts w:hint="eastAsia" w:eastAsia="宋体"/>
          <w:shd w:val="clear" w:color="auto" w:fill="FFFFFF"/>
          <w:lang w:val="en-US" w:eastAsia="zh-CN"/>
        </w:rPr>
        <w:t xml:space="preserve">treated with </w:t>
      </w:r>
      <w:r>
        <w:rPr>
          <w:rFonts w:eastAsia="宋体"/>
          <w:shd w:val="clear" w:color="auto" w:fill="FFFFFF"/>
          <w:lang w:val="en-US" w:eastAsia="zh-CN"/>
        </w:rPr>
        <w:t>PMPCB-specific siRNA</w:t>
      </w:r>
      <w:r>
        <w:rPr>
          <w:rFonts w:hint="eastAsia" w:eastAsia="宋体"/>
          <w:shd w:val="clear" w:color="auto" w:fill="FFFFFF"/>
          <w:lang w:val="en-US" w:eastAsia="zh-CN"/>
        </w:rPr>
        <w:t xml:space="preserve"> or </w:t>
      </w:r>
      <w:r>
        <w:rPr>
          <w:rFonts w:eastAsia="宋体"/>
          <w:shd w:val="clear" w:color="auto" w:fill="FFFFFF"/>
          <w:lang w:val="en-US" w:eastAsia="zh-CN"/>
        </w:rPr>
        <w:t>control siRNA</w:t>
      </w:r>
      <w:r>
        <w:rPr>
          <w:rFonts w:hint="eastAsia" w:eastAsia="宋体"/>
          <w:shd w:val="clear" w:color="auto" w:fill="FFFFFF"/>
          <w:lang w:val="en-US" w:eastAsia="zh-CN"/>
        </w:rPr>
        <w:t xml:space="preserve">. </w:t>
      </w:r>
      <w:r>
        <w:t>Scale bar, 20 μm.</w:t>
      </w:r>
    </w:p>
    <w:p w14:paraId="5AF59B92">
      <w:pPr>
        <w:spacing w:line="480" w:lineRule="auto"/>
        <w:jc w:val="both"/>
      </w:pPr>
    </w:p>
    <w:p w14:paraId="1B5E2441">
      <w:pPr>
        <w:spacing w:line="480" w:lineRule="auto"/>
        <w:jc w:val="both"/>
      </w:pPr>
    </w:p>
    <w:p w14:paraId="05A1A0E4">
      <w:pPr>
        <w:spacing w:line="480" w:lineRule="auto"/>
        <w:jc w:val="both"/>
      </w:pPr>
    </w:p>
    <w:p w14:paraId="24A6050D">
      <w:pPr>
        <w:spacing w:line="480" w:lineRule="auto"/>
        <w:jc w:val="both"/>
      </w:pPr>
    </w:p>
    <w:p w14:paraId="101C7C5F">
      <w:pPr>
        <w:spacing w:line="480" w:lineRule="auto"/>
        <w:jc w:val="both"/>
      </w:pPr>
    </w:p>
    <w:p w14:paraId="2FDC0847">
      <w:pPr>
        <w:spacing w:line="480" w:lineRule="auto"/>
        <w:jc w:val="both"/>
      </w:pPr>
    </w:p>
    <w:p w14:paraId="27365560">
      <w:pPr>
        <w:spacing w:line="480" w:lineRule="auto"/>
        <w:jc w:val="both"/>
      </w:pPr>
    </w:p>
    <w:p w14:paraId="6A760596">
      <w:pPr>
        <w:spacing w:line="480" w:lineRule="auto"/>
        <w:jc w:val="both"/>
      </w:pPr>
    </w:p>
    <w:p w14:paraId="4CC130CB">
      <w:pPr>
        <w:spacing w:line="480" w:lineRule="auto"/>
        <w:jc w:val="both"/>
      </w:pPr>
    </w:p>
    <w:p w14:paraId="2A79CBC4">
      <w:pPr>
        <w:spacing w:line="480" w:lineRule="auto"/>
        <w:jc w:val="both"/>
      </w:pPr>
    </w:p>
    <w:p w14:paraId="1D8AE6E3">
      <w:pPr>
        <w:spacing w:line="480" w:lineRule="auto"/>
        <w:jc w:val="both"/>
      </w:pPr>
    </w:p>
    <w:p w14:paraId="74C84D48">
      <w:pPr>
        <w:spacing w:line="480" w:lineRule="auto"/>
        <w:jc w:val="both"/>
      </w:pPr>
    </w:p>
    <w:p w14:paraId="4349B38C">
      <w:pPr>
        <w:spacing w:after="312" w:afterLines="100"/>
        <w:rPr>
          <w:rFonts w:eastAsia="宋体"/>
          <w:lang w:val="en-US" w:eastAsia="zh-CN"/>
        </w:rPr>
      </w:pPr>
      <w:r>
        <w:rPr>
          <w:rFonts w:hint="eastAsia"/>
        </w:rPr>
        <w:t xml:space="preserve">Figure </w:t>
      </w:r>
      <w:r>
        <w:t>S</w:t>
      </w:r>
      <w:r>
        <w:rPr>
          <w:rFonts w:hint="eastAsia" w:eastAsia="宋体"/>
          <w:lang w:val="en-US" w:eastAsia="zh-CN"/>
        </w:rPr>
        <w:t>10</w:t>
      </w:r>
    </w:p>
    <w:p w14:paraId="7D79ED61">
      <w:pPr>
        <w:spacing w:after="312" w:afterLines="100"/>
        <w:rPr>
          <w:lang w:val="en-US" w:eastAsia="zh-CN"/>
        </w:rPr>
      </w:pPr>
      <w:r>
        <w:rPr>
          <w:lang w:val="en-US" w:eastAsia="zh-CN"/>
        </w:rPr>
        <w:drawing>
          <wp:inline distT="0" distB="0" distL="114300" distR="114300">
            <wp:extent cx="5266690" cy="5730875"/>
            <wp:effectExtent l="0" t="0" r="6350" b="14605"/>
            <wp:docPr id="25" name="图片 25" descr="figure S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figure S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5730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94952E">
      <w:pPr>
        <w:spacing w:line="480" w:lineRule="auto"/>
        <w:jc w:val="both"/>
      </w:pPr>
      <w:r>
        <w:rPr>
          <w:rFonts w:hint="eastAsia"/>
          <w:b/>
          <w:bCs/>
        </w:rPr>
        <w:t>Figure S</w:t>
      </w:r>
      <w:r>
        <w:rPr>
          <w:rFonts w:hint="eastAsia" w:eastAsia="宋体"/>
          <w:b/>
          <w:bCs/>
          <w:lang w:val="en-US" w:eastAsia="zh-CN"/>
        </w:rPr>
        <w:t>10.</w:t>
      </w:r>
      <w:r>
        <w:rPr>
          <w:rFonts w:hint="eastAsia"/>
          <w:b/>
          <w:bCs/>
        </w:rPr>
        <w:t xml:space="preserve"> PMPCB </w:t>
      </w:r>
      <w:r>
        <w:rPr>
          <w:rFonts w:hint="eastAsia" w:eastAsia="宋体"/>
          <w:b/>
          <w:bCs/>
          <w:lang w:val="en-US" w:eastAsia="zh-CN"/>
        </w:rPr>
        <w:t>overexpression</w:t>
      </w:r>
      <w:r>
        <w:rPr>
          <w:rFonts w:hint="eastAsia"/>
          <w:b/>
          <w:bCs/>
        </w:rPr>
        <w:t xml:space="preserve"> improves miR-550a-5p-induced mitochondrial dysfunction and cellular senescence in CD8</w:t>
      </w:r>
      <w:r>
        <w:rPr>
          <w:rFonts w:hint="eastAsia"/>
          <w:b/>
          <w:bCs/>
          <w:vertAlign w:val="superscript"/>
        </w:rPr>
        <w:t xml:space="preserve">+ </w:t>
      </w:r>
      <w:r>
        <w:rPr>
          <w:rFonts w:hint="eastAsia"/>
          <w:b/>
          <w:bCs/>
        </w:rPr>
        <w:t>T cells</w:t>
      </w:r>
      <w:r>
        <w:rPr>
          <w:rFonts w:hint="eastAsia" w:eastAsia="宋体"/>
          <w:b/>
          <w:bCs/>
          <w:lang w:val="en-US" w:eastAsia="zh-CN"/>
        </w:rPr>
        <w:t xml:space="preserve">. </w:t>
      </w:r>
      <w:r>
        <w:t>(</w:t>
      </w:r>
      <w:r>
        <w:rPr>
          <w:rFonts w:hint="eastAsia" w:eastAsia="宋体"/>
          <w:lang w:val="en-US" w:eastAsia="zh-CN"/>
        </w:rPr>
        <w:t>a</w:t>
      </w:r>
      <w:r>
        <w:t>)</w:t>
      </w:r>
      <w:r>
        <w:rPr>
          <w:rFonts w:hint="eastAsia" w:eastAsiaTheme="minorEastAsia"/>
          <w:lang w:eastAsia="zh-CN"/>
        </w:rPr>
        <w:t xml:space="preserve"> </w:t>
      </w:r>
      <w:r>
        <w:rPr>
          <w:rFonts w:eastAsiaTheme="minorEastAsia"/>
          <w:lang w:val="en-US" w:eastAsia="zh-CN"/>
        </w:rPr>
        <w:t>Western blot analysis of PMPCB</w:t>
      </w:r>
      <w:r>
        <w:rPr>
          <w:rFonts w:hint="eastAsia" w:eastAsiaTheme="minorEastAsia"/>
          <w:lang w:val="en-US" w:eastAsia="zh-CN"/>
        </w:rPr>
        <w:t xml:space="preserve"> protein levels</w:t>
      </w:r>
      <w:r>
        <w:rPr>
          <w:rFonts w:eastAsiaTheme="minorEastAsia"/>
          <w:lang w:val="en-US" w:eastAsia="zh-CN"/>
        </w:rPr>
        <w:t xml:space="preserve"> in CD8⁺ T cells transfected</w:t>
      </w:r>
      <w:r>
        <w:rPr>
          <w:rFonts w:hint="eastAsia" w:eastAsiaTheme="minorEastAsia"/>
          <w:lang w:val="en-US" w:eastAsia="zh-CN"/>
        </w:rPr>
        <w:t xml:space="preserve"> with </w:t>
      </w:r>
      <w:r>
        <w:t>PMPCB overexpression plasmid</w:t>
      </w:r>
      <w:r>
        <w:rPr>
          <w:rFonts w:hint="eastAsia" w:eastAsiaTheme="minorEastAsia"/>
          <w:lang w:val="en-US" w:eastAsia="zh-CN"/>
        </w:rPr>
        <w:t xml:space="preserve"> or </w:t>
      </w:r>
      <w:r>
        <w:rPr>
          <w:rFonts w:eastAsiaTheme="minorEastAsia"/>
          <w:lang w:val="en-US" w:eastAsia="zh-CN"/>
        </w:rPr>
        <w:t xml:space="preserve">control </w:t>
      </w:r>
      <w:r>
        <w:t>plasmid</w:t>
      </w:r>
      <w:r>
        <w:rPr>
          <w:rFonts w:hint="eastAsia" w:eastAsiaTheme="minorEastAsia"/>
          <w:lang w:val="en-US" w:eastAsia="zh-CN"/>
        </w:rPr>
        <w:t xml:space="preserve"> (n = 3). </w:t>
      </w:r>
      <w:r>
        <w:t>(</w:t>
      </w:r>
      <w:r>
        <w:rPr>
          <w:rFonts w:hint="eastAsia" w:eastAsia="宋体"/>
          <w:lang w:val="en-US" w:eastAsia="zh-CN"/>
        </w:rPr>
        <w:t>b</w:t>
      </w:r>
      <w:r>
        <w:t>–</w:t>
      </w:r>
      <w:r>
        <w:rPr>
          <w:rFonts w:hint="eastAsia" w:eastAsia="宋体"/>
          <w:lang w:val="en-US" w:eastAsia="zh-CN"/>
        </w:rPr>
        <w:t>g</w:t>
      </w:r>
      <w:r>
        <w:t>) Flow cytometric analysis of ROS levels (</w:t>
      </w:r>
      <w:r>
        <w:rPr>
          <w:rFonts w:hint="eastAsia" w:eastAsia="宋体"/>
          <w:lang w:val="en-US" w:eastAsia="zh-CN"/>
        </w:rPr>
        <w:t>b</w:t>
      </w:r>
      <w:r>
        <w:t xml:space="preserve">), TMRM </w:t>
      </w:r>
      <w:r>
        <w:rPr>
          <w:rFonts w:hint="eastAsia" w:eastAsiaTheme="minorEastAsia"/>
          <w:lang w:eastAsia="zh-CN"/>
        </w:rPr>
        <w:t>levles</w:t>
      </w:r>
      <w:r>
        <w:t xml:space="preserve"> (</w:t>
      </w:r>
      <w:r>
        <w:rPr>
          <w:rFonts w:hint="eastAsia" w:eastAsia="宋体"/>
          <w:lang w:val="en-US" w:eastAsia="zh-CN"/>
        </w:rPr>
        <w:t>c</w:t>
      </w:r>
      <w:r>
        <w:t>), proportion of CD57⁺ cells (</w:t>
      </w:r>
      <w:r>
        <w:rPr>
          <w:rFonts w:hint="eastAsia" w:eastAsia="宋体"/>
          <w:lang w:val="en-US" w:eastAsia="zh-CN"/>
        </w:rPr>
        <w:t>d</w:t>
      </w:r>
      <w:r>
        <w:t xml:space="preserve">), </w:t>
      </w:r>
      <w:r>
        <w:rPr>
          <w:lang w:val="en-US"/>
        </w:rPr>
        <w:t>SA-β-Gal activity</w:t>
      </w:r>
      <w:r>
        <w:rPr>
          <w:rFonts w:hint="eastAsia" w:eastAsiaTheme="minorEastAsia"/>
          <w:lang w:val="en-US" w:eastAsia="zh-CN"/>
        </w:rPr>
        <w:t xml:space="preserve"> </w:t>
      </w:r>
      <w:r>
        <w:t>(</w:t>
      </w:r>
      <w:r>
        <w:rPr>
          <w:rFonts w:hint="eastAsia" w:eastAsia="宋体"/>
          <w:lang w:val="en-US" w:eastAsia="zh-CN"/>
        </w:rPr>
        <w:t>e</w:t>
      </w:r>
      <w:r>
        <w:t xml:space="preserve">), γ-H2AX </w:t>
      </w:r>
      <w:r>
        <w:rPr>
          <w:rFonts w:hint="eastAsia" w:eastAsiaTheme="minorEastAsia"/>
          <w:lang w:eastAsia="zh-CN"/>
        </w:rPr>
        <w:t>level</w:t>
      </w:r>
      <w:r>
        <w:t xml:space="preserve"> (</w:t>
      </w:r>
      <w:r>
        <w:rPr>
          <w:rFonts w:hint="eastAsia" w:eastAsia="宋体"/>
          <w:lang w:val="en-US" w:eastAsia="zh-CN"/>
        </w:rPr>
        <w:t>f</w:t>
      </w:r>
      <w:r>
        <w:t>), p21 expression (</w:t>
      </w:r>
      <w:r>
        <w:rPr>
          <w:rFonts w:hint="eastAsia" w:eastAsia="宋体"/>
          <w:lang w:val="en-US" w:eastAsia="zh-CN"/>
        </w:rPr>
        <w:t>g</w:t>
      </w:r>
      <w:r>
        <w:t>) in CD8⁺ T cells co-transfected with PMPCB overexpression plasmid and miR-550a-5p mimic (n</w:t>
      </w:r>
      <w:r>
        <w:rPr>
          <w:rFonts w:hint="eastAsia" w:eastAsia="宋体"/>
          <w:lang w:val="en-US" w:eastAsia="zh-CN"/>
        </w:rPr>
        <w:t xml:space="preserve"> </w:t>
      </w:r>
      <w:r>
        <w:t>=</w:t>
      </w:r>
      <w:r>
        <w:rPr>
          <w:rFonts w:hint="eastAsia" w:eastAsia="宋体"/>
          <w:lang w:val="en-US" w:eastAsia="zh-CN"/>
        </w:rPr>
        <w:t xml:space="preserve"> </w:t>
      </w:r>
      <w:r>
        <w:t>6). (</w:t>
      </w:r>
      <w:r>
        <w:rPr>
          <w:rFonts w:hint="eastAsia" w:eastAsia="宋体"/>
          <w:lang w:val="en-US" w:eastAsia="zh-CN"/>
        </w:rPr>
        <w:t>h</w:t>
      </w:r>
      <w:r>
        <w:t xml:space="preserve">) </w:t>
      </w:r>
      <w:r>
        <w:rPr>
          <w:rFonts w:hint="eastAsia" w:eastAsiaTheme="minorEastAsia"/>
          <w:lang w:eastAsia="zh-CN"/>
        </w:rPr>
        <w:t>R</w:t>
      </w:r>
      <w:r>
        <w:t>elative telomere length</w:t>
      </w:r>
      <w:r>
        <w:rPr>
          <w:rFonts w:hint="eastAsia" w:eastAsiaTheme="minorEastAsia"/>
          <w:lang w:eastAsia="zh-CN"/>
        </w:rPr>
        <w:t xml:space="preserve"> </w:t>
      </w:r>
      <w:r>
        <w:t>in CD8⁺ T cells co-transfected with PMPCB overexpression plasmid and miR-550a-5p mimic</w:t>
      </w:r>
      <w:r>
        <w:rPr>
          <w:rFonts w:hint="eastAsia" w:eastAsiaTheme="minorEastAsia"/>
          <w:lang w:eastAsia="zh-CN"/>
        </w:rPr>
        <w:t xml:space="preserve"> (n = 6). (</w:t>
      </w:r>
      <w:r>
        <w:rPr>
          <w:rFonts w:hint="eastAsia" w:eastAsiaTheme="minorEastAsia"/>
          <w:lang w:val="en-US" w:eastAsia="zh-CN"/>
        </w:rPr>
        <w:t>i</w:t>
      </w:r>
      <w:r>
        <w:rPr>
          <w:rFonts w:hint="eastAsia" w:eastAsiaTheme="minorEastAsia"/>
          <w:lang w:eastAsia="zh-CN"/>
        </w:rPr>
        <w:t xml:space="preserve">) </w:t>
      </w:r>
      <w:r>
        <w:t>qPCR analysis of</w:t>
      </w:r>
      <w:r>
        <w:rPr>
          <w:rFonts w:hint="eastAsia" w:eastAsiaTheme="minorEastAsia"/>
          <w:lang w:eastAsia="zh-CN"/>
        </w:rPr>
        <w:t xml:space="preserve"> </w:t>
      </w:r>
      <w:r>
        <w:rPr>
          <w:rFonts w:eastAsiaTheme="minorEastAsia"/>
          <w:lang w:val="en-US" w:eastAsia="zh-CN"/>
        </w:rPr>
        <w:t>TNF-α and IFN-γ expression</w:t>
      </w:r>
      <w:r>
        <w:t xml:space="preserve"> in CD8⁺ T cells co-transfected with PMPCB overexpression plasmid and miR-550a-5p mimic</w:t>
      </w:r>
      <w:r>
        <w:rPr>
          <w:rFonts w:hint="eastAsia" w:eastAsiaTheme="minorEastAsia"/>
          <w:lang w:eastAsia="zh-CN"/>
        </w:rPr>
        <w:t xml:space="preserve"> (n = 6).</w:t>
      </w:r>
      <w:r>
        <w:t xml:space="preserve"> (</w:t>
      </w:r>
      <w:r>
        <w:rPr>
          <w:rFonts w:hint="eastAsia" w:eastAsia="宋体"/>
          <w:lang w:val="en-US" w:eastAsia="zh-CN"/>
        </w:rPr>
        <w:t>j</w:t>
      </w:r>
      <w:r>
        <w:t>) OCR in CD8⁺ T cells co-transfected with PMPCB overexpression plasmid and miR-550a-5p mimic</w:t>
      </w:r>
      <w:r>
        <w:rPr>
          <w:rFonts w:hint="eastAsia" w:eastAsiaTheme="minorEastAsia"/>
          <w:lang w:eastAsia="zh-CN"/>
        </w:rPr>
        <w:t xml:space="preserve"> (n = 6)</w:t>
      </w:r>
      <w:r>
        <w:t>, with quantitation of basal respiration, ATP production, and maximal respiration (n</w:t>
      </w:r>
      <w:r>
        <w:rPr>
          <w:rFonts w:hint="eastAsia" w:eastAsia="宋体"/>
          <w:lang w:val="en-US" w:eastAsia="zh-CN"/>
        </w:rPr>
        <w:t xml:space="preserve"> </w:t>
      </w:r>
      <w:r>
        <w:t>=</w:t>
      </w:r>
      <w:r>
        <w:rPr>
          <w:rFonts w:hint="eastAsia" w:eastAsia="宋体"/>
          <w:lang w:val="en-US" w:eastAsia="zh-CN"/>
        </w:rPr>
        <w:t xml:space="preserve"> </w:t>
      </w:r>
      <w:r>
        <w:t>9). Data are presented as mean</w:t>
      </w:r>
      <w:r>
        <w:rPr>
          <w:rFonts w:hint="eastAsia" w:eastAsia="宋体"/>
          <w:lang w:val="en-US" w:eastAsia="zh-CN"/>
        </w:rPr>
        <w:t xml:space="preserve"> </w:t>
      </w:r>
      <w:r>
        <w:t>±</w:t>
      </w:r>
      <w:r>
        <w:rPr>
          <w:rFonts w:hint="eastAsia" w:eastAsia="宋体"/>
          <w:lang w:val="en-US" w:eastAsia="zh-CN"/>
        </w:rPr>
        <w:t xml:space="preserve"> </w:t>
      </w:r>
      <w:r>
        <w:t xml:space="preserve">SD and were analyzed by one-way </w:t>
      </w:r>
      <w:r>
        <w:rPr>
          <w:shd w:val="clear" w:color="auto" w:fill="FFFFFF"/>
        </w:rPr>
        <w:t>ANOVA</w:t>
      </w:r>
      <w:r>
        <w:rPr>
          <w:rFonts w:hint="eastAsia" w:eastAsia="宋体"/>
          <w:lang w:val="en-US" w:eastAsia="zh-CN"/>
        </w:rPr>
        <w:t xml:space="preserve"> or </w:t>
      </w:r>
      <w:r>
        <w:rPr>
          <w:rFonts w:hint="eastAsia"/>
          <w:shd w:val="clear" w:color="auto" w:fill="FFFFFF"/>
        </w:rPr>
        <w:t xml:space="preserve">2-tailed, unpaired Student's t-test </w:t>
      </w:r>
      <w:r>
        <w:rPr>
          <w:rFonts w:hint="eastAsia" w:eastAsia="宋体"/>
          <w:shd w:val="clear" w:color="auto" w:fill="FFFFFF"/>
          <w:lang w:val="en-US" w:eastAsia="zh-CN"/>
        </w:rPr>
        <w:t>(a)</w:t>
      </w:r>
      <w:r>
        <w:t>. *P &lt; 0.05,</w:t>
      </w:r>
      <w:r>
        <w:rPr>
          <w:rFonts w:hint="eastAsia" w:eastAsia="宋体"/>
          <w:lang w:val="en-US" w:eastAsia="zh-CN"/>
        </w:rPr>
        <w:t xml:space="preserve"> </w:t>
      </w:r>
      <w:r>
        <w:t>***P &lt; 0.001.</w:t>
      </w:r>
    </w:p>
    <w:p w14:paraId="642BD1C3">
      <w:pPr>
        <w:spacing w:line="480" w:lineRule="auto"/>
        <w:jc w:val="both"/>
      </w:pPr>
    </w:p>
    <w:p w14:paraId="001B0DB2">
      <w:pPr>
        <w:spacing w:line="480" w:lineRule="auto"/>
        <w:jc w:val="both"/>
      </w:pPr>
      <w:bookmarkStart w:id="1" w:name="_GoBack"/>
      <w:bookmarkEnd w:id="1"/>
    </w:p>
    <w:p w14:paraId="28E90FB3">
      <w:pPr>
        <w:spacing w:line="480" w:lineRule="auto"/>
        <w:jc w:val="both"/>
      </w:pPr>
    </w:p>
    <w:p w14:paraId="100C1C0D">
      <w:pPr>
        <w:spacing w:line="480" w:lineRule="auto"/>
        <w:jc w:val="both"/>
      </w:pPr>
    </w:p>
    <w:p w14:paraId="3B9CCE4D">
      <w:pPr>
        <w:spacing w:line="480" w:lineRule="auto"/>
        <w:jc w:val="both"/>
      </w:pPr>
    </w:p>
    <w:p w14:paraId="09A346EE">
      <w:pPr>
        <w:spacing w:line="480" w:lineRule="auto"/>
        <w:jc w:val="both"/>
      </w:pPr>
    </w:p>
    <w:p w14:paraId="57E4BB9A">
      <w:pPr>
        <w:spacing w:line="480" w:lineRule="auto"/>
        <w:jc w:val="both"/>
      </w:pPr>
    </w:p>
    <w:p w14:paraId="7CFDE40D">
      <w:pPr>
        <w:spacing w:line="480" w:lineRule="auto"/>
        <w:jc w:val="both"/>
      </w:pPr>
    </w:p>
    <w:p w14:paraId="3322B026">
      <w:pPr>
        <w:spacing w:line="480" w:lineRule="auto"/>
        <w:jc w:val="both"/>
      </w:pPr>
    </w:p>
    <w:p w14:paraId="54CC6B29">
      <w:pPr>
        <w:spacing w:line="480" w:lineRule="auto"/>
        <w:jc w:val="both"/>
      </w:pPr>
    </w:p>
    <w:p w14:paraId="4137D711">
      <w:pPr>
        <w:spacing w:line="480" w:lineRule="auto"/>
        <w:jc w:val="both"/>
      </w:pPr>
    </w:p>
    <w:p w14:paraId="1642727B">
      <w:pPr>
        <w:spacing w:line="480" w:lineRule="auto"/>
        <w:jc w:val="both"/>
      </w:pPr>
    </w:p>
    <w:p w14:paraId="0E2EA138">
      <w:pPr>
        <w:spacing w:line="480" w:lineRule="auto"/>
        <w:jc w:val="both"/>
      </w:pPr>
    </w:p>
    <w:p w14:paraId="2DEB8E3A">
      <w:pPr>
        <w:spacing w:after="312" w:afterLines="100"/>
        <w:rPr>
          <w:rFonts w:eastAsia="宋体"/>
          <w:lang w:val="en-US" w:eastAsia="zh-CN"/>
        </w:rPr>
      </w:pPr>
      <w:r>
        <w:rPr>
          <w:rFonts w:hint="eastAsia"/>
        </w:rPr>
        <w:t xml:space="preserve">Figure </w:t>
      </w:r>
      <w:r>
        <w:t>S</w:t>
      </w:r>
      <w:r>
        <w:rPr>
          <w:rFonts w:hint="eastAsia" w:eastAsia="宋体"/>
          <w:lang w:val="en-US" w:eastAsia="zh-CN"/>
        </w:rPr>
        <w:t>11</w:t>
      </w:r>
    </w:p>
    <w:p w14:paraId="40BC1958">
      <w:pPr>
        <w:spacing w:line="480" w:lineRule="auto"/>
        <w:jc w:val="both"/>
        <w:rPr>
          <w:rFonts w:eastAsia="宋体"/>
          <w:b/>
          <w:bCs/>
          <w:lang w:eastAsia="zh-CN"/>
        </w:rPr>
      </w:pPr>
      <w:r>
        <w:rPr>
          <w:rFonts w:eastAsia="宋体"/>
          <w:b/>
          <w:bCs/>
          <w:lang w:eastAsia="zh-CN"/>
        </w:rPr>
        <w:drawing>
          <wp:inline distT="0" distB="0" distL="114300" distR="114300">
            <wp:extent cx="5266690" cy="7042150"/>
            <wp:effectExtent l="0" t="0" r="6350" b="13970"/>
            <wp:docPr id="26" name="图片 26" descr="figure S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figure S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42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250962">
      <w:pPr>
        <w:spacing w:line="480" w:lineRule="auto"/>
        <w:jc w:val="both"/>
        <w:rPr>
          <w:b/>
          <w:bCs/>
        </w:rPr>
      </w:pPr>
      <w:r>
        <w:rPr>
          <w:rFonts w:hint="eastAsia"/>
          <w:b/>
          <w:bCs/>
        </w:rPr>
        <w:t>Figure S1</w:t>
      </w:r>
      <w:r>
        <w:rPr>
          <w:rFonts w:hint="eastAsia" w:eastAsia="宋体"/>
          <w:b/>
          <w:bCs/>
          <w:lang w:val="en-US" w:eastAsia="zh-CN"/>
        </w:rPr>
        <w:t>1.</w:t>
      </w:r>
      <w:r>
        <w:rPr>
          <w:rFonts w:hint="eastAsia"/>
          <w:b/>
          <w:bCs/>
        </w:rPr>
        <w:t xml:space="preserve"> NMN counteracts platelets from ESRD patients-induced and NDUFS8-mediated cellular senescence in CD8</w:t>
      </w:r>
      <w:r>
        <w:rPr>
          <w:rFonts w:hint="eastAsia"/>
          <w:b/>
          <w:bCs/>
          <w:vertAlign w:val="superscript"/>
        </w:rPr>
        <w:t>+</w:t>
      </w:r>
      <w:r>
        <w:rPr>
          <w:rFonts w:hint="eastAsia"/>
          <w:b/>
          <w:bCs/>
        </w:rPr>
        <w:t xml:space="preserve"> T cells.</w:t>
      </w:r>
    </w:p>
    <w:p w14:paraId="26E5A1DC">
      <w:pPr>
        <w:spacing w:line="480" w:lineRule="auto"/>
        <w:jc w:val="both"/>
        <w:rPr>
          <w:lang w:val="en-US"/>
        </w:rPr>
      </w:pPr>
      <w:r>
        <w:t>(</w:t>
      </w:r>
      <w:r>
        <w:rPr>
          <w:rFonts w:hint="eastAsia" w:eastAsia="宋体"/>
          <w:lang w:val="en-US" w:eastAsia="zh-CN"/>
        </w:rPr>
        <w:t>a</w:t>
      </w:r>
      <w:r>
        <w:t>)</w:t>
      </w:r>
      <w:r>
        <w:rPr>
          <w:rFonts w:hint="eastAsia" w:eastAsia="宋体"/>
          <w:lang w:val="en-US" w:eastAsia="zh-CN"/>
        </w:rPr>
        <w:t xml:space="preserve"> </w:t>
      </w:r>
      <w:r>
        <w:t>qPCR analysis of NDUFS8 expression in CD8⁺</w:t>
      </w:r>
      <w:r>
        <w:rPr>
          <w:rFonts w:hint="eastAsia" w:eastAsia="宋体"/>
          <w:lang w:val="en-US" w:eastAsia="zh-CN"/>
        </w:rPr>
        <w:t xml:space="preserve"> </w:t>
      </w:r>
      <w:r>
        <w:t xml:space="preserve">T cells </w:t>
      </w:r>
      <w:r>
        <w:rPr>
          <w:lang w:val="en-US"/>
        </w:rPr>
        <w:t>of healthy controls and ESRD patients</w:t>
      </w:r>
      <w:r>
        <w:t xml:space="preserve"> (n</w:t>
      </w:r>
      <w:r>
        <w:rPr>
          <w:rFonts w:hint="eastAsia" w:eastAsia="宋体"/>
          <w:lang w:val="en-US" w:eastAsia="zh-CN"/>
        </w:rPr>
        <w:t xml:space="preserve"> </w:t>
      </w:r>
      <w:r>
        <w:t>=</w:t>
      </w:r>
      <w:r>
        <w:rPr>
          <w:rFonts w:hint="eastAsia" w:eastAsia="宋体"/>
          <w:lang w:val="en-US" w:eastAsia="zh-CN"/>
        </w:rPr>
        <w:t xml:space="preserve"> </w:t>
      </w:r>
      <w:r>
        <w:t>9). (</w:t>
      </w:r>
      <w:r>
        <w:rPr>
          <w:rFonts w:hint="eastAsia" w:eastAsia="宋体"/>
          <w:lang w:val="en-US" w:eastAsia="zh-CN"/>
        </w:rPr>
        <w:t>b</w:t>
      </w:r>
      <w:r>
        <w:t>) qPCR analysis of NDUFS8 expression in CD8⁺ T cells</w:t>
      </w:r>
      <w:r>
        <w:rPr>
          <w:rFonts w:hint="eastAsia" w:eastAsiaTheme="minorEastAsia"/>
          <w:lang w:eastAsia="zh-CN"/>
        </w:rPr>
        <w:t xml:space="preserve"> </w:t>
      </w:r>
      <w:r>
        <w:t>co-transfected with PMPCB overexpression plasmid and miR-550a-5p mimic (n</w:t>
      </w:r>
      <w:r>
        <w:rPr>
          <w:rFonts w:hint="eastAsia" w:eastAsia="宋体"/>
          <w:lang w:val="en-US" w:eastAsia="zh-CN"/>
        </w:rPr>
        <w:t xml:space="preserve"> </w:t>
      </w:r>
      <w:r>
        <w:t>=</w:t>
      </w:r>
      <w:r>
        <w:rPr>
          <w:rFonts w:hint="eastAsia" w:eastAsia="宋体"/>
          <w:lang w:val="en-US" w:eastAsia="zh-CN"/>
        </w:rPr>
        <w:t xml:space="preserve"> </w:t>
      </w:r>
      <w:r>
        <w:t>6).</w:t>
      </w:r>
      <w:r>
        <w:rPr>
          <w:rFonts w:hint="eastAsia" w:eastAsiaTheme="minorEastAsia"/>
          <w:lang w:eastAsia="zh-CN"/>
        </w:rPr>
        <w:t xml:space="preserve"> </w:t>
      </w:r>
      <w:r>
        <w:t>(</w:t>
      </w:r>
      <w:r>
        <w:rPr>
          <w:rFonts w:hint="eastAsia" w:eastAsia="宋体"/>
          <w:lang w:val="en-US" w:eastAsia="zh-CN"/>
        </w:rPr>
        <w:t>c</w:t>
      </w:r>
      <w:r>
        <w:t>) Western blot analysis of NDUFS8 expression in</w:t>
      </w:r>
      <w:r>
        <w:rPr>
          <w:rFonts w:hint="eastAsia" w:eastAsiaTheme="minorEastAsia"/>
          <w:lang w:eastAsia="zh-CN"/>
        </w:rPr>
        <w:t xml:space="preserve"> </w:t>
      </w:r>
      <w:r>
        <w:t xml:space="preserve">peripheral blood CD8⁺ T cells </w:t>
      </w:r>
      <w:r>
        <w:rPr>
          <w:rFonts w:hint="eastAsia" w:eastAsiaTheme="minorEastAsia"/>
          <w:lang w:eastAsia="zh-CN"/>
        </w:rPr>
        <w:t>of mouse t</w:t>
      </w:r>
      <w:r>
        <w:rPr>
          <w:rFonts w:hint="eastAsia"/>
          <w:lang w:val="en-US"/>
        </w:rPr>
        <w:t xml:space="preserve">reated with or without </w:t>
      </w:r>
      <w:r>
        <w:rPr>
          <w:lang w:val="en-US"/>
        </w:rPr>
        <w:t xml:space="preserve">miR-550a-5p </w:t>
      </w:r>
      <w:r>
        <w:rPr>
          <w:rFonts w:hint="eastAsia" w:eastAsiaTheme="minorEastAsia"/>
          <w:lang w:val="en-US" w:eastAsia="zh-CN"/>
        </w:rPr>
        <w:t xml:space="preserve">agomir </w:t>
      </w:r>
      <w:r>
        <w:t>(n</w:t>
      </w:r>
      <w:r>
        <w:rPr>
          <w:rFonts w:hint="eastAsia" w:eastAsia="宋体"/>
          <w:lang w:val="en-US" w:eastAsia="zh-CN"/>
        </w:rPr>
        <w:t xml:space="preserve"> </w:t>
      </w:r>
      <w:r>
        <w:t>=</w:t>
      </w:r>
      <w:r>
        <w:rPr>
          <w:rFonts w:hint="eastAsia" w:eastAsia="宋体"/>
          <w:lang w:val="en-US" w:eastAsia="zh-CN"/>
        </w:rPr>
        <w:t xml:space="preserve"> </w:t>
      </w:r>
      <w:r>
        <w:t>3).</w:t>
      </w:r>
      <w:r>
        <w:rPr>
          <w:rFonts w:hint="eastAsia" w:eastAsia="宋体"/>
          <w:lang w:val="en-US" w:eastAsia="zh-CN"/>
        </w:rPr>
        <w:t xml:space="preserve"> (d) </w:t>
      </w:r>
      <w:r>
        <w:t>Western blot analysis of NDUFS8 expression</w:t>
      </w:r>
      <w:r>
        <w:rPr>
          <w:rFonts w:hint="eastAsia" w:eastAsiaTheme="minorEastAsia"/>
          <w:lang w:eastAsia="zh-CN"/>
        </w:rPr>
        <w:t xml:space="preserve"> </w:t>
      </w:r>
      <w:r>
        <w:t>co-transfected with PMPCB overexpression plasmid and miR-550a-5p mimic</w:t>
      </w:r>
      <w:r>
        <w:rPr>
          <w:rFonts w:hint="eastAsia" w:eastAsiaTheme="minorEastAsia"/>
          <w:lang w:val="en-US" w:eastAsia="zh-CN"/>
        </w:rPr>
        <w:t xml:space="preserve"> </w:t>
      </w:r>
      <w:r>
        <w:t>(n</w:t>
      </w:r>
      <w:r>
        <w:rPr>
          <w:rFonts w:hint="eastAsia" w:eastAsia="宋体"/>
          <w:lang w:val="en-US" w:eastAsia="zh-CN"/>
        </w:rPr>
        <w:t xml:space="preserve"> </w:t>
      </w:r>
      <w:r>
        <w:t>=</w:t>
      </w:r>
      <w:r>
        <w:rPr>
          <w:rFonts w:hint="eastAsia" w:eastAsia="宋体"/>
          <w:lang w:val="en-US" w:eastAsia="zh-CN"/>
        </w:rPr>
        <w:t xml:space="preserve"> </w:t>
      </w:r>
      <w:r>
        <w:t>3)</w:t>
      </w:r>
      <w:r>
        <w:rPr>
          <w:rFonts w:hint="eastAsia" w:eastAsiaTheme="minorEastAsia"/>
          <w:lang w:eastAsia="zh-CN"/>
        </w:rPr>
        <w:t>. (</w:t>
      </w:r>
      <w:r>
        <w:rPr>
          <w:rFonts w:hint="eastAsia" w:eastAsiaTheme="minorEastAsia"/>
          <w:lang w:val="en-US" w:eastAsia="zh-CN"/>
        </w:rPr>
        <w:t>e</w:t>
      </w:r>
      <w:r>
        <w:rPr>
          <w:rFonts w:hint="eastAsia" w:eastAsiaTheme="minorEastAsia"/>
          <w:lang w:eastAsia="zh-CN"/>
        </w:rPr>
        <w:t xml:space="preserve">) </w:t>
      </w:r>
      <w:r>
        <w:t>NAD⁺ content and NAD⁺/NADH ratio in CD8⁺</w:t>
      </w:r>
      <w:r>
        <w:rPr>
          <w:rFonts w:hint="eastAsia" w:eastAsiaTheme="minorEastAsia"/>
          <w:lang w:eastAsia="zh-CN"/>
        </w:rPr>
        <w:t xml:space="preserve"> </w:t>
      </w:r>
      <w:r>
        <w:t>T cells co-transfected with PMPCB overexpression plasmid and miR-550a-5p mimic (n</w:t>
      </w:r>
      <w:r>
        <w:rPr>
          <w:rFonts w:hint="eastAsia" w:eastAsia="宋体"/>
          <w:lang w:val="en-US" w:eastAsia="zh-CN"/>
        </w:rPr>
        <w:t xml:space="preserve"> </w:t>
      </w:r>
      <w:r>
        <w:t>=</w:t>
      </w:r>
      <w:r>
        <w:rPr>
          <w:rFonts w:hint="eastAsia" w:eastAsia="宋体"/>
          <w:lang w:val="en-US" w:eastAsia="zh-CN"/>
        </w:rPr>
        <w:t xml:space="preserve"> </w:t>
      </w:r>
      <w:r>
        <w:t>6). (</w:t>
      </w:r>
      <w:r>
        <w:rPr>
          <w:rFonts w:hint="eastAsia" w:eastAsia="宋体"/>
          <w:lang w:val="en-US" w:eastAsia="zh-CN"/>
        </w:rPr>
        <w:t>f</w:t>
      </w:r>
      <w:r>
        <w:t xml:space="preserve">) Flow cytometric analysis </w:t>
      </w:r>
      <w:r>
        <w:rPr>
          <w:rFonts w:hint="eastAsia" w:eastAsiaTheme="minorEastAsia"/>
          <w:lang w:eastAsia="zh-CN"/>
        </w:rPr>
        <w:t xml:space="preserve">the </w:t>
      </w:r>
      <w:r>
        <w:t xml:space="preserve">proportion of CD57⁺ cells </w:t>
      </w:r>
      <w:r>
        <w:rPr>
          <w:rFonts w:hint="eastAsia"/>
          <w:lang w:val="en-US"/>
        </w:rPr>
        <w:t xml:space="preserve">in </w:t>
      </w:r>
      <w:r>
        <w:rPr>
          <w:lang w:val="en-US"/>
        </w:rPr>
        <w:t>CD8⁺ T cells</w:t>
      </w:r>
      <w:r>
        <w:rPr>
          <w:rFonts w:hint="eastAsia"/>
          <w:lang w:val="en-US"/>
        </w:rPr>
        <w:t xml:space="preserve"> pretreated with or without </w:t>
      </w:r>
      <w:r>
        <w:rPr>
          <w:lang w:val="en-US"/>
        </w:rPr>
        <w:t>100 µM</w:t>
      </w:r>
      <w:r>
        <w:rPr>
          <w:rFonts w:hint="eastAsia"/>
          <w:lang w:val="en-US"/>
        </w:rPr>
        <w:t xml:space="preserve"> NMN under</w:t>
      </w:r>
      <w:r>
        <w:rPr>
          <w:lang w:val="en-US"/>
        </w:rPr>
        <w:t xml:space="preserve"> co-cultured </w:t>
      </w:r>
      <w:r>
        <w:rPr>
          <w:rFonts w:hint="eastAsia"/>
          <w:lang w:val="en-US"/>
        </w:rPr>
        <w:t>system</w:t>
      </w:r>
      <w:r>
        <w:t xml:space="preserve"> (n</w:t>
      </w:r>
      <w:r>
        <w:rPr>
          <w:rFonts w:hint="eastAsia" w:eastAsia="宋体"/>
          <w:lang w:val="en-US" w:eastAsia="zh-CN"/>
        </w:rPr>
        <w:t xml:space="preserve"> </w:t>
      </w:r>
      <w:r>
        <w:t>=</w:t>
      </w:r>
      <w:r>
        <w:rPr>
          <w:rFonts w:hint="eastAsia" w:eastAsia="宋体"/>
          <w:lang w:val="en-US" w:eastAsia="zh-CN"/>
        </w:rPr>
        <w:t xml:space="preserve"> </w:t>
      </w:r>
      <w:r>
        <w:t>6). (</w:t>
      </w:r>
      <w:r>
        <w:rPr>
          <w:rFonts w:hint="eastAsia" w:eastAsia="宋体"/>
          <w:lang w:val="en-US" w:eastAsia="zh-CN"/>
        </w:rPr>
        <w:t>g</w:t>
      </w:r>
      <w:r>
        <w:t xml:space="preserve">) qPCR analysis of </w:t>
      </w:r>
      <w:r>
        <w:rPr>
          <w:rFonts w:eastAsiaTheme="minorEastAsia"/>
          <w:lang w:val="en-US" w:eastAsia="zh-CN"/>
        </w:rPr>
        <w:t>TNF-α and IFN-γ expression</w:t>
      </w:r>
      <w:r>
        <w:t xml:space="preserve"> </w:t>
      </w:r>
      <w:r>
        <w:rPr>
          <w:rFonts w:hint="eastAsia"/>
          <w:lang w:val="en-US"/>
        </w:rPr>
        <w:t xml:space="preserve">in </w:t>
      </w:r>
      <w:r>
        <w:rPr>
          <w:lang w:val="en-US"/>
        </w:rPr>
        <w:t>CD8⁺ T cells</w:t>
      </w:r>
      <w:r>
        <w:rPr>
          <w:rFonts w:hint="eastAsia"/>
          <w:lang w:val="en-US"/>
        </w:rPr>
        <w:t xml:space="preserve"> pretreated with or without </w:t>
      </w:r>
      <w:r>
        <w:rPr>
          <w:lang w:val="en-US"/>
        </w:rPr>
        <w:t>100 µM</w:t>
      </w:r>
      <w:r>
        <w:rPr>
          <w:rFonts w:hint="eastAsia"/>
          <w:lang w:val="en-US"/>
        </w:rPr>
        <w:t xml:space="preserve"> NMN under</w:t>
      </w:r>
      <w:r>
        <w:rPr>
          <w:lang w:val="en-US"/>
        </w:rPr>
        <w:t xml:space="preserve"> co-cultured </w:t>
      </w:r>
      <w:r>
        <w:rPr>
          <w:rFonts w:hint="eastAsia"/>
          <w:lang w:val="en-US"/>
        </w:rPr>
        <w:t>system</w:t>
      </w:r>
      <w:r>
        <w:t xml:space="preserve"> (n</w:t>
      </w:r>
      <w:r>
        <w:rPr>
          <w:rFonts w:hint="eastAsia" w:eastAsia="宋体"/>
          <w:lang w:val="en-US" w:eastAsia="zh-CN"/>
        </w:rPr>
        <w:t xml:space="preserve"> </w:t>
      </w:r>
      <w:r>
        <w:t>=</w:t>
      </w:r>
      <w:r>
        <w:rPr>
          <w:rFonts w:hint="eastAsia" w:eastAsia="宋体"/>
          <w:lang w:val="en-US" w:eastAsia="zh-CN"/>
        </w:rPr>
        <w:t xml:space="preserve"> </w:t>
      </w:r>
      <w:r>
        <w:t>6)</w:t>
      </w:r>
      <w:r>
        <w:rPr>
          <w:rFonts w:hint="eastAsia" w:eastAsiaTheme="minorEastAsia"/>
          <w:lang w:eastAsia="zh-CN"/>
        </w:rPr>
        <w:t>. (</w:t>
      </w:r>
      <w:r>
        <w:rPr>
          <w:rFonts w:hint="eastAsia" w:eastAsiaTheme="minorEastAsia"/>
          <w:lang w:val="en-US" w:eastAsia="zh-CN"/>
        </w:rPr>
        <w:t>h</w:t>
      </w:r>
      <w:r>
        <w:rPr>
          <w:rFonts w:hint="eastAsia" w:eastAsiaTheme="minorEastAsia"/>
          <w:lang w:eastAsia="zh-CN"/>
        </w:rPr>
        <w:t>) R</w:t>
      </w:r>
      <w:r>
        <w:t xml:space="preserve">elative telomere length in CD8⁺ T cells </w:t>
      </w:r>
      <w:r>
        <w:rPr>
          <w:rFonts w:hint="eastAsia"/>
          <w:lang w:val="en-US"/>
        </w:rPr>
        <w:t xml:space="preserve">pretreated with or without </w:t>
      </w:r>
      <w:r>
        <w:rPr>
          <w:lang w:val="en-US"/>
        </w:rPr>
        <w:t>100 µM</w:t>
      </w:r>
      <w:r>
        <w:rPr>
          <w:rFonts w:hint="eastAsia"/>
          <w:lang w:val="en-US"/>
        </w:rPr>
        <w:t xml:space="preserve"> NMN under</w:t>
      </w:r>
      <w:r>
        <w:rPr>
          <w:lang w:val="en-US"/>
        </w:rPr>
        <w:t xml:space="preserve"> co-cultured </w:t>
      </w:r>
      <w:r>
        <w:rPr>
          <w:rFonts w:hint="eastAsia"/>
          <w:lang w:val="en-US"/>
        </w:rPr>
        <w:t>system</w:t>
      </w:r>
      <w:r>
        <w:t xml:space="preserve"> (n</w:t>
      </w:r>
      <w:r>
        <w:rPr>
          <w:rFonts w:hint="eastAsia" w:eastAsia="宋体"/>
          <w:lang w:val="en-US" w:eastAsia="zh-CN"/>
        </w:rPr>
        <w:t xml:space="preserve"> </w:t>
      </w:r>
      <w:r>
        <w:t>=</w:t>
      </w:r>
      <w:r>
        <w:rPr>
          <w:rFonts w:hint="eastAsia" w:eastAsia="宋体"/>
          <w:lang w:val="en-US" w:eastAsia="zh-CN"/>
        </w:rPr>
        <w:t xml:space="preserve"> </w:t>
      </w:r>
      <w:r>
        <w:t>6). (</w:t>
      </w:r>
      <w:r>
        <w:rPr>
          <w:rFonts w:hint="eastAsia" w:eastAsia="宋体"/>
          <w:lang w:val="en-US" w:eastAsia="zh-CN"/>
        </w:rPr>
        <w:t>i</w:t>
      </w:r>
      <w:r>
        <w:t xml:space="preserve">) OCR in CD8⁺ T cells </w:t>
      </w:r>
      <w:r>
        <w:rPr>
          <w:rFonts w:hint="eastAsia"/>
          <w:lang w:val="en-US"/>
        </w:rPr>
        <w:t xml:space="preserve">pretreated with or without </w:t>
      </w:r>
      <w:r>
        <w:rPr>
          <w:lang w:val="en-US"/>
        </w:rPr>
        <w:t>100 µM</w:t>
      </w:r>
      <w:r>
        <w:rPr>
          <w:rFonts w:hint="eastAsia"/>
          <w:lang w:val="en-US"/>
        </w:rPr>
        <w:t xml:space="preserve"> NMN under</w:t>
      </w:r>
      <w:r>
        <w:rPr>
          <w:lang w:val="en-US"/>
        </w:rPr>
        <w:t xml:space="preserve"> co-cultured </w:t>
      </w:r>
      <w:r>
        <w:rPr>
          <w:rFonts w:hint="eastAsia"/>
          <w:lang w:val="en-US"/>
        </w:rPr>
        <w:t>system</w:t>
      </w:r>
      <w:r>
        <w:t>, with quantitation of basal respiration, ATP production, and maximal respiration (n</w:t>
      </w:r>
      <w:r>
        <w:rPr>
          <w:rFonts w:hint="eastAsia" w:eastAsia="宋体"/>
          <w:lang w:val="en-US" w:eastAsia="zh-CN"/>
        </w:rPr>
        <w:t xml:space="preserve"> </w:t>
      </w:r>
      <w:r>
        <w:t>=</w:t>
      </w:r>
      <w:r>
        <w:rPr>
          <w:rFonts w:hint="eastAsia" w:eastAsia="宋体"/>
          <w:lang w:val="en-US" w:eastAsia="zh-CN"/>
        </w:rPr>
        <w:t xml:space="preserve"> </w:t>
      </w:r>
      <w:r>
        <w:t>9). Data are presented as mean</w:t>
      </w:r>
      <w:r>
        <w:rPr>
          <w:rFonts w:hint="eastAsia" w:eastAsia="宋体"/>
          <w:lang w:val="en-US" w:eastAsia="zh-CN"/>
        </w:rPr>
        <w:t xml:space="preserve"> </w:t>
      </w:r>
      <w:r>
        <w:t>±</w:t>
      </w:r>
      <w:r>
        <w:rPr>
          <w:rFonts w:hint="eastAsia" w:eastAsia="宋体"/>
          <w:lang w:val="en-US" w:eastAsia="zh-CN"/>
        </w:rPr>
        <w:t xml:space="preserve"> </w:t>
      </w:r>
      <w:r>
        <w:t xml:space="preserve">SD and were analyzed by </w:t>
      </w:r>
      <w:r>
        <w:rPr>
          <w:shd w:val="clear" w:color="auto" w:fill="FFFFFF"/>
        </w:rPr>
        <w:t>ANOVA</w:t>
      </w:r>
      <w:r>
        <w:rPr>
          <w:rFonts w:hint="eastAsia" w:eastAsia="宋体"/>
          <w:lang w:val="en-US" w:eastAsia="zh-CN"/>
        </w:rPr>
        <w:t xml:space="preserve"> or </w:t>
      </w:r>
      <w:r>
        <w:rPr>
          <w:rFonts w:hint="eastAsia"/>
          <w:shd w:val="clear" w:color="auto" w:fill="FFFFFF"/>
        </w:rPr>
        <w:t xml:space="preserve">2-tailed, unpaired Student's t-test </w:t>
      </w:r>
      <w:r>
        <w:rPr>
          <w:rFonts w:hint="eastAsia" w:eastAsia="宋体"/>
          <w:shd w:val="clear" w:color="auto" w:fill="FFFFFF"/>
          <w:lang w:val="en-US" w:eastAsia="zh-CN"/>
        </w:rPr>
        <w:t>(a, c)</w:t>
      </w:r>
      <w:r>
        <w:t xml:space="preserve">. </w:t>
      </w:r>
      <w:r>
        <w:rPr>
          <w:rFonts w:hint="eastAsia"/>
          <w:lang w:val="en-US" w:eastAsia="zh-CN"/>
        </w:rPr>
        <w:t>ns:</w:t>
      </w:r>
      <w:r>
        <w:t xml:space="preserve"> no significance.</w:t>
      </w:r>
      <w:r>
        <w:rPr>
          <w:rFonts w:hint="eastAsia" w:eastAsia="宋体"/>
          <w:lang w:val="en-US" w:eastAsia="zh-CN"/>
        </w:rPr>
        <w:t xml:space="preserve"> </w:t>
      </w:r>
      <w:r>
        <w:rPr>
          <w:rFonts w:hint="eastAsia"/>
          <w:shd w:val="clear" w:color="auto" w:fill="FFFFFF"/>
        </w:rPr>
        <w:t>*P &lt; 0.05, **P &lt; 0.01, ***P &lt; 0.001.</w:t>
      </w:r>
    </w:p>
    <w:p w14:paraId="527F43AC">
      <w:pPr>
        <w:spacing w:line="480" w:lineRule="auto"/>
        <w:jc w:val="both"/>
        <w:rPr>
          <w:shd w:val="clear" w:color="auto" w:fill="FFFFFF"/>
        </w:rPr>
      </w:pPr>
    </w:p>
    <w:p w14:paraId="7753F3A6">
      <w:pPr>
        <w:spacing w:line="480" w:lineRule="auto"/>
        <w:jc w:val="both"/>
        <w:rPr>
          <w:shd w:val="clear" w:color="auto" w:fill="FFFFFF"/>
        </w:rPr>
      </w:pPr>
    </w:p>
    <w:p w14:paraId="6AB72329">
      <w:pPr>
        <w:spacing w:line="480" w:lineRule="auto"/>
        <w:jc w:val="both"/>
        <w:rPr>
          <w:shd w:val="clear" w:color="auto" w:fill="FFFFFF"/>
        </w:rPr>
      </w:pPr>
    </w:p>
    <w:p w14:paraId="0ECCBF7A">
      <w:pPr>
        <w:spacing w:line="480" w:lineRule="auto"/>
        <w:jc w:val="both"/>
        <w:rPr>
          <w:shd w:val="clear" w:color="auto" w:fill="FFFFFF"/>
        </w:rPr>
      </w:pPr>
    </w:p>
    <w:p w14:paraId="0FF2F12C">
      <w:pPr>
        <w:spacing w:after="312" w:afterLines="100"/>
        <w:rPr>
          <w:rFonts w:hint="eastAsia" w:eastAsia="宋体"/>
          <w:lang w:val="en-US" w:eastAsia="zh-CN"/>
        </w:rPr>
      </w:pPr>
      <w:r>
        <w:rPr>
          <w:rFonts w:hint="eastAsia"/>
        </w:rPr>
        <w:t xml:space="preserve">Figure </w:t>
      </w:r>
      <w:r>
        <w:t>S</w:t>
      </w:r>
      <w:r>
        <w:rPr>
          <w:rFonts w:hint="eastAsia" w:eastAsia="宋体"/>
          <w:lang w:val="en-US" w:eastAsia="zh-CN"/>
        </w:rPr>
        <w:t>12</w:t>
      </w:r>
    </w:p>
    <w:p w14:paraId="17087ED8">
      <w:pPr>
        <w:spacing w:after="312" w:afterLines="100"/>
        <w:rPr>
          <w:rFonts w:hint="eastAsia" w:eastAsia="宋体"/>
          <w:lang w:val="en-US" w:eastAsia="zh-CN"/>
        </w:rPr>
      </w:pPr>
      <w:r>
        <w:rPr>
          <w:rFonts w:hint="eastAsia" w:eastAsia="宋体"/>
          <w:lang w:val="en-US" w:eastAsia="zh-CN"/>
        </w:rPr>
        <w:drawing>
          <wp:inline distT="0" distB="0" distL="114300" distR="114300">
            <wp:extent cx="5266690" cy="4747895"/>
            <wp:effectExtent l="0" t="0" r="6350" b="6985"/>
            <wp:docPr id="1" name="图片 1" descr="figure S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figure S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4747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0EEE22">
      <w:pPr>
        <w:spacing w:line="480" w:lineRule="auto"/>
        <w:jc w:val="both"/>
        <w:rPr>
          <w:b/>
          <w:bCs/>
        </w:rPr>
      </w:pPr>
      <w:r>
        <w:rPr>
          <w:rFonts w:hint="eastAsia"/>
          <w:b/>
          <w:bCs/>
        </w:rPr>
        <w:t>Figure S1</w:t>
      </w:r>
      <w:r>
        <w:rPr>
          <w:rFonts w:hint="eastAsia" w:eastAsia="宋体"/>
          <w:b/>
          <w:bCs/>
          <w:lang w:val="en-US" w:eastAsia="zh-CN"/>
        </w:rPr>
        <w:t>2.</w:t>
      </w:r>
      <w:r>
        <w:rPr>
          <w:rFonts w:hint="eastAsia"/>
          <w:b/>
          <w:bCs/>
        </w:rPr>
        <w:t xml:space="preserve"> NMN counteracts MiR-550a-5p agomir-induced</w:t>
      </w:r>
      <w:r>
        <w:rPr>
          <w:rFonts w:hint="eastAsia" w:eastAsia="宋体"/>
          <w:b/>
          <w:bCs/>
          <w:lang w:val="en-US" w:eastAsia="zh-CN"/>
        </w:rPr>
        <w:t xml:space="preserve"> </w:t>
      </w:r>
      <w:r>
        <w:rPr>
          <w:rFonts w:hint="eastAsia"/>
          <w:b/>
          <w:bCs/>
        </w:rPr>
        <w:t xml:space="preserve">cellular senescence </w:t>
      </w:r>
      <w:r>
        <w:rPr>
          <w:rFonts w:hint="eastAsia" w:eastAsia="宋体"/>
          <w:b/>
          <w:bCs/>
          <w:lang w:val="en-US" w:eastAsia="zh-CN"/>
        </w:rPr>
        <w:t xml:space="preserve">of </w:t>
      </w:r>
      <w:r>
        <w:rPr>
          <w:rFonts w:hint="eastAsia"/>
          <w:b/>
          <w:bCs/>
        </w:rPr>
        <w:t>CD8</w:t>
      </w:r>
      <w:r>
        <w:rPr>
          <w:rFonts w:hint="eastAsia"/>
          <w:b/>
          <w:bCs/>
          <w:vertAlign w:val="superscript"/>
        </w:rPr>
        <w:t>+</w:t>
      </w:r>
      <w:r>
        <w:rPr>
          <w:rFonts w:hint="eastAsia"/>
          <w:b/>
          <w:bCs/>
        </w:rPr>
        <w:t xml:space="preserve"> T cells</w:t>
      </w:r>
      <w:r>
        <w:rPr>
          <w:rFonts w:hint="eastAsia" w:eastAsia="宋体"/>
          <w:b/>
          <w:bCs/>
          <w:lang w:val="en-US" w:eastAsia="zh-CN"/>
        </w:rPr>
        <w:t xml:space="preserve"> </w:t>
      </w:r>
      <w:r>
        <w:rPr>
          <w:rFonts w:hint="eastAsia"/>
          <w:b/>
          <w:bCs/>
        </w:rPr>
        <w:t>in vivo.</w:t>
      </w:r>
    </w:p>
    <w:p w14:paraId="40D28BDB">
      <w:pPr>
        <w:spacing w:line="480" w:lineRule="auto"/>
        <w:jc w:val="both"/>
        <w:rPr>
          <w:shd w:val="clear" w:color="auto" w:fill="FFFFFF"/>
        </w:rPr>
      </w:pPr>
      <w:r>
        <w:rPr>
          <w:rFonts w:hint="eastAsia"/>
          <w:shd w:val="clear" w:color="auto" w:fill="FFFFFF"/>
        </w:rPr>
        <w:t>(</w:t>
      </w:r>
      <w:r>
        <w:rPr>
          <w:rFonts w:hint="eastAsia" w:eastAsia="宋体"/>
          <w:shd w:val="clear" w:color="auto" w:fill="FFFFFF"/>
          <w:lang w:val="en-US" w:eastAsia="zh-CN"/>
        </w:rPr>
        <w:t>a</w:t>
      </w:r>
      <w:r>
        <w:rPr>
          <w:rFonts w:hint="eastAsia"/>
          <w:shd w:val="clear" w:color="auto" w:fill="FFFFFF"/>
        </w:rPr>
        <w:t>-</w:t>
      </w:r>
      <w:r>
        <w:rPr>
          <w:rFonts w:hint="eastAsia" w:eastAsia="宋体"/>
          <w:shd w:val="clear" w:color="auto" w:fill="FFFFFF"/>
          <w:lang w:val="en-US" w:eastAsia="zh-CN"/>
        </w:rPr>
        <w:t>f</w:t>
      </w:r>
      <w:r>
        <w:rPr>
          <w:rFonts w:hint="eastAsia"/>
          <w:shd w:val="clear" w:color="auto" w:fill="FFFFFF"/>
        </w:rPr>
        <w:t>) Flow cytometric analysis of SA-</w:t>
      </w:r>
      <w:r>
        <w:rPr>
          <w:shd w:val="clear" w:color="auto" w:fill="FFFFFF"/>
        </w:rPr>
        <w:t>β-</w:t>
      </w:r>
      <w:r>
        <w:rPr>
          <w:rFonts w:hint="eastAsia"/>
          <w:shd w:val="clear" w:color="auto" w:fill="FFFFFF"/>
        </w:rPr>
        <w:t>Gal activity (</w:t>
      </w:r>
      <w:r>
        <w:rPr>
          <w:rFonts w:hint="eastAsia" w:eastAsia="宋体"/>
          <w:shd w:val="clear" w:color="auto" w:fill="FFFFFF"/>
          <w:lang w:val="en-US" w:eastAsia="zh-CN"/>
        </w:rPr>
        <w:t>a</w:t>
      </w:r>
      <w:r>
        <w:rPr>
          <w:rFonts w:hint="eastAsia"/>
          <w:shd w:val="clear" w:color="auto" w:fill="FFFFFF"/>
        </w:rPr>
        <w:t>),</w:t>
      </w:r>
      <w:r>
        <w:rPr>
          <w:shd w:val="clear" w:color="auto" w:fill="FFFFFF"/>
        </w:rPr>
        <w:t xml:space="preserve"> γ-H2</w:t>
      </w:r>
      <w:r>
        <w:rPr>
          <w:rFonts w:hint="eastAsia"/>
          <w:shd w:val="clear" w:color="auto" w:fill="FFFFFF"/>
        </w:rPr>
        <w:t>AX level (</w:t>
      </w:r>
      <w:r>
        <w:rPr>
          <w:rFonts w:hint="eastAsia" w:eastAsia="宋体"/>
          <w:shd w:val="clear" w:color="auto" w:fill="FFFFFF"/>
          <w:lang w:val="en-US" w:eastAsia="zh-CN"/>
        </w:rPr>
        <w:t>b</w:t>
      </w:r>
      <w:r>
        <w:rPr>
          <w:rFonts w:hint="eastAsia"/>
          <w:shd w:val="clear" w:color="auto" w:fill="FFFFFF"/>
        </w:rPr>
        <w:t>), p21 expression (</w:t>
      </w:r>
      <w:r>
        <w:rPr>
          <w:rFonts w:hint="eastAsia" w:eastAsia="宋体"/>
          <w:shd w:val="clear" w:color="auto" w:fill="FFFFFF"/>
          <w:lang w:val="en-US" w:eastAsia="zh-CN"/>
        </w:rPr>
        <w:t>c</w:t>
      </w:r>
      <w:r>
        <w:rPr>
          <w:rFonts w:hint="eastAsia"/>
          <w:shd w:val="clear" w:color="auto" w:fill="FFFFFF"/>
        </w:rPr>
        <w:t>), TMRM</w:t>
      </w:r>
      <w:r>
        <w:rPr>
          <w:rFonts w:hint="eastAsia" w:eastAsiaTheme="minorEastAsia"/>
          <w:shd w:val="clear" w:color="auto" w:fill="FFFFFF"/>
          <w:lang w:eastAsia="zh-CN"/>
        </w:rPr>
        <w:t xml:space="preserve"> levels</w:t>
      </w:r>
      <w:r>
        <w:rPr>
          <w:rFonts w:hint="eastAsia"/>
          <w:shd w:val="clear" w:color="auto" w:fill="FFFFFF"/>
        </w:rPr>
        <w:t>(</w:t>
      </w:r>
      <w:r>
        <w:rPr>
          <w:rFonts w:hint="eastAsia" w:eastAsia="宋体"/>
          <w:shd w:val="clear" w:color="auto" w:fill="FFFFFF"/>
          <w:lang w:val="en-US" w:eastAsia="zh-CN"/>
        </w:rPr>
        <w:t>d</w:t>
      </w:r>
      <w:r>
        <w:rPr>
          <w:rFonts w:hint="eastAsia"/>
          <w:shd w:val="clear" w:color="auto" w:fill="FFFFFF"/>
        </w:rPr>
        <w:t>), and ROS level</w:t>
      </w:r>
      <w:r>
        <w:rPr>
          <w:rFonts w:hint="eastAsia" w:eastAsiaTheme="minorEastAsia"/>
          <w:shd w:val="clear" w:color="auto" w:fill="FFFFFF"/>
          <w:lang w:eastAsia="zh-CN"/>
        </w:rPr>
        <w:t>s</w:t>
      </w:r>
      <w:r>
        <w:rPr>
          <w:rFonts w:hint="eastAsia"/>
          <w:shd w:val="clear" w:color="auto" w:fill="FFFFFF"/>
        </w:rPr>
        <w:t xml:space="preserve"> (</w:t>
      </w:r>
      <w:r>
        <w:rPr>
          <w:rFonts w:hint="eastAsia" w:eastAsia="宋体"/>
          <w:shd w:val="clear" w:color="auto" w:fill="FFFFFF"/>
          <w:lang w:val="en-US" w:eastAsia="zh-CN"/>
        </w:rPr>
        <w:t>e</w:t>
      </w:r>
      <w:r>
        <w:rPr>
          <w:rFonts w:hint="eastAsia"/>
          <w:shd w:val="clear" w:color="auto" w:fill="FFFFFF"/>
        </w:rPr>
        <w:t>)</w:t>
      </w:r>
      <w:r>
        <w:rPr>
          <w:rFonts w:hint="eastAsia" w:eastAsia="宋体"/>
          <w:shd w:val="clear" w:color="auto" w:fill="FFFFFF"/>
          <w:lang w:val="en-US" w:eastAsia="zh-CN"/>
        </w:rPr>
        <w:t xml:space="preserve">, </w:t>
      </w:r>
      <w:r>
        <w:rPr>
          <w:rFonts w:hint="eastAsia"/>
          <w:shd w:val="clear" w:color="auto" w:fill="FFFFFF"/>
        </w:rPr>
        <w:t>proportion of CD44</w:t>
      </w:r>
      <w:r>
        <w:rPr>
          <w:rFonts w:hint="eastAsia" w:eastAsia="宋体"/>
          <w:shd w:val="clear" w:color="auto" w:fill="FFFFFF"/>
          <w:vertAlign w:val="superscript"/>
          <w:lang w:val="en-US" w:eastAsia="zh-CN"/>
        </w:rPr>
        <w:t>+</w:t>
      </w:r>
      <w:r>
        <w:rPr>
          <w:rFonts w:hint="eastAsia"/>
          <w:shd w:val="clear" w:color="auto" w:fill="FFFFFF"/>
        </w:rPr>
        <w:t>CD154</w:t>
      </w:r>
      <w:r>
        <w:rPr>
          <w:rFonts w:hint="eastAsia"/>
          <w:shd w:val="clear" w:color="auto" w:fill="FFFFFF"/>
          <w:vertAlign w:val="superscript"/>
        </w:rPr>
        <w:t>+</w:t>
      </w:r>
      <w:r>
        <w:rPr>
          <w:rFonts w:hint="eastAsia" w:eastAsia="宋体"/>
          <w:shd w:val="clear" w:color="auto" w:fill="FFFFFF"/>
          <w:vertAlign w:val="superscript"/>
          <w:lang w:val="en-US" w:eastAsia="zh-CN"/>
        </w:rPr>
        <w:t xml:space="preserve"> </w:t>
      </w:r>
      <w:r>
        <w:rPr>
          <w:rFonts w:hint="eastAsia"/>
          <w:shd w:val="clear" w:color="auto" w:fill="FFFFFF"/>
        </w:rPr>
        <w:t>cells</w:t>
      </w:r>
      <w:r>
        <w:rPr>
          <w:rFonts w:hint="eastAsia" w:eastAsia="宋体"/>
          <w:shd w:val="clear" w:color="auto" w:fill="FFFFFF"/>
          <w:lang w:val="en-US" w:eastAsia="zh-CN"/>
        </w:rPr>
        <w:t xml:space="preserve"> (f)</w:t>
      </w:r>
      <w:r>
        <w:rPr>
          <w:rFonts w:hint="eastAsia"/>
          <w:shd w:val="clear" w:color="auto" w:fill="FFFFFF"/>
        </w:rPr>
        <w:t xml:space="preserve"> in </w:t>
      </w:r>
      <w:r>
        <w:t>peripheral blood</w:t>
      </w:r>
      <w:r>
        <w:rPr>
          <w:rFonts w:hint="eastAsia"/>
          <w:shd w:val="clear" w:color="auto" w:fill="FFFFFF"/>
        </w:rPr>
        <w:t xml:space="preserve"> CD8</w:t>
      </w:r>
      <w:r>
        <w:rPr>
          <w:rFonts w:hint="eastAsia" w:eastAsia="宋体"/>
          <w:shd w:val="clear" w:color="auto" w:fill="FFFFFF"/>
          <w:vertAlign w:val="superscript"/>
          <w:lang w:val="en-US" w:eastAsia="zh-CN"/>
        </w:rPr>
        <w:t xml:space="preserve">+ </w:t>
      </w:r>
      <w:r>
        <w:rPr>
          <w:rFonts w:hint="eastAsia"/>
          <w:shd w:val="clear" w:color="auto" w:fill="FFFFFF"/>
        </w:rPr>
        <w:t xml:space="preserve">T cells </w:t>
      </w:r>
      <w:r>
        <w:rPr>
          <w:rFonts w:hint="eastAsia" w:eastAsiaTheme="minorEastAsia"/>
          <w:lang w:eastAsia="zh-CN"/>
        </w:rPr>
        <w:t>of mouse t</w:t>
      </w:r>
      <w:r>
        <w:rPr>
          <w:rFonts w:hint="eastAsia"/>
          <w:lang w:val="en-US"/>
        </w:rPr>
        <w:t xml:space="preserve">reated with or without </w:t>
      </w:r>
      <w:r>
        <w:rPr>
          <w:lang w:val="en-US"/>
        </w:rPr>
        <w:t xml:space="preserve">miR-550a-5p </w:t>
      </w:r>
      <w:r>
        <w:rPr>
          <w:rFonts w:hint="eastAsia" w:eastAsiaTheme="minorEastAsia"/>
          <w:lang w:val="en-US" w:eastAsia="zh-CN"/>
        </w:rPr>
        <w:t xml:space="preserve">agomir under </w:t>
      </w:r>
      <w:r>
        <w:rPr>
          <w:rFonts w:hint="eastAsia"/>
          <w:lang w:val="en-US"/>
        </w:rPr>
        <w:t>NMN</w:t>
      </w:r>
      <w:r>
        <w:rPr>
          <w:rFonts w:hint="eastAsia" w:eastAsiaTheme="minorEastAsia"/>
          <w:lang w:val="en-US" w:eastAsia="zh-CN"/>
        </w:rPr>
        <w:t xml:space="preserve"> pretreatment </w:t>
      </w:r>
      <w:r>
        <w:rPr>
          <w:rFonts w:hint="eastAsia"/>
          <w:shd w:val="clear" w:color="auto" w:fill="FFFFFF"/>
        </w:rPr>
        <w:t xml:space="preserve">(n=6). </w:t>
      </w:r>
      <w:r>
        <w:rPr>
          <w:rFonts w:hint="eastAsia" w:eastAsiaTheme="minorEastAsia"/>
          <w:shd w:val="clear" w:color="auto" w:fill="FFFFFF"/>
          <w:lang w:eastAsia="zh-CN"/>
        </w:rPr>
        <w:t>(</w:t>
      </w:r>
      <w:r>
        <w:rPr>
          <w:rFonts w:hint="eastAsia" w:eastAsiaTheme="minorEastAsia"/>
          <w:shd w:val="clear" w:color="auto" w:fill="FFFFFF"/>
          <w:lang w:val="en-US" w:eastAsia="zh-CN"/>
        </w:rPr>
        <w:t>g</w:t>
      </w:r>
      <w:r>
        <w:rPr>
          <w:rFonts w:hint="eastAsia" w:eastAsiaTheme="minorEastAsia"/>
          <w:shd w:val="clear" w:color="auto" w:fill="FFFFFF"/>
          <w:lang w:eastAsia="zh-CN"/>
        </w:rPr>
        <w:t>) R</w:t>
      </w:r>
      <w:r>
        <w:rPr>
          <w:rFonts w:hint="eastAsia"/>
          <w:shd w:val="clear" w:color="auto" w:fill="FFFFFF"/>
        </w:rPr>
        <w:t>elative telomere length</w:t>
      </w:r>
      <w:r>
        <w:rPr>
          <w:rFonts w:hint="eastAsia" w:eastAsiaTheme="minorEastAsia"/>
          <w:shd w:val="clear" w:color="auto" w:fill="FFFFFF"/>
          <w:lang w:eastAsia="zh-CN"/>
        </w:rPr>
        <w:t xml:space="preserve"> in </w:t>
      </w:r>
      <w:r>
        <w:t>peripheral blood</w:t>
      </w:r>
      <w:r>
        <w:rPr>
          <w:rFonts w:hint="eastAsia"/>
          <w:shd w:val="clear" w:color="auto" w:fill="FFFFFF"/>
        </w:rPr>
        <w:t xml:space="preserve"> CD8</w:t>
      </w:r>
      <w:r>
        <w:rPr>
          <w:rFonts w:hint="eastAsia" w:eastAsia="宋体"/>
          <w:shd w:val="clear" w:color="auto" w:fill="FFFFFF"/>
          <w:vertAlign w:val="superscript"/>
          <w:lang w:val="en-US" w:eastAsia="zh-CN"/>
        </w:rPr>
        <w:t xml:space="preserve">+ </w:t>
      </w:r>
      <w:r>
        <w:rPr>
          <w:rFonts w:hint="eastAsia"/>
          <w:shd w:val="clear" w:color="auto" w:fill="FFFFFF"/>
        </w:rPr>
        <w:t xml:space="preserve">T cells </w:t>
      </w:r>
      <w:r>
        <w:rPr>
          <w:rFonts w:hint="eastAsia" w:eastAsiaTheme="minorEastAsia"/>
          <w:lang w:eastAsia="zh-CN"/>
        </w:rPr>
        <w:t>of mouse t</w:t>
      </w:r>
      <w:r>
        <w:rPr>
          <w:rFonts w:hint="eastAsia"/>
          <w:lang w:val="en-US"/>
        </w:rPr>
        <w:t xml:space="preserve">reated with or without </w:t>
      </w:r>
      <w:r>
        <w:rPr>
          <w:lang w:val="en-US"/>
        </w:rPr>
        <w:t xml:space="preserve">miR-550a-5p </w:t>
      </w:r>
      <w:r>
        <w:rPr>
          <w:rFonts w:hint="eastAsia" w:eastAsiaTheme="minorEastAsia"/>
          <w:lang w:val="en-US" w:eastAsia="zh-CN"/>
        </w:rPr>
        <w:t xml:space="preserve">agomir under </w:t>
      </w:r>
      <w:r>
        <w:rPr>
          <w:rFonts w:hint="eastAsia"/>
          <w:lang w:val="en-US"/>
        </w:rPr>
        <w:t>NMN</w:t>
      </w:r>
      <w:r>
        <w:rPr>
          <w:rFonts w:hint="eastAsia" w:eastAsiaTheme="minorEastAsia"/>
          <w:lang w:val="en-US" w:eastAsia="zh-CN"/>
        </w:rPr>
        <w:t xml:space="preserve"> pretreatment (n = 6). (h) </w:t>
      </w:r>
      <w:r>
        <w:rPr>
          <w:rFonts w:hint="eastAsia"/>
          <w:shd w:val="clear" w:color="auto" w:fill="FFFFFF"/>
        </w:rPr>
        <w:t>qPCR analysis of</w:t>
      </w:r>
      <w:r>
        <w:rPr>
          <w:rFonts w:hint="eastAsia" w:eastAsiaTheme="minorEastAsia"/>
          <w:shd w:val="clear" w:color="auto" w:fill="FFFFFF"/>
          <w:lang w:eastAsia="zh-CN"/>
        </w:rPr>
        <w:t xml:space="preserve"> </w:t>
      </w:r>
      <w:r>
        <w:rPr>
          <w:rFonts w:eastAsiaTheme="minorEastAsia"/>
          <w:shd w:val="clear" w:color="auto" w:fill="FFFFFF"/>
          <w:lang w:val="en-US" w:eastAsia="zh-CN"/>
        </w:rPr>
        <w:t>TNF-α and IFN-γ expression</w:t>
      </w:r>
      <w:r>
        <w:rPr>
          <w:rFonts w:hint="eastAsia" w:eastAsiaTheme="minorEastAsia"/>
          <w:shd w:val="clear" w:color="auto" w:fill="FFFFFF"/>
          <w:lang w:val="en-US" w:eastAsia="zh-CN"/>
        </w:rPr>
        <w:t xml:space="preserve"> </w:t>
      </w:r>
      <w:r>
        <w:rPr>
          <w:rFonts w:hint="eastAsia" w:eastAsiaTheme="minorEastAsia"/>
          <w:shd w:val="clear" w:color="auto" w:fill="FFFFFF"/>
          <w:lang w:eastAsia="zh-CN"/>
        </w:rPr>
        <w:t xml:space="preserve">in </w:t>
      </w:r>
      <w:r>
        <w:t>peripheral blood</w:t>
      </w:r>
      <w:r>
        <w:rPr>
          <w:rFonts w:hint="eastAsia"/>
          <w:shd w:val="clear" w:color="auto" w:fill="FFFFFF"/>
        </w:rPr>
        <w:t xml:space="preserve"> CD8</w:t>
      </w:r>
      <w:r>
        <w:rPr>
          <w:rFonts w:hint="eastAsia" w:eastAsia="宋体"/>
          <w:shd w:val="clear" w:color="auto" w:fill="FFFFFF"/>
          <w:vertAlign w:val="superscript"/>
          <w:lang w:val="en-US" w:eastAsia="zh-CN"/>
        </w:rPr>
        <w:t xml:space="preserve">+ </w:t>
      </w:r>
      <w:r>
        <w:rPr>
          <w:rFonts w:hint="eastAsia"/>
          <w:shd w:val="clear" w:color="auto" w:fill="FFFFFF"/>
        </w:rPr>
        <w:t xml:space="preserve">T cells </w:t>
      </w:r>
      <w:r>
        <w:rPr>
          <w:rFonts w:hint="eastAsia" w:eastAsiaTheme="minorEastAsia"/>
          <w:lang w:eastAsia="zh-CN"/>
        </w:rPr>
        <w:t>of mouse t</w:t>
      </w:r>
      <w:r>
        <w:rPr>
          <w:rFonts w:hint="eastAsia"/>
          <w:lang w:val="en-US"/>
        </w:rPr>
        <w:t xml:space="preserve">reated with or without </w:t>
      </w:r>
      <w:r>
        <w:rPr>
          <w:lang w:val="en-US"/>
        </w:rPr>
        <w:t xml:space="preserve">miR-550a-5p </w:t>
      </w:r>
      <w:r>
        <w:rPr>
          <w:rFonts w:hint="eastAsia" w:eastAsiaTheme="minorEastAsia"/>
          <w:lang w:val="en-US" w:eastAsia="zh-CN"/>
        </w:rPr>
        <w:t xml:space="preserve">agomir under </w:t>
      </w:r>
      <w:r>
        <w:rPr>
          <w:rFonts w:hint="eastAsia"/>
          <w:lang w:val="en-US"/>
        </w:rPr>
        <w:t>NMN</w:t>
      </w:r>
      <w:r>
        <w:rPr>
          <w:rFonts w:hint="eastAsia" w:eastAsiaTheme="minorEastAsia"/>
          <w:lang w:val="en-US" w:eastAsia="zh-CN"/>
        </w:rPr>
        <w:t xml:space="preserve"> pretreatment (n = 6). </w:t>
      </w:r>
      <w:r>
        <w:rPr>
          <w:rFonts w:hint="eastAsia"/>
          <w:shd w:val="clear" w:color="auto" w:fill="FFFFFF"/>
        </w:rPr>
        <w:t>(</w:t>
      </w:r>
      <w:r>
        <w:rPr>
          <w:rFonts w:hint="eastAsia" w:eastAsia="宋体"/>
          <w:shd w:val="clear" w:color="auto" w:fill="FFFFFF"/>
          <w:lang w:val="en-US" w:eastAsia="zh-CN"/>
        </w:rPr>
        <w:t>i</w:t>
      </w:r>
      <w:r>
        <w:rPr>
          <w:rFonts w:hint="eastAsia"/>
          <w:shd w:val="clear" w:color="auto" w:fill="FFFFFF"/>
        </w:rPr>
        <w:t xml:space="preserve">) OCR </w:t>
      </w:r>
      <w:r>
        <w:rPr>
          <w:rFonts w:hint="eastAsia" w:eastAsiaTheme="minorEastAsia"/>
          <w:shd w:val="clear" w:color="auto" w:fill="FFFFFF"/>
          <w:lang w:eastAsia="zh-CN"/>
        </w:rPr>
        <w:t xml:space="preserve">in </w:t>
      </w:r>
      <w:r>
        <w:t>peripheral blood</w:t>
      </w:r>
      <w:r>
        <w:rPr>
          <w:rFonts w:hint="eastAsia"/>
          <w:shd w:val="clear" w:color="auto" w:fill="FFFFFF"/>
        </w:rPr>
        <w:t xml:space="preserve"> CD8</w:t>
      </w:r>
      <w:r>
        <w:rPr>
          <w:rFonts w:hint="eastAsia" w:eastAsia="宋体"/>
          <w:shd w:val="clear" w:color="auto" w:fill="FFFFFF"/>
          <w:vertAlign w:val="superscript"/>
          <w:lang w:val="en-US" w:eastAsia="zh-CN"/>
        </w:rPr>
        <w:t xml:space="preserve">+ </w:t>
      </w:r>
      <w:r>
        <w:rPr>
          <w:rFonts w:hint="eastAsia"/>
          <w:shd w:val="clear" w:color="auto" w:fill="FFFFFF"/>
        </w:rPr>
        <w:t xml:space="preserve">T cells </w:t>
      </w:r>
      <w:r>
        <w:rPr>
          <w:rFonts w:hint="eastAsia" w:eastAsiaTheme="minorEastAsia"/>
          <w:lang w:eastAsia="zh-CN"/>
        </w:rPr>
        <w:t>of mouse t</w:t>
      </w:r>
      <w:r>
        <w:rPr>
          <w:rFonts w:hint="eastAsia"/>
          <w:lang w:val="en-US"/>
        </w:rPr>
        <w:t xml:space="preserve">reated with or without </w:t>
      </w:r>
      <w:r>
        <w:rPr>
          <w:lang w:val="en-US"/>
        </w:rPr>
        <w:t xml:space="preserve">miR-550a-5p </w:t>
      </w:r>
      <w:r>
        <w:rPr>
          <w:rFonts w:hint="eastAsia" w:eastAsiaTheme="minorEastAsia"/>
          <w:lang w:val="en-US" w:eastAsia="zh-CN"/>
        </w:rPr>
        <w:t xml:space="preserve">agomir under </w:t>
      </w:r>
      <w:r>
        <w:rPr>
          <w:rFonts w:hint="eastAsia"/>
          <w:lang w:val="en-US"/>
        </w:rPr>
        <w:t>NMN</w:t>
      </w:r>
      <w:r>
        <w:rPr>
          <w:rFonts w:hint="eastAsia" w:eastAsiaTheme="minorEastAsia"/>
          <w:lang w:val="en-US" w:eastAsia="zh-CN"/>
        </w:rPr>
        <w:t xml:space="preserve"> pretreatment</w:t>
      </w:r>
      <w:r>
        <w:rPr>
          <w:rFonts w:hint="eastAsia"/>
          <w:shd w:val="clear" w:color="auto" w:fill="FFFFFF"/>
        </w:rPr>
        <w:t>, with quantitation of basal respiration, ATP production, and maximal respiration (n</w:t>
      </w:r>
      <w:r>
        <w:rPr>
          <w:rFonts w:hint="eastAsia" w:eastAsia="宋体"/>
          <w:shd w:val="clear" w:color="auto" w:fill="FFFFFF"/>
          <w:lang w:val="en-US" w:eastAsia="zh-CN"/>
        </w:rPr>
        <w:t xml:space="preserve"> </w:t>
      </w:r>
      <w:r>
        <w:rPr>
          <w:rFonts w:hint="eastAsia"/>
          <w:shd w:val="clear" w:color="auto" w:fill="FFFFFF"/>
        </w:rPr>
        <w:t>=</w:t>
      </w:r>
      <w:r>
        <w:rPr>
          <w:rFonts w:hint="eastAsia" w:eastAsia="宋体"/>
          <w:shd w:val="clear" w:color="auto" w:fill="FFFFFF"/>
          <w:lang w:val="en-US" w:eastAsia="zh-CN"/>
        </w:rPr>
        <w:t xml:space="preserve"> </w:t>
      </w:r>
      <w:r>
        <w:rPr>
          <w:rFonts w:hint="eastAsia"/>
          <w:shd w:val="clear" w:color="auto" w:fill="FFFFFF"/>
        </w:rPr>
        <w:t>9). Data are presented as mean</w:t>
      </w:r>
      <w:r>
        <w:rPr>
          <w:rFonts w:hint="eastAsia" w:eastAsia="宋体"/>
          <w:shd w:val="clear" w:color="auto" w:fill="FFFFFF"/>
          <w:lang w:val="en-US" w:eastAsia="zh-CN"/>
        </w:rPr>
        <w:t xml:space="preserve"> </w:t>
      </w:r>
      <w:r>
        <w:rPr>
          <w:rFonts w:hint="eastAsia"/>
          <w:shd w:val="clear" w:color="auto" w:fill="FFFFFF"/>
        </w:rPr>
        <w:t>±</w:t>
      </w:r>
      <w:r>
        <w:rPr>
          <w:rFonts w:hint="eastAsia" w:eastAsia="宋体"/>
          <w:shd w:val="clear" w:color="auto" w:fill="FFFFFF"/>
          <w:lang w:val="en-US" w:eastAsia="zh-CN"/>
        </w:rPr>
        <w:t xml:space="preserve"> </w:t>
      </w:r>
      <w:r>
        <w:rPr>
          <w:rFonts w:hint="eastAsia"/>
          <w:shd w:val="clear" w:color="auto" w:fill="FFFFFF"/>
        </w:rPr>
        <w:t>SD and were analyzed by</w:t>
      </w:r>
      <w:r>
        <w:rPr>
          <w:rFonts w:hint="eastAsia" w:eastAsia="宋体"/>
          <w:shd w:val="clear" w:color="auto" w:fill="FFFFFF"/>
          <w:lang w:val="en-US" w:eastAsia="zh-CN"/>
        </w:rPr>
        <w:t xml:space="preserve"> </w:t>
      </w:r>
      <w:r>
        <w:rPr>
          <w:rFonts w:hint="eastAsia"/>
          <w:shd w:val="clear" w:color="auto" w:fill="FFFFFF"/>
        </w:rPr>
        <w:t xml:space="preserve">one-way </w:t>
      </w:r>
      <w:r>
        <w:rPr>
          <w:shd w:val="clear" w:color="auto" w:fill="FFFFFF"/>
        </w:rPr>
        <w:t>ANOVA</w:t>
      </w:r>
      <w:r>
        <w:rPr>
          <w:rFonts w:hint="eastAsia"/>
          <w:shd w:val="clear" w:color="auto" w:fill="FFFFFF"/>
        </w:rPr>
        <w:t xml:space="preserve"> (</w:t>
      </w:r>
      <w:r>
        <w:rPr>
          <w:rFonts w:hint="eastAsia" w:eastAsia="宋体"/>
          <w:shd w:val="clear" w:color="auto" w:fill="FFFFFF"/>
          <w:lang w:val="en-US" w:eastAsia="zh-CN"/>
        </w:rPr>
        <w:t>b</w:t>
      </w:r>
      <w:r>
        <w:rPr>
          <w:rFonts w:hint="eastAsia"/>
          <w:shd w:val="clear" w:color="auto" w:fill="FFFFFF"/>
        </w:rPr>
        <w:t>).</w:t>
      </w:r>
      <w:r>
        <w:rPr>
          <w:rFonts w:hint="eastAsia" w:eastAsia="宋体"/>
          <w:shd w:val="clear" w:color="auto" w:fill="FFFFFF"/>
          <w:lang w:val="en-US" w:eastAsia="zh-CN"/>
        </w:rPr>
        <w:t xml:space="preserve"> </w:t>
      </w:r>
      <w:r>
        <w:rPr>
          <w:rFonts w:hint="eastAsia"/>
          <w:shd w:val="clear" w:color="auto" w:fill="FFFFFF"/>
        </w:rPr>
        <w:t>*P &lt; 0.05, **P &lt; 0.01, ***P &lt; 0.001.</w:t>
      </w:r>
    </w:p>
    <w:p w14:paraId="684C33FC">
      <w:pPr>
        <w:spacing w:line="480" w:lineRule="auto"/>
        <w:jc w:val="both"/>
        <w:rPr>
          <w:b/>
          <w:bCs/>
        </w:rPr>
      </w:pPr>
    </w:p>
    <w:p w14:paraId="4E734C2C">
      <w:pPr>
        <w:pStyle w:val="8"/>
        <w:spacing w:before="156" w:beforeLines="50" w:after="156" w:afterLines="50" w:line="480" w:lineRule="auto"/>
        <w:rPr>
          <w:rFonts w:ascii="Times New Roman" w:hAnsi="Times New Roman" w:cs="Times New Roman"/>
          <w:color w:val="auto"/>
          <w:sz w:val="22"/>
          <w:szCs w:val="22"/>
        </w:rPr>
      </w:pPr>
    </w:p>
    <w:p w14:paraId="383E16F7">
      <w:pPr>
        <w:spacing w:before="156" w:beforeLines="50" w:after="156" w:afterLines="50" w:line="480" w:lineRule="auto"/>
        <w:rPr>
          <w:sz w:val="22"/>
          <w:lang w:val="en-US"/>
        </w:rPr>
      </w:pPr>
    </w:p>
    <w:p w14:paraId="4103D98C"/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MS Mincho">
    <w:altName w:val="Yu Gothic UI"/>
    <w:panose1 w:val="02020609040205080304"/>
    <w:charset w:val="80"/>
    <w:family w:val="modern"/>
    <w:pitch w:val="default"/>
    <w:sig w:usb0="00000000" w:usb1="00000000" w:usb2="08000012" w:usb3="00000000" w:csb0="0002009F" w:csb1="00000000"/>
  </w:font>
  <w:font w:name="Yu Gothic UI">
    <w:panose1 w:val="020B0500000000000000"/>
    <w:charset w:val="80"/>
    <w:family w:val="auto"/>
    <w:pitch w:val="default"/>
    <w:sig w:usb0="E00002FF" w:usb1="2AC7FDFF" w:usb2="00000016" w:usb3="00000000" w:csb0="2002009F" w:csb1="00000000"/>
  </w:font>
  <w:font w:name="Book Antiqua">
    <w:panose1 w:val="02040602050305030304"/>
    <w:charset w:val="00"/>
    <w:family w:val="roman"/>
    <w:pitch w:val="default"/>
    <w:sig w:usb0="00000287" w:usb1="00000000" w:usb2="00000000" w:usb3="00000000" w:csb0="2000009F" w:csb1="DFD7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KY_MEDREF_DOCUID" w:val="{4B3FCA4D-BCF7-48C6-9B6B-5C1EDDDB8416}"/>
    <w:docVar w:name="KY_MEDREF_VERSION" w:val="3"/>
  </w:docVars>
  <w:rsids>
    <w:rsidRoot w:val="01FF2473"/>
    <w:rsid w:val="000417FF"/>
    <w:rsid w:val="000A09C5"/>
    <w:rsid w:val="000E185A"/>
    <w:rsid w:val="0011575A"/>
    <w:rsid w:val="001F7BE2"/>
    <w:rsid w:val="00226D04"/>
    <w:rsid w:val="00273E32"/>
    <w:rsid w:val="00292944"/>
    <w:rsid w:val="002F33CF"/>
    <w:rsid w:val="00334AA2"/>
    <w:rsid w:val="003C2B88"/>
    <w:rsid w:val="003E2015"/>
    <w:rsid w:val="00537622"/>
    <w:rsid w:val="00545A66"/>
    <w:rsid w:val="005D5902"/>
    <w:rsid w:val="00642820"/>
    <w:rsid w:val="006C3A53"/>
    <w:rsid w:val="007331F6"/>
    <w:rsid w:val="007515DF"/>
    <w:rsid w:val="007759CF"/>
    <w:rsid w:val="0089060E"/>
    <w:rsid w:val="009A3A02"/>
    <w:rsid w:val="009A500A"/>
    <w:rsid w:val="00AA1C95"/>
    <w:rsid w:val="00C43C47"/>
    <w:rsid w:val="00C91615"/>
    <w:rsid w:val="00CE4F88"/>
    <w:rsid w:val="00D63FEE"/>
    <w:rsid w:val="00D731F8"/>
    <w:rsid w:val="00D8321D"/>
    <w:rsid w:val="00E05E0D"/>
    <w:rsid w:val="00F6099D"/>
    <w:rsid w:val="01675C8E"/>
    <w:rsid w:val="01E72D43"/>
    <w:rsid w:val="01FF2473"/>
    <w:rsid w:val="03FB4E2F"/>
    <w:rsid w:val="05121BCB"/>
    <w:rsid w:val="05F60B43"/>
    <w:rsid w:val="09597709"/>
    <w:rsid w:val="097A21B0"/>
    <w:rsid w:val="0AAF0151"/>
    <w:rsid w:val="0AB1291A"/>
    <w:rsid w:val="0ABB5A3E"/>
    <w:rsid w:val="0C3B1C9C"/>
    <w:rsid w:val="0CE75980"/>
    <w:rsid w:val="0D411534"/>
    <w:rsid w:val="16CD208A"/>
    <w:rsid w:val="17BB1EE3"/>
    <w:rsid w:val="1BD36403"/>
    <w:rsid w:val="1C3E2321"/>
    <w:rsid w:val="1CB00DD7"/>
    <w:rsid w:val="1DA63635"/>
    <w:rsid w:val="1F356A1F"/>
    <w:rsid w:val="1FB42039"/>
    <w:rsid w:val="20AC254A"/>
    <w:rsid w:val="220D5A31"/>
    <w:rsid w:val="22237002"/>
    <w:rsid w:val="24F627AC"/>
    <w:rsid w:val="26F80998"/>
    <w:rsid w:val="274F06A6"/>
    <w:rsid w:val="28352E30"/>
    <w:rsid w:val="28D252DE"/>
    <w:rsid w:val="298567F4"/>
    <w:rsid w:val="2AE17A5A"/>
    <w:rsid w:val="2B996587"/>
    <w:rsid w:val="2E323D1E"/>
    <w:rsid w:val="2E483251"/>
    <w:rsid w:val="2E750BE6"/>
    <w:rsid w:val="34CF4EE0"/>
    <w:rsid w:val="35DB7EC8"/>
    <w:rsid w:val="360F7B72"/>
    <w:rsid w:val="37CD377C"/>
    <w:rsid w:val="38312C30"/>
    <w:rsid w:val="39ED69A2"/>
    <w:rsid w:val="3BE61C17"/>
    <w:rsid w:val="3D783FFF"/>
    <w:rsid w:val="3F7A6399"/>
    <w:rsid w:val="40185875"/>
    <w:rsid w:val="408829FA"/>
    <w:rsid w:val="40C63523"/>
    <w:rsid w:val="41525C93"/>
    <w:rsid w:val="4269060A"/>
    <w:rsid w:val="449F47B6"/>
    <w:rsid w:val="461041BA"/>
    <w:rsid w:val="462A69D2"/>
    <w:rsid w:val="492B486B"/>
    <w:rsid w:val="4944592C"/>
    <w:rsid w:val="4A851D59"/>
    <w:rsid w:val="4ADB406F"/>
    <w:rsid w:val="4C5D47F6"/>
    <w:rsid w:val="4DEB28DF"/>
    <w:rsid w:val="4EC24797"/>
    <w:rsid w:val="502265FE"/>
    <w:rsid w:val="51C936D3"/>
    <w:rsid w:val="530F48B5"/>
    <w:rsid w:val="53302189"/>
    <w:rsid w:val="53755060"/>
    <w:rsid w:val="53A72EA7"/>
    <w:rsid w:val="53C83B27"/>
    <w:rsid w:val="53D12E6C"/>
    <w:rsid w:val="55AA4D69"/>
    <w:rsid w:val="5B8553B5"/>
    <w:rsid w:val="5BFC4B9D"/>
    <w:rsid w:val="5D8101CC"/>
    <w:rsid w:val="5E211941"/>
    <w:rsid w:val="5EDA5A59"/>
    <w:rsid w:val="5F0B4ACB"/>
    <w:rsid w:val="5F4B4DF7"/>
    <w:rsid w:val="62917095"/>
    <w:rsid w:val="62E803F2"/>
    <w:rsid w:val="643979E4"/>
    <w:rsid w:val="64A82DBC"/>
    <w:rsid w:val="67F85E08"/>
    <w:rsid w:val="68646FFA"/>
    <w:rsid w:val="69180510"/>
    <w:rsid w:val="6A8C484F"/>
    <w:rsid w:val="6C005149"/>
    <w:rsid w:val="6CDE55CC"/>
    <w:rsid w:val="6DAF0D17"/>
    <w:rsid w:val="6E8977BA"/>
    <w:rsid w:val="71431EA2"/>
    <w:rsid w:val="71EA0E31"/>
    <w:rsid w:val="730B2E93"/>
    <w:rsid w:val="73C66DBA"/>
    <w:rsid w:val="740E62F8"/>
    <w:rsid w:val="751A54BB"/>
    <w:rsid w:val="774E01AD"/>
    <w:rsid w:val="777944C8"/>
    <w:rsid w:val="77B5517C"/>
    <w:rsid w:val="7B93784D"/>
    <w:rsid w:val="7E5202D3"/>
    <w:rsid w:val="7F654F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rPr>
      <w:rFonts w:ascii="Times New Roman" w:hAnsi="Times New Roman" w:eastAsia="MS Mincho" w:cs="Times New Roman"/>
      <w:sz w:val="24"/>
      <w:szCs w:val="24"/>
      <w:lang w:val="de-DE" w:eastAsia="ja-JP" w:bidi="ar-SA"/>
    </w:rPr>
  </w:style>
  <w:style w:type="character" w:default="1" w:styleId="6">
    <w:name w:val="Default Paragraph Font"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jc w:val="both"/>
    </w:pPr>
    <w:rPr>
      <w:sz w:val="18"/>
    </w:rPr>
  </w:style>
  <w:style w:type="paragraph" w:styleId="4">
    <w:name w:val="Normal (Web)"/>
    <w:basedOn w:val="1"/>
    <w:qFormat/>
    <w:uiPriority w:val="0"/>
  </w:style>
  <w:style w:type="character" w:styleId="7">
    <w:name w:val="Hyperlink"/>
    <w:basedOn w:val="6"/>
    <w:qFormat/>
    <w:uiPriority w:val="0"/>
    <w:rPr>
      <w:color w:val="0000FF"/>
      <w:u w:val="single"/>
    </w:rPr>
  </w:style>
  <w:style w:type="paragraph" w:customStyle="1" w:styleId="8">
    <w:name w:val="Default"/>
    <w:qFormat/>
    <w:uiPriority w:val="0"/>
    <w:pPr>
      <w:widowControl w:val="0"/>
      <w:autoSpaceDE w:val="0"/>
      <w:autoSpaceDN w:val="0"/>
      <w:adjustRightInd w:val="0"/>
    </w:pPr>
    <w:rPr>
      <w:rFonts w:ascii="Book Antiqua" w:hAnsi="Book Antiqua" w:cs="Book Antiqua" w:eastAsiaTheme="minorEastAsia"/>
      <w:color w:val="000000"/>
      <w:sz w:val="24"/>
      <w:szCs w:val="24"/>
      <w:lang w:val="en-US" w:eastAsia="zh-CN" w:bidi="ar-SA"/>
    </w:rPr>
  </w:style>
  <w:style w:type="character" w:customStyle="1" w:styleId="9">
    <w:name w:val="font21"/>
    <w:basedOn w:val="6"/>
    <w:qFormat/>
    <w:uiPriority w:val="0"/>
    <w:rPr>
      <w:rFonts w:hint="eastAsia" w:ascii="宋体" w:hAnsi="宋体" w:eastAsia="宋体" w:cs="宋体"/>
      <w:color w:val="000000"/>
      <w:sz w:val="20"/>
      <w:szCs w:val="20"/>
      <w:u w:val="none"/>
    </w:rPr>
  </w:style>
  <w:style w:type="character" w:customStyle="1" w:styleId="10">
    <w:name w:val="font11"/>
    <w:basedOn w:val="6"/>
    <w:qFormat/>
    <w:uiPriority w:val="0"/>
    <w:rPr>
      <w:rFonts w:hint="default" w:ascii="Times New Roman" w:hAnsi="Times New Roman" w:cs="Times New Roman"/>
      <w:color w:val="000000"/>
      <w:sz w:val="20"/>
      <w:szCs w:val="20"/>
      <w:u w:val="none"/>
    </w:rPr>
  </w:style>
  <w:style w:type="character" w:customStyle="1" w:styleId="11">
    <w:name w:val="font31"/>
    <w:basedOn w:val="6"/>
    <w:qFormat/>
    <w:uiPriority w:val="0"/>
    <w:rPr>
      <w:rFonts w:ascii="Arial" w:hAnsi="Arial" w:cs="Arial"/>
      <w:color w:val="000000"/>
      <w:sz w:val="20"/>
      <w:szCs w:val="20"/>
      <w:u w:val="none"/>
    </w:rPr>
  </w:style>
  <w:style w:type="paragraph" w:styleId="12">
    <w:name w:val="List Paragraph"/>
    <w:basedOn w:val="1"/>
    <w:unhideWhenUsed/>
    <w:qFormat/>
    <w:uiPriority w:val="99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tiff"/><Relationship Id="rId8" Type="http://schemas.openxmlformats.org/officeDocument/2006/relationships/image" Target="media/image5.tiff"/><Relationship Id="rId7" Type="http://schemas.openxmlformats.org/officeDocument/2006/relationships/image" Target="media/image4.tiff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4" Type="http://schemas.openxmlformats.org/officeDocument/2006/relationships/image" Target="media/image1.tiff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image" Target="media/image12.tiff"/><Relationship Id="rId14" Type="http://schemas.openxmlformats.org/officeDocument/2006/relationships/image" Target="media/image11.tiff"/><Relationship Id="rId13" Type="http://schemas.openxmlformats.org/officeDocument/2006/relationships/image" Target="media/image10.tiff"/><Relationship Id="rId12" Type="http://schemas.openxmlformats.org/officeDocument/2006/relationships/image" Target="media/image9.tiff"/><Relationship Id="rId11" Type="http://schemas.openxmlformats.org/officeDocument/2006/relationships/image" Target="media/image8.tiff"/><Relationship Id="rId10" Type="http://schemas.openxmlformats.org/officeDocument/2006/relationships/image" Target="media/image7.tiff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27</Pages>
  <Words>1926</Words>
  <Characters>11232</Characters>
  <Lines>134</Lines>
  <Paragraphs>37</Paragraphs>
  <TotalTime>40</TotalTime>
  <ScaleCrop>false</ScaleCrop>
  <LinksUpToDate>false</LinksUpToDate>
  <CharactersWithSpaces>12822</CharactersWithSpaces>
  <Application>WPS Office_12.1.0.24034_F1E327BC-269C-435d-A152-05C5408002CA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2025-09-07T10:21:00Z</dcterms:created>
  <dc:creator>大伟</dc:creator>
  <cp:lastModifiedBy>大伟</cp:lastModifiedBy>
  <dcterms:modified xsi:type="dcterms:W3CDTF">2025-12-28T11:42:49Z</dcterms:modified>
  <cp:revision>12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2052-12.1.0.24034</vt:lpwstr>
  </property>
  <property fmtid="{D5CDD505-2E9C-101B-9397-08002B2CF9AE}" pid="3" name="ICV">
    <vt:lpwstr>C006AEB54EB043D9AE806E9159419571_13</vt:lpwstr>
  </property>
  <property fmtid="{D5CDD505-2E9C-101B-9397-08002B2CF9AE}" pid="4" name="KSOTemplateDocerSaveRecord">
    <vt:lpwstr>eyJoZGlkIjoiMmY2ZTFjZWNlZGUzNTBjOWIyNmE2MzY0NDhlZmJkNjEiLCJ1c2VySWQiOiI0NDQ0Mjg3MjcifQ==</vt:lpwstr>
  </property>
</Properties>
</file>