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01369" w14:textId="77777777" w:rsidR="00BF0AA0" w:rsidRDefault="00BF0AA0" w:rsidP="00BF0AA0">
      <w:pPr>
        <w:spacing w:line="480" w:lineRule="auto"/>
        <w:jc w:val="both"/>
      </w:pPr>
      <w:r>
        <w:t>Table 2. Characteristics of the studies included.</w:t>
      </w:r>
    </w:p>
    <w:p w14:paraId="730576FD" w14:textId="77777777" w:rsidR="00BF0AA0" w:rsidRDefault="00BF0AA0" w:rsidP="00BF0AA0">
      <w:pPr>
        <w:spacing w:line="331" w:lineRule="auto"/>
        <w:rPr>
          <w:b/>
          <w:bCs/>
        </w:rPr>
      </w:pPr>
    </w:p>
    <w:tbl>
      <w:tblPr>
        <w:tblW w:w="139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72"/>
        <w:gridCol w:w="872"/>
        <w:gridCol w:w="872"/>
        <w:gridCol w:w="872"/>
        <w:gridCol w:w="872"/>
        <w:gridCol w:w="872"/>
        <w:gridCol w:w="872"/>
        <w:gridCol w:w="872"/>
        <w:gridCol w:w="873"/>
        <w:gridCol w:w="873"/>
        <w:gridCol w:w="873"/>
        <w:gridCol w:w="873"/>
        <w:gridCol w:w="873"/>
        <w:gridCol w:w="873"/>
        <w:gridCol w:w="873"/>
        <w:gridCol w:w="873"/>
      </w:tblGrid>
      <w:tr w:rsidR="00BF0AA0" w14:paraId="31966315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3B2AB91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Study ID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86CA3A1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Study design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ACE3C0B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Country of origin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4E242B2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Total number of patients included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7257231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Outcomes being measured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29A9F3D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Inclusion criteria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0DBAE0A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Age range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6B0AF64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Mean Age in years, SD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3456F9D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Comorbidities (N)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9D79D2D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Follow up duration in months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FB5713C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Disease duration (years)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EC5D2E0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CH type (episodic/chronic)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637D189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Common Associated Symptoms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66E5FC5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Type of intervention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35CCABA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Comparison group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9DA2A52" w14:textId="77777777" w:rsidR="00BF0AA0" w:rsidRDefault="00BF0AA0" w:rsidP="00823E51">
            <w:pPr>
              <w:spacing w:line="331" w:lineRule="auto"/>
              <w:jc w:val="center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  <w:t>Duration of treatment</w:t>
            </w:r>
          </w:p>
        </w:tc>
      </w:tr>
      <w:tr w:rsidR="00BF0AA0" w14:paraId="5E36BA70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163E78E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Brandt , 2023 [8]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0B7250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prospective open label 2–8 year extension of the randomised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D1358E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Netherlands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A475376" w14:textId="77777777" w:rsidR="00BF0AA0" w:rsidRDefault="00BF0AA0" w:rsidP="00823E51">
            <w:pPr>
              <w:spacing w:line="331" w:lineRule="auto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D59CE20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Attack frequency, responder rates, QoL (SF-36), subjective improvement, adverse events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9458FEB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Patients with MICCH who completed 48-week ICON trial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CAF129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369448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45.8 ± 13.7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8770439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8E9F15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~50 (mean 4.2 ± 2.2 years)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1DCB9B9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Median 8 (IQR 8–13)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BCDD89B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2FB8973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Autonomic symptoms assessed but not detailed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6D4E421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Occipital nerve stimulation (ONS)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1040C0A6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None in extension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1F2B610C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2–8.5 years (mean 4.2 years)</w:t>
            </w:r>
          </w:p>
        </w:tc>
      </w:tr>
      <w:tr w:rsidR="00BF0AA0" w14:paraId="742D35CF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49B338D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Guo,2017 [9]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01159266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Double-blind randomized sham-controlled crossover trial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39E155E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Denmark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2A68779" w14:textId="77777777" w:rsidR="00BF0AA0" w:rsidRDefault="00BF0AA0" w:rsidP="00823E51">
            <w:pPr>
              <w:spacing w:line="331" w:lineRule="auto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9A80782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Autonomic symptoms, CH attack induction, PACAP38, VIP, sensory thresholds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1E34E09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Patients with cluster headache implanted with SPG neurostimulator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D98DCF1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Range not specified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1C60EC75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Mean 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4D5C155A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0ABF72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Crossover design, short-term (2 sessions, 30 min each)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4035B517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770FAFC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Episodic and chronic CH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4598842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CAS: lacrimation, conjunctival injection, rhinorrhea, ptosis, restlessness, nasal congestion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29CD4FB4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Low-frequency SPG stimulation (neuromodulation)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44776C74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Sham stimulation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488839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30 minutes per session</w:t>
            </w:r>
          </w:p>
        </w:tc>
      </w:tr>
      <w:tr w:rsidR="00BF0AA0" w14:paraId="57BEEBEB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5762D0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Schytz, 2013 [10]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1A93AE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Double-blind randomized cross-over study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446A5C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Denmark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553DEE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 enrolled, 6 completed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D9A07C7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Headache characteristics, autonomic symptoms, vascular changes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9290CF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 CH patients with implanted SPG neurostimulator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6E28DD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35-63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C68102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Mean: 49 years; SD: 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F3F7D1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1AF5AB7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1-12 hours post-stimulation (short-term); long-term follow-up not specified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F37D327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Range: 9-35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BAC739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Episodic (6), Chronic (1)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1DBE57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Lacrimation, conjunctival injection, rhinorrhea, restlessness, nasal congestion, ptosis, photophobia, phonophobia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BFFC0B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Sphenopalatine ganglion stimulation (SPG)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D90A07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LF vs HF stimulation; no placebo or standard therapy group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069D937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 minutes per stimulation session; therapeutic HF stimulation applied as needed</w:t>
            </w:r>
          </w:p>
        </w:tc>
      </w:tr>
      <w:tr w:rsidR="00BF0AA0" w14:paraId="58DC81CE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26D878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Fogh‐Andersen, 2023 [11]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EF4911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RCT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76E294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USA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8320BB6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2F8488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 attack frequency, abortive medication use, quality of life, adverse effects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A03C70C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patients with CH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DF80D4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022F2D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 (not calculated or reported)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7CB71B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2D6F949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12 months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C26440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10-45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30BB614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354DD54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 (not reported in this study)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9BBC4F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Low-frequency SPG stimulation (neuromodulation)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38035B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LF vs HF stimulation; no placebo or standard therapy group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898616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30 minutes</w:t>
            </w:r>
          </w:p>
        </w:tc>
      </w:tr>
      <w:tr w:rsidR="00BF0AA0" w14:paraId="5215D1FA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E6CA53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lastRenderedPageBreak/>
              <w:t>May, 2006 [12]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909E4C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Case series with functional imaging (PET)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B996A1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Germany and Italy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78729F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761415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Brain activation/deactivation patterns; pain modulation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913ABC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 cluster headache, drug-refractory, 4-8 attacks/day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2B2961E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25-64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835AAA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 (not calculated or reported)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DE1AE6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2(1 myocardial infarction, 1 contralateral CH attacks)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5EB8F9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Ranges from ~2 to &gt;48 months (not consistently reported)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8EF565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Range: 2-12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0D0F97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BFF0F3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 (not reported in this study)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2F87C2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Deep Brain Stimulation (DBS)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1C036F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None (no placebo or standard therapy group)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60893A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Continuous stimulation; follow-up up to 4 years for some patients</w:t>
            </w:r>
          </w:p>
        </w:tc>
      </w:tr>
      <w:tr w:rsidR="00BF0AA0" w14:paraId="22D17C42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2A253FE9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Schoenen et al 2013 [13]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2118A2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 randomised, sham-controlled study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5EF2449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 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24FDE0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32 patients.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2D06C19D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Age from 18 to 65 years old with CCH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73E678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20–63 years (mean age 45)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0173296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45 years (range: 20–63)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4FC7E56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587548C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3C37E9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DDD1B4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66BA518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AA955B2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 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2D496E8C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Neuromodulation techniques including vagus nerve stimulation (VNS), deep brain stimulation (DBS), occipital nerve stimulation (ONS), transcranial magnetic stimulation (TMS), sphenopalatine ganglion stimulation (SPG)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522C56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Standard medical therapy or sham stimulation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1FAEFE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</w:tr>
      <w:tr w:rsidR="00BF0AA0" w14:paraId="7C5C158E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998AA92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Wilbrink_2021 [14]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0D47E87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Randomised, double-blind, multicentre, phase 3, electrical dose-controlled trial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0306D292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Netherlands, Belgium, Germany, Hungary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7C8D021" w14:textId="77777777" w:rsidR="00BF0AA0" w:rsidRDefault="00BF0AA0" w:rsidP="00823E51">
            <w:pPr>
              <w:spacing w:line="331" w:lineRule="auto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131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2DE55876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Attack frequency, attack intensity, quality of life, patient satisfaction, adverse events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527F6282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rFonts w:ascii="Gungsuh" w:eastAsia="Gungsuh" w:hAnsi="Gungsuh" w:cs="Gungsuh"/>
                <w:sz w:val="12"/>
                <w:szCs w:val="12"/>
              </w:rPr>
              <w:t xml:space="preserve">Chronic cluster headache; ≥4 attacks/week; age ≥18 years; normal brain MRI; non-response/intolerance/contraindication to verapamil, lithium, and at </w:t>
            </w:r>
            <w:r>
              <w:rPr>
                <w:rFonts w:ascii="Gungsuh" w:eastAsia="Gungsuh" w:hAnsi="Gungsuh" w:cs="Gungsuh"/>
                <w:sz w:val="12"/>
                <w:szCs w:val="12"/>
              </w:rPr>
              <w:lastRenderedPageBreak/>
              <w:t>least one other preventive drug (methysergide, topiramate, gabapentin)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BF3058A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rFonts w:ascii="Gungsuh" w:eastAsia="Gungsuh" w:hAnsi="Gungsuh" w:cs="Gungsuh"/>
                <w:sz w:val="12"/>
                <w:szCs w:val="12"/>
              </w:rPr>
              <w:lastRenderedPageBreak/>
              <w:t>≥18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5288A0D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44 ± 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6F44E591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detailed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4127EB81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12 months (48 weeks)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3828935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7 ± 6 (since diagnosis), 4 (2–7) years chronic form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31D68BD3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0EBEE1C4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Lacrimation, conjunctival injection, rhinorrhea, restlessness, nasal congestion, ptosis (not quantified in trial)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4BE7D3F3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Occipital nerve stimulation (ONS)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17BAF084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High-intensity (100% ONS) vs Low-intensity (30% ONS)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79A9A641" w14:textId="77777777" w:rsidR="00BF0AA0" w:rsidRDefault="00BF0AA0" w:rsidP="00823E51">
            <w:pPr>
              <w:spacing w:line="331" w:lineRule="auto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24 weeks double-blind, 24 weeks open-label</w:t>
            </w:r>
          </w:p>
        </w:tc>
      </w:tr>
      <w:tr w:rsidR="00BF0AA0" w14:paraId="08FE349B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3B3D1D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Gaul et al 2016 [15]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486C6B4" w14:textId="77777777" w:rsidR="00BF0AA0" w:rsidRDefault="00BF0AA0" w:rsidP="00823E51">
            <w:pPr>
              <w:spacing w:line="331" w:lineRule="auto"/>
              <w:jc w:val="center"/>
              <w:rPr>
                <w:color w:val="1A1919"/>
                <w:sz w:val="12"/>
                <w:szCs w:val="12"/>
              </w:rPr>
            </w:pPr>
            <w:r>
              <w:rPr>
                <w:color w:val="1A1919"/>
                <w:sz w:val="12"/>
                <w:szCs w:val="12"/>
              </w:rPr>
              <w:t>A randomised controlled study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181C2E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10</w:t>
            </w:r>
          </w:p>
          <w:p w14:paraId="7A1E034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European sites: five in Germany, three in the United</w:t>
            </w:r>
          </w:p>
          <w:p w14:paraId="6C6FECC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Kingdom, one in Belgium, and one in Italy.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CDBFE4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97 patients.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EB72EEE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 attack frequency, abortive medication use, quality of life, adverse effects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490365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Participants were aged 18 to 70 years and were diag-</w:t>
            </w:r>
          </w:p>
          <w:p w14:paraId="7B81147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nosed with chronic CH according to International</w:t>
            </w:r>
          </w:p>
          <w:p w14:paraId="21FC402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Classification of Headache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534EC5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18-70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A5C4C0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Group 1: 45.4 (11.0), Group 2: 42.3 (11.0)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1DCA04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N/A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7FC819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2.5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D03EBCC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Group 1: 4.7 (3.9), Group 2: 5.0 (3.7)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A79EA9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2284B7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Lacrimation, conjunctival injection, rhinorrhea, nasal congestion, restlessness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EE2D93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Non-invasive vagus nerve stimulation (nVNS)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FB3B81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Standard medical therapy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CA96114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 months</w:t>
            </w:r>
          </w:p>
        </w:tc>
      </w:tr>
      <w:tr w:rsidR="00BF0AA0" w14:paraId="043B50CF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B34C6F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Silberstein et al 2016 [16]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2C2F05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Randomized, double-blind, sham-controlled trial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B8A187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USA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BD83F5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2024DA9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Pain relief at 15 min without rescue medication through 60 min (primary), sustained pain relief (15–60 min), attack duration, rescue medication use, safety/tolerability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D6A258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Adults 18–75 years old</w:t>
            </w:r>
          </w:p>
          <w:p w14:paraId="2C2FBEA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Diagnosis of episodic cluster headache (eCH) or chronic cluster headache (cCH) per ICHD-2 criteria-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EB124F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18–75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CE408F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nVNS: 47.1 ± 13.5</w:t>
            </w:r>
          </w:p>
          <w:p w14:paraId="4338175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Sham: 48.6 ± 11.7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9E51064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explicitly enumerated; prophylactic medication use at baseline: nVNS 57.5%, Sham 77.9%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3B2C2B7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rFonts w:ascii="Gungsuh" w:eastAsia="Gungsuh" w:hAnsi="Gungsuh" w:cs="Gungsuh"/>
                <w:sz w:val="12"/>
                <w:szCs w:val="12"/>
              </w:rPr>
              <w:t>Double-blind: ≤1 month</w:t>
            </w:r>
          </w:p>
          <w:p w14:paraId="3BE4C00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Open-label: 3 months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1A75BF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C806FB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Both; 101 eCH, 49 cCH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649CC6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Cluster headache–related autonomic symptoms per ICHD; individual frequency not detailed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832F22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Neuromodulation: Non-invasive vagus nerve stimulation (nVNS, gammaCore)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5812D4B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Sham stimulation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7B36FA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rFonts w:ascii="Gungsuh" w:eastAsia="Gungsuh" w:hAnsi="Gungsuh" w:cs="Gungsuh"/>
                <w:sz w:val="12"/>
                <w:szCs w:val="12"/>
              </w:rPr>
              <w:t>Double-blind: ≤1 month (or until 5 attacks treated)</w:t>
            </w:r>
          </w:p>
          <w:p w14:paraId="79CE8E7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Open-label: 3 months</w:t>
            </w:r>
          </w:p>
        </w:tc>
      </w:tr>
      <w:tr w:rsidR="00BF0AA0" w14:paraId="2B13B0B6" w14:textId="77777777" w:rsidTr="00823E51"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297BAE3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Fontaine et al 2010 [17]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1E97E51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Randomized placebo-controlled double-blind crossover trial followed by open-label extension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59FB9F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France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4BAE6969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D0EC6D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•​Primary: Weekly attack frequency</w:t>
            </w:r>
          </w:p>
          <w:p w14:paraId="3AEE52C9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​•​Secondary: Pain intensity, Sumatriptan use, Emotional impact (HAD), Quality of life (SF-12), Adverse events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3EAC37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•​Chronic CH per ICHD-II</w:t>
            </w:r>
          </w:p>
          <w:p w14:paraId="4059428F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​•​3 years disease duration</w:t>
            </w:r>
          </w:p>
          <w:p w14:paraId="3B5B46BC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​•​Refractory to adequate pharmacologic treatment</w:t>
            </w:r>
          </w:p>
          <w:p w14:paraId="37B56B8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​•​Daily attacks</w:t>
            </w:r>
          </w:p>
          <w:p w14:paraId="45EAA342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​•​Age 18–65</w:t>
            </w:r>
          </w:p>
          <w:p w14:paraId="558601ED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lastRenderedPageBreak/>
              <w:t>​•​No substance abuse</w:t>
            </w:r>
          </w:p>
          <w:p w14:paraId="1104D0F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​•​Normal MRI</w:t>
            </w:r>
          </w:p>
          <w:p w14:paraId="00D174D7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​•​Fit for surgery/anesthesia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E7C1F2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lastRenderedPageBreak/>
              <w:t>36–52 years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7AC47DE6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44.1 years (SD not given)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5F1EDEA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specified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E50C7D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​•​1-month randomized controlled double-blind phase</w:t>
            </w:r>
          </w:p>
          <w:p w14:paraId="3C0F8A2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​•​Followed by a 10-month open-label extension</w:t>
            </w:r>
          </w:p>
          <w:p w14:paraId="3B32D39A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​•​Total follow-up: 11 months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27EC9CF4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Mean 12.1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B4E0698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Mix; most evolved from episodic to chronic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3B5FD9C6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Not reported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673251A0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Deep Brain Stimulation (DBS)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10725905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Sham stimulation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center"/>
          </w:tcPr>
          <w:p w14:paraId="0DCDCBE4" w14:textId="77777777" w:rsidR="00BF0AA0" w:rsidRDefault="00BF0AA0" w:rsidP="00823E51">
            <w:pPr>
              <w:spacing w:line="331" w:lineRule="auto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1-month randomized phase + 10-month open phase</w:t>
            </w:r>
          </w:p>
        </w:tc>
      </w:tr>
    </w:tbl>
    <w:p w14:paraId="2D6F0984" w14:textId="77777777" w:rsidR="00BF0AA0" w:rsidRDefault="00BF0AA0" w:rsidP="00BF0AA0">
      <w:pPr>
        <w:spacing w:line="432" w:lineRule="auto"/>
        <w:sectPr w:rsidR="00BF0AA0" w:rsidSect="00BF0AA0">
          <w:pgSz w:w="16840" w:h="11900" w:orient="landscape"/>
          <w:pgMar w:top="1440" w:right="1440" w:bottom="1440" w:left="1440" w:header="708" w:footer="708" w:gutter="0"/>
          <w:lnNumType w:countBy="1" w:restart="continuous"/>
          <w:cols w:space="720"/>
        </w:sectPr>
      </w:pPr>
    </w:p>
    <w:p w14:paraId="17CCC6CD" w14:textId="77777777" w:rsidR="00BF0AA0" w:rsidRDefault="00BF0AA0" w:rsidP="00BF0AA0">
      <w:pPr>
        <w:spacing w:line="480" w:lineRule="auto"/>
        <w:jc w:val="both"/>
      </w:pPr>
    </w:p>
    <w:p w14:paraId="2A6E344A" w14:textId="77777777" w:rsidR="00BF0AA0" w:rsidRDefault="00BF0AA0" w:rsidP="00BF0AA0">
      <w:pPr>
        <w:spacing w:line="432" w:lineRule="auto"/>
      </w:pPr>
    </w:p>
    <w:p w14:paraId="60D8D4CC" w14:textId="77777777" w:rsidR="00BF0AA0" w:rsidRDefault="00BF0AA0" w:rsidP="00BF0AA0">
      <w:pPr>
        <w:spacing w:line="432" w:lineRule="auto"/>
      </w:pPr>
      <w:r>
        <w:t xml:space="preserve"> </w:t>
      </w:r>
    </w:p>
    <w:tbl>
      <w:tblPr>
        <w:tblW w:w="90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10"/>
        <w:gridCol w:w="4510"/>
      </w:tblGrid>
      <w:tr w:rsidR="00BF0AA0" w14:paraId="366D9105" w14:textId="77777777" w:rsidTr="00823E51">
        <w:tc>
          <w:tcPr>
            <w:tcW w:w="9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9686EBF" w14:textId="77777777" w:rsidR="00BF0AA0" w:rsidRDefault="00BF0AA0" w:rsidP="00823E51">
            <w:pPr>
              <w:spacing w:line="432" w:lineRule="auto"/>
              <w:rPr>
                <w:b/>
                <w:bCs/>
              </w:rPr>
            </w:pPr>
            <w:r>
              <w:rPr>
                <w:b/>
                <w:bCs/>
              </w:rPr>
              <w:t>PICO</w:t>
            </w:r>
          </w:p>
        </w:tc>
      </w:tr>
      <w:tr w:rsidR="00BF0AA0" w14:paraId="3FA07EDF" w14:textId="77777777" w:rsidTr="00823E51"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4613B91" w14:textId="77777777" w:rsidR="00BF0AA0" w:rsidRDefault="00BF0AA0" w:rsidP="00823E51">
            <w:pPr>
              <w:spacing w:line="432" w:lineRule="auto"/>
              <w:rPr>
                <w:b/>
                <w:bCs/>
              </w:rPr>
            </w:pPr>
            <w:r>
              <w:rPr>
                <w:b/>
                <w:bCs/>
              </w:rPr>
              <w:t>Participant</w:t>
            </w:r>
          </w:p>
          <w:p w14:paraId="4136FFD8" w14:textId="77777777" w:rsidR="00BF0AA0" w:rsidRDefault="00BF0AA0" w:rsidP="00823E51">
            <w:pPr>
              <w:spacing w:line="432" w:lineRule="auto"/>
              <w:rPr>
                <w:b/>
                <w:bCs/>
              </w:rPr>
            </w:pPr>
            <w:r>
              <w:rPr>
                <w:b/>
                <w:bCs/>
              </w:rPr>
              <w:t>s/Population</w:t>
            </w: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601D6F5" w14:textId="77777777" w:rsidR="00BF0AA0" w:rsidRDefault="00BF0AA0" w:rsidP="00823E51">
            <w:pPr>
              <w:spacing w:line="432" w:lineRule="auto"/>
            </w:pPr>
            <w:r>
              <w:t>Patients diagnosed with cluster headaches (episodic or chronic) based on ICHD-3 criteria.</w:t>
            </w:r>
          </w:p>
        </w:tc>
      </w:tr>
      <w:tr w:rsidR="00BF0AA0" w14:paraId="300457CB" w14:textId="77777777" w:rsidTr="00823E51"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B30133F" w14:textId="77777777" w:rsidR="00BF0AA0" w:rsidRDefault="00BF0AA0" w:rsidP="00823E51">
            <w:pPr>
              <w:spacing w:line="432" w:lineRule="auto"/>
              <w:rPr>
                <w:b/>
                <w:bCs/>
              </w:rPr>
            </w:pPr>
            <w:r>
              <w:rPr>
                <w:b/>
                <w:bCs/>
              </w:rPr>
              <w:t>Intervention(s)/Exposure(s)</w:t>
            </w: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E5F1062" w14:textId="77777777" w:rsidR="00BF0AA0" w:rsidRDefault="00BF0AA0" w:rsidP="00823E51">
            <w:pPr>
              <w:spacing w:line="432" w:lineRule="auto"/>
            </w:pPr>
            <w:r>
              <w:t>Neuromodulation techniques, including vagus nerve stimulation (VNS), deep brain stimulation (DBS), occipital nerve stimulation (ONS), transcranial magnetic stimulation (TMS), and sphenopalatine ganglion stimulation (SPG).</w:t>
            </w:r>
          </w:p>
        </w:tc>
      </w:tr>
      <w:tr w:rsidR="00BF0AA0" w14:paraId="67B75E58" w14:textId="77777777" w:rsidTr="00823E51"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1A8D892" w14:textId="77777777" w:rsidR="00BF0AA0" w:rsidRDefault="00BF0AA0" w:rsidP="00823E51">
            <w:pPr>
              <w:spacing w:line="432" w:lineRule="auto"/>
              <w:rPr>
                <w:b/>
                <w:bCs/>
              </w:rPr>
            </w:pPr>
            <w:r>
              <w:rPr>
                <w:b/>
                <w:bCs/>
              </w:rPr>
              <w:t>Comparator(s)/Control</w:t>
            </w: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5891A01" w14:textId="77777777" w:rsidR="00BF0AA0" w:rsidRDefault="00BF0AA0" w:rsidP="00823E51">
            <w:pPr>
              <w:spacing w:line="432" w:lineRule="auto"/>
            </w:pPr>
            <w:r>
              <w:t>Standard medical therapy (e.g., triptans, oxygen, verapamil) or placebo/sham stimulation.</w:t>
            </w:r>
          </w:p>
        </w:tc>
      </w:tr>
      <w:tr w:rsidR="00BF0AA0" w14:paraId="54D810E2" w14:textId="77777777" w:rsidTr="00823E51"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0AB48D7" w14:textId="77777777" w:rsidR="00BF0AA0" w:rsidRDefault="00BF0AA0" w:rsidP="00823E51">
            <w:pPr>
              <w:spacing w:line="432" w:lineRule="auto"/>
              <w:rPr>
                <w:b/>
                <w:bCs/>
              </w:rPr>
            </w:pPr>
            <w:r>
              <w:rPr>
                <w:b/>
                <w:bCs/>
              </w:rPr>
              <w:t>Outcomes</w:t>
            </w: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615FEAD" w14:textId="77777777" w:rsidR="00BF0AA0" w:rsidRDefault="00BF0AA0" w:rsidP="00823E51">
            <w:pPr>
              <w:spacing w:line="432" w:lineRule="auto"/>
            </w:pPr>
            <w:r>
              <w:t>Reduction in headache frequency, intensity, duration, quality of life improvement, and adverse effects. The research question was structured using the PICOS framework, as summarized in Table 1.</w:t>
            </w:r>
          </w:p>
        </w:tc>
      </w:tr>
    </w:tbl>
    <w:p w14:paraId="000C91D6" w14:textId="77777777" w:rsidR="00BF0AA0" w:rsidRDefault="00BF0AA0" w:rsidP="00BF0AA0">
      <w:pPr>
        <w:spacing w:line="432" w:lineRule="auto"/>
        <w:rPr>
          <w:b/>
          <w:bCs/>
        </w:rPr>
      </w:pPr>
      <w:r>
        <w:rPr>
          <w:b/>
          <w:bCs/>
        </w:rPr>
        <w:t>Table 1: PICOS Framework</w:t>
      </w:r>
    </w:p>
    <w:p w14:paraId="3B9DB4D2" w14:textId="77777777" w:rsidR="00BF0AA0" w:rsidRDefault="00BF0AA0" w:rsidP="00BF0AA0">
      <w:pPr>
        <w:spacing w:after="120" w:line="432" w:lineRule="auto"/>
        <w:jc w:val="both"/>
      </w:pPr>
      <w:r>
        <w:t>Table 3 Quality Assessment:</w:t>
      </w:r>
    </w:p>
    <w:tbl>
      <w:tblPr>
        <w:tblW w:w="90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4"/>
        <w:gridCol w:w="1503"/>
        <w:gridCol w:w="1503"/>
        <w:gridCol w:w="1503"/>
        <w:gridCol w:w="1503"/>
        <w:gridCol w:w="1503"/>
      </w:tblGrid>
      <w:tr w:rsidR="00BF0AA0" w14:paraId="3981F29D" w14:textId="77777777" w:rsidTr="00823E5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EBE72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Study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CF34F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Selection (0–4)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ED3A5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Comparability (0–2)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A58C0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Outcome (0–3)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BA899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 Stars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FD02C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Quality Level</w:t>
            </w:r>
          </w:p>
        </w:tc>
      </w:tr>
      <w:tr w:rsidR="00BF0AA0" w14:paraId="1DAD4DD6" w14:textId="77777777" w:rsidTr="00823E5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49454794" w14:textId="77777777" w:rsidR="00BF0AA0" w:rsidRDefault="00BF0AA0" w:rsidP="00823E51">
            <w:pPr>
              <w:spacing w:line="432" w:lineRule="auto"/>
            </w:pPr>
            <w:r>
              <w:t>May et al. 2006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7CABE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★★★★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9838F" w14:textId="77777777" w:rsidR="00BF0AA0" w:rsidRDefault="00BF0AA0" w:rsidP="00823E51">
            <w:pPr>
              <w:spacing w:after="120" w:line="432" w:lineRule="auto"/>
              <w:jc w:val="both"/>
            </w:pPr>
            <w:r>
              <w:t>★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8E90F" w14:textId="77777777" w:rsidR="00BF0AA0" w:rsidRDefault="00BF0AA0" w:rsidP="00823E51">
            <w:pPr>
              <w:spacing w:after="120" w:line="432" w:lineRule="auto"/>
              <w:jc w:val="both"/>
            </w:pPr>
            <w:r>
              <w:t>★★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1A256" w14:textId="77777777" w:rsidR="00BF0AA0" w:rsidRDefault="00BF0AA0" w:rsidP="00823E51">
            <w:pPr>
              <w:spacing w:after="120" w:line="432" w:lineRule="auto"/>
              <w:jc w:val="both"/>
            </w:pPr>
            <w:r>
              <w:t>7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DBECA" w14:textId="77777777" w:rsidR="00BF0AA0" w:rsidRDefault="00BF0AA0" w:rsidP="00823E51">
            <w:pPr>
              <w:spacing w:after="120" w:line="432" w:lineRule="auto"/>
              <w:jc w:val="both"/>
            </w:pPr>
            <w:r>
              <w:t xml:space="preserve">High </w:t>
            </w:r>
          </w:p>
        </w:tc>
      </w:tr>
      <w:tr w:rsidR="00BF0AA0" w14:paraId="37F28257" w14:textId="77777777" w:rsidTr="00823E51"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40" w:type="dxa"/>
              <w:bottom w:w="100" w:type="dxa"/>
              <w:right w:w="40" w:type="dxa"/>
            </w:tcMar>
            <w:vAlign w:val="bottom"/>
          </w:tcPr>
          <w:p w14:paraId="1C8FC75D" w14:textId="77777777" w:rsidR="00BF0AA0" w:rsidRDefault="00BF0AA0" w:rsidP="00823E51">
            <w:pPr>
              <w:spacing w:line="432" w:lineRule="auto"/>
            </w:pPr>
            <w:r>
              <w:t>Brandt et al. 2023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EC3D" w14:textId="77777777" w:rsidR="00BF0AA0" w:rsidRDefault="00BF0AA0" w:rsidP="00823E51">
            <w:pPr>
              <w:spacing w:after="120" w:line="432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★★★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6B580" w14:textId="77777777" w:rsidR="00BF0AA0" w:rsidRDefault="00BF0AA0" w:rsidP="00823E51">
            <w:pPr>
              <w:spacing w:after="120" w:line="432" w:lineRule="auto"/>
              <w:jc w:val="both"/>
            </w:pPr>
            <w:r>
              <w:t>★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DEB6F" w14:textId="77777777" w:rsidR="00BF0AA0" w:rsidRDefault="00BF0AA0" w:rsidP="00823E51">
            <w:pPr>
              <w:spacing w:after="120" w:line="432" w:lineRule="auto"/>
              <w:jc w:val="both"/>
            </w:pPr>
            <w:r>
              <w:t>★★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DC596" w14:textId="77777777" w:rsidR="00BF0AA0" w:rsidRDefault="00BF0AA0" w:rsidP="00823E51">
            <w:pPr>
              <w:spacing w:after="120" w:line="432" w:lineRule="auto"/>
              <w:jc w:val="both"/>
            </w:pPr>
            <w:r>
              <w:t>6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1D12C" w14:textId="77777777" w:rsidR="00BF0AA0" w:rsidRDefault="00BF0AA0" w:rsidP="00823E51">
            <w:pPr>
              <w:spacing w:after="120" w:line="432" w:lineRule="auto"/>
              <w:jc w:val="both"/>
            </w:pPr>
            <w:r>
              <w:t xml:space="preserve">Moderate </w:t>
            </w:r>
          </w:p>
        </w:tc>
      </w:tr>
    </w:tbl>
    <w:p w14:paraId="27595DBF" w14:textId="77777777" w:rsidR="00BF0AA0" w:rsidRPr="00BF0AA0" w:rsidRDefault="00BF0AA0" w:rsidP="00BF0AA0">
      <w:pPr>
        <w:spacing w:line="480" w:lineRule="auto"/>
        <w:jc w:val="both"/>
        <w:rPr>
          <w:sz w:val="28"/>
          <w:szCs w:val="28"/>
          <w:lang w:val="en-US"/>
        </w:rPr>
      </w:pPr>
    </w:p>
    <w:p w14:paraId="5EE5AB2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AA0"/>
    <w:rsid w:val="002978F5"/>
    <w:rsid w:val="003852CF"/>
    <w:rsid w:val="004E780C"/>
    <w:rsid w:val="00BD1465"/>
    <w:rsid w:val="00BF0AA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537DA"/>
  <w15:chartTrackingRefBased/>
  <w15:docId w15:val="{73F5C431-861E-4C15-B538-CEF6F83C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AA0"/>
    <w:pPr>
      <w:spacing w:after="0" w:line="240" w:lineRule="auto"/>
    </w:pPr>
    <w:rPr>
      <w:rFonts w:ascii="Times New Roman" w:eastAsia="Times New Roman" w:hAnsi="Times New Roman" w:cs="Times New Roman"/>
      <w:kern w:val="0"/>
      <w:lang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A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A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AA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AA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AA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AA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AA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AA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AA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A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A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A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0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AA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0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AA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0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AA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0A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A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A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AA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F0A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1020</Words>
  <Characters>6408</Characters>
  <Application>Microsoft Office Word</Application>
  <DocSecurity>0</DocSecurity>
  <Lines>640</Lines>
  <Paragraphs>239</Paragraphs>
  <ScaleCrop>false</ScaleCrop>
  <Company/>
  <LinksUpToDate>false</LinksUpToDate>
  <CharactersWithSpaces>7189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2026-01-23T18:58:00Z</dcterms:created>
  <dcterms:modified xsi:type="dcterms:W3CDTF">2026-01-23T18:58:00Z</dcterms:modified>
</cp:coreProperties>
</file>