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813FD" w:rsidR="009469EA" w:rsidP="009469EA" w:rsidRDefault="009469EA" w14:paraId="3153508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1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SUPPLEMENTARY </w:t>
      </w:r>
      <w:r w:rsidRPr="003813FD"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</w:rPr>
        <w:t>MATERIALS</w:t>
      </w:r>
    </w:p>
    <w:p w:rsidRPr="00363D71" w:rsidR="006C6464" w:rsidP="00363D71" w:rsidRDefault="00363D71" w14:paraId="10BA631E" w14:textId="0D6AA91C">
      <w:pPr>
        <w:widowControl/>
        <w:wordWrap/>
        <w:autoSpaceDE/>
        <w:autoSpaceDN/>
        <w:spacing w:line="278" w:lineRule="auto"/>
        <w:rPr>
          <w:b/>
          <w:bCs/>
        </w:rPr>
      </w:pPr>
      <w:r w:rsidRPr="00363D71">
        <w:rPr>
          <w:b/>
          <w:bCs/>
        </w:rPr>
        <w:t>a</w:t>
      </w:r>
    </w:p>
    <w:p w:rsidR="00047DFB" w:rsidRDefault="00764DB4" w14:paraId="51EAAD35" w14:textId="060EAE56">
      <w:r w:rsidRPr="00764DB4">
        <w:rPr>
          <w:noProof/>
        </w:rPr>
        <w:drawing>
          <wp:inline distT="0" distB="0" distL="0" distR="0" wp14:anchorId="0D7CB94B" wp14:editId="42A89678">
            <wp:extent cx="3410712" cy="3154680"/>
            <wp:effectExtent l="0" t="0" r="0" b="7620"/>
            <wp:docPr id="107048936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712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64DB4" w:rsidR="00764DB4" w:rsidRDefault="00764DB4" w14:paraId="0B9A1A56" w14:textId="31F113BC">
      <w:pPr>
        <w:rPr>
          <w:b/>
          <w:bCs/>
          <w:sz w:val="24"/>
        </w:rPr>
      </w:pPr>
      <w:r w:rsidRPr="00764DB4">
        <w:rPr>
          <w:b/>
          <w:bCs/>
          <w:sz w:val="24"/>
        </w:rPr>
        <w:t>b</w:t>
      </w:r>
    </w:p>
    <w:p w:rsidR="00047DFB" w:rsidRDefault="005939DA" w14:paraId="37A9136C" w14:textId="3203EA5F">
      <w:r w:rsidRPr="005939DA">
        <w:rPr>
          <w:noProof/>
        </w:rPr>
        <w:drawing>
          <wp:inline distT="0" distB="0" distL="0" distR="0" wp14:anchorId="4196DFAC" wp14:editId="68FF8295">
            <wp:extent cx="4873752" cy="1828800"/>
            <wp:effectExtent l="0" t="0" r="3175" b="0"/>
            <wp:docPr id="6130229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5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9DA" w:rsidRDefault="005939DA" w14:paraId="5083D47B" w14:textId="424CD790">
      <w:pPr>
        <w:rPr>
          <w:b/>
          <w:bCs/>
          <w:sz w:val="24"/>
        </w:rPr>
      </w:pPr>
      <w:r>
        <w:rPr>
          <w:b/>
          <w:bCs/>
          <w:sz w:val="24"/>
        </w:rPr>
        <w:t>c</w:t>
      </w:r>
    </w:p>
    <w:p w:rsidR="005939DA" w:rsidRDefault="005939DA" w14:paraId="2A28BCC5" w14:textId="6556525E">
      <w:pPr>
        <w:rPr>
          <w:b/>
          <w:bCs/>
          <w:sz w:val="24"/>
        </w:rPr>
      </w:pPr>
      <w:r w:rsidRPr="005939DA">
        <w:rPr>
          <w:noProof/>
        </w:rPr>
        <w:lastRenderedPageBreak/>
        <w:drawing>
          <wp:inline distT="0" distB="0" distL="0" distR="0" wp14:anchorId="49B14357" wp14:editId="2D417169">
            <wp:extent cx="3584448" cy="3008376"/>
            <wp:effectExtent l="0" t="0" r="0" b="1905"/>
            <wp:docPr id="11819380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8" cy="30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9DA" w:rsidP="005939DA" w:rsidRDefault="005939DA" w14:paraId="77203951" w14:textId="77777777">
      <w:pPr>
        <w:pStyle w:val="NormalWeb"/>
        <w:spacing w:before="0" w:beforeAutospacing="0" w:after="0" w:afterAutospacing="0"/>
        <w:jc w:val="both"/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Supplementary Figure 1: Landscape for cell compartments and sample construction of the single-cell RNA data of kidney tissues from mice model: (a)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Uniform manifold approximation and projection (UMAP) embeddings of total 27,396 mice renal cells from 5 time points after quality control and removal of batch effects. We identified total 7 major cell types and Proximal Tubular Cell (PTC) separate to PTC1 and PTC2 based on unsupervised clustering and mitochondrial percentage difference. The 2 color tracks in the circular plots (from outside to inside) indicate cell type and sample information. 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(b)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Dot plot of top differentially expressed genes and known cell markers for each renal cell </w:t>
      </w:r>
      <w:proofErr w:type="gramStart"/>
      <w:r>
        <w:rPr>
          <w:rFonts w:eastAsiaTheme="minorEastAsia"/>
          <w:color w:val="000000" w:themeColor="text1"/>
          <w:kern w:val="24"/>
          <w:sz w:val="36"/>
          <w:szCs w:val="36"/>
        </w:rPr>
        <w:t>types</w:t>
      </w:r>
      <w:proofErr w:type="gramEnd"/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. 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(c)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Stacked bar plot showing the distribution of major cell types across 5 time points, percentage of renal macrophage dramatically </w:t>
      </w:r>
      <w:proofErr w:type="gramStart"/>
      <w:r>
        <w:rPr>
          <w:rFonts w:eastAsiaTheme="minorEastAsia"/>
          <w:color w:val="000000" w:themeColor="text1"/>
          <w:kern w:val="24"/>
          <w:sz w:val="36"/>
          <w:szCs w:val="36"/>
        </w:rPr>
        <w:t>decrease</w:t>
      </w:r>
      <w:proofErr w:type="gramEnd"/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from D0 to D1 then gradually generate back from D1 to D7. Abbreviations: Proximal Tubular Cell (PTC), Distal Tubular Cell (DTC), Loop of Helene (LOH), Macrophage (Macro), T Cell (T), B Cell (B). </w:t>
      </w:r>
    </w:p>
    <w:p w:rsidR="005939DA" w:rsidRDefault="005939DA" w14:paraId="3BA2D765" w14:textId="4D398614">
      <w:pPr>
        <w:widowControl/>
        <w:wordWrap/>
        <w:autoSpaceDE/>
        <w:autoSpaceDN/>
        <w:spacing w:line="27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5939DA" w:rsidRDefault="0049125F" w14:paraId="06076911" w14:textId="3776A8D5">
      <w:pPr>
        <w:rPr>
          <w:b/>
          <w:bCs/>
          <w:sz w:val="24"/>
        </w:rPr>
      </w:pPr>
      <w:r w:rsidRPr="0049125F">
        <w:rPr>
          <w:noProof/>
        </w:rPr>
        <w:lastRenderedPageBreak/>
        <w:drawing>
          <wp:inline distT="0" distB="0" distL="0" distR="0" wp14:anchorId="6A15E73A" wp14:editId="001EB275">
            <wp:extent cx="7251192" cy="6126480"/>
            <wp:effectExtent l="0" t="0" r="6985" b="7620"/>
            <wp:docPr id="15506070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192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5F" w:rsidP="2C7CE8F7" w:rsidRDefault="0049125F" w14:textId="77777777" w14:paraId="1E52C218">
      <w:pPr>
        <w:pStyle w:val="NormalWeb"/>
        <w:spacing w:before="0" w:beforeAutospacing="off" w:after="0" w:afterAutospacing="off"/>
        <w:jc w:val="both"/>
      </w:pPr>
      <w:r w:rsidRPr="615C53A8">
        <w:rPr>
          <w:rFonts w:eastAsia="" w:eastAsiaTheme="minorEastAsia"/>
          <w:b w:val="1"/>
          <w:bCs w:val="1"/>
          <w:color w:val="000000" w:themeColor="text1"/>
          <w:kern w:val="24"/>
          <w:sz w:val="36"/>
          <w:szCs w:val="36"/>
        </w:rPr>
        <w:t xml:space="preserve">Supplementary Figure 2: Visualization of single-cell gene-expression dynamics across ILY-treated mouse kidneys. 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>Heatmap showing the top 30 upregulated (red) and top 30 downregulated (blue) differentially expressed genes (DEGs) identified in Bulk kidney cell populations, PTC1, PTC2, and Cx3cr1</w:t>
      </w:r>
      <w:r w:rsidRPr="615C53A8">
        <w:rPr>
          <w:rFonts w:ascii="Cambria Math" w:hAnsi="Cambria Math" w:eastAsia="" w:cs="Cambria Math" w:eastAsiaTheme="minorEastAsia"/>
          <w:color w:val="000000" w:themeColor="text1"/>
          <w:kern w:val="24"/>
          <w:sz w:val="36"/>
          <w:szCs w:val="36"/>
        </w:rPr>
        <w:t>⁺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 xml:space="preserve"> cell populations, profiled by 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>scRNA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>-seq. Genes were ranked according to the mean log₂ fold-change (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>log₂FC</w:t>
      </w:r>
      <w:r w:rsidRPr="615C53A8">
        <w:rPr>
          <w:rFonts w:eastAsia="" w:eastAsiaTheme="minorEastAsia"/>
          <w:color w:val="000000" w:themeColor="text1"/>
          <w:kern w:val="24"/>
          <w:sz w:val="36"/>
          <w:szCs w:val="36"/>
        </w:rPr>
        <w:t>) across the three time-point comparisons (D1 vs D0, D3 vs D0, and D7 vs D0). The heatmap illustrates consistent expression trends across groups, highlighting transcriptional responses to ILY treatment at the single-cell level.</w:t>
      </w:r>
    </w:p>
    <w:sectPr w:rsidRPr="005939DA" w:rsidR="0049125F" w:rsidSect="0049125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IDS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t20x2x55t20z0et5pxxwwxozasezxr9s2se&quot;&gt;2009R01v2 Copy-Saved Copy-Converted&lt;record-ids&gt;&lt;item&gt;10795&lt;/item&gt;&lt;item&gt;13315&lt;/item&gt;&lt;item&gt;13336&lt;/item&gt;&lt;item&gt;13378&lt;/item&gt;&lt;item&gt;13379&lt;/item&gt;&lt;/record-ids&gt;&lt;/item&gt;&lt;/Libraries&gt;"/>
  </w:docVars>
  <w:rsids>
    <w:rsidRoot w:val="009469EA"/>
    <w:rsid w:val="00047DFB"/>
    <w:rsid w:val="00146268"/>
    <w:rsid w:val="00297815"/>
    <w:rsid w:val="00363D71"/>
    <w:rsid w:val="0049125F"/>
    <w:rsid w:val="00493F71"/>
    <w:rsid w:val="005939DA"/>
    <w:rsid w:val="005C2408"/>
    <w:rsid w:val="006C6464"/>
    <w:rsid w:val="00764DB4"/>
    <w:rsid w:val="008E240C"/>
    <w:rsid w:val="009469EA"/>
    <w:rsid w:val="00EE2C7C"/>
    <w:rsid w:val="2C7CE8F7"/>
    <w:rsid w:val="615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6A2D"/>
  <w15:chartTrackingRefBased/>
  <w15:docId w15:val="{2EF0F509-B2E0-4451-A86E-696DB291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9EA"/>
    <w:pPr>
      <w:widowControl w:val="0"/>
      <w:wordWrap w:val="0"/>
      <w:autoSpaceDE w:val="0"/>
      <w:autoSpaceDN w:val="0"/>
      <w:spacing w:line="240" w:lineRule="auto"/>
    </w:pPr>
    <w:rPr>
      <w:rFonts w:eastAsiaTheme="minorEastAsia"/>
      <w:sz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9EA"/>
    <w:pPr>
      <w:keepNext/>
      <w:keepLines/>
      <w:widowControl/>
      <w:wordWrap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EA"/>
    <w:pPr>
      <w:keepNext/>
      <w:keepLines/>
      <w:widowControl/>
      <w:wordWrap/>
      <w:autoSpaceDE/>
      <w:autoSpaceDN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69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69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69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69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69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69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69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69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6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EA"/>
    <w:pPr>
      <w:widowControl/>
      <w:wordWrap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9469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EA"/>
    <w:pPr>
      <w:widowControl/>
      <w:numPr>
        <w:ilvl w:val="1"/>
      </w:numPr>
      <w:wordWrap/>
      <w:autoSpaceDE/>
      <w:autoSpaceDN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946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EA"/>
    <w:pPr>
      <w:widowControl/>
      <w:wordWrap/>
      <w:autoSpaceDE/>
      <w:autoSpaceDN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946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EA"/>
    <w:pPr>
      <w:widowControl/>
      <w:wordWrap/>
      <w:autoSpaceDE/>
      <w:autoSpaceDN/>
      <w:spacing w:line="278" w:lineRule="auto"/>
      <w:ind w:left="720"/>
      <w:contextualSpacing/>
    </w:pPr>
    <w:rPr>
      <w:rFonts w:eastAsiaTheme="minorHAnsi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946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EA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wordWrap/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6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69EA"/>
    <w:pPr>
      <w:widowControl/>
      <w:wordWrap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469EA"/>
    <w:rPr>
      <w:color w:val="467886" w:themeColor="hyperlink"/>
      <w:u w:val="single"/>
    </w:rPr>
  </w:style>
  <w:style w:type="paragraph" w:styleId="EndNoteBibliographyTitle" w:customStyle="1">
    <w:name w:val="EndNote Bibliography Title"/>
    <w:basedOn w:val="Normal"/>
    <w:link w:val="EndNoteBibliographyTitleChar"/>
    <w:rsid w:val="00297815"/>
    <w:pPr>
      <w:spacing w:after="0"/>
      <w:jc w:val="center"/>
    </w:pPr>
    <w:rPr>
      <w:rFonts w:ascii="Aptos" w:hAnsi="Aptos"/>
      <w:noProof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297815"/>
    <w:rPr>
      <w:rFonts w:ascii="Aptos" w:hAnsi="Aptos" w:eastAsiaTheme="minorEastAsia"/>
      <w:noProof/>
      <w:sz w:val="22"/>
      <w:lang w:eastAsia="ko-KR"/>
    </w:rPr>
  </w:style>
  <w:style w:type="paragraph" w:styleId="EndNoteBibliography" w:customStyle="1">
    <w:name w:val="EndNote Bibliography"/>
    <w:basedOn w:val="Normal"/>
    <w:link w:val="EndNoteBibliographyChar"/>
    <w:rsid w:val="00297815"/>
    <w:rPr>
      <w:rFonts w:ascii="Aptos" w:hAnsi="Aptos"/>
      <w:noProof/>
    </w:rPr>
  </w:style>
  <w:style w:type="character" w:styleId="EndNoteBibliographyChar" w:customStyle="1">
    <w:name w:val="EndNote Bibliography Char"/>
    <w:basedOn w:val="DefaultParagraphFont"/>
    <w:link w:val="EndNoteBibliography"/>
    <w:rsid w:val="00297815"/>
    <w:rPr>
      <w:rFonts w:ascii="Aptos" w:hAnsi="Aptos" w:eastAsiaTheme="minorEastAsia"/>
      <w:noProof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e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emf" Id="rId6" /><Relationship Type="http://schemas.openxmlformats.org/officeDocument/2006/relationships/image" Target="media/image2.emf" Id="rId5" /><Relationship Type="http://schemas.openxmlformats.org/officeDocument/2006/relationships/image" Target="media/image1.emf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Tulane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Qin, Xuebin</dc:creator>
  <keywords/>
  <dc:description/>
  <lastModifiedBy>Mohammad Islamuddin</lastModifiedBy>
  <revision>9</revision>
  <dcterms:created xsi:type="dcterms:W3CDTF">2025-12-26T21:45:00.0000000Z</dcterms:created>
  <dcterms:modified xsi:type="dcterms:W3CDTF">2026-01-12T17:47:36.6033070Z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2b24b544-47c9-4d2d-ba09-d338d502635a</vt:lpwstr>
  </property>
</Properties>
</file>