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CDEEF3" w14:textId="77777777" w:rsidR="007B1166" w:rsidRPr="00FB7E71" w:rsidRDefault="007B1166" w:rsidP="00902D7F">
      <w:pPr>
        <w:spacing w:line="480" w:lineRule="auto"/>
        <w:rPr>
          <w:rFonts w:ascii="Times New Roman" w:hAnsi="Times New Roman" w:cs="Times New Roman"/>
          <w:i/>
          <w:color w:val="000000" w:themeColor="text1"/>
          <w:sz w:val="24"/>
          <w:szCs w:val="24"/>
          <w:lang w:val="en-GB"/>
        </w:rPr>
      </w:pPr>
      <w:r w:rsidRPr="00FB7E71">
        <w:rPr>
          <w:rFonts w:ascii="Times New Roman" w:hAnsi="Times New Roman" w:cs="Times New Roman"/>
          <w:i/>
          <w:color w:val="000000" w:themeColor="text1"/>
          <w:sz w:val="24"/>
          <w:szCs w:val="24"/>
          <w:lang w:val="en-GB"/>
        </w:rPr>
        <w:t>Supporting information for</w:t>
      </w:r>
    </w:p>
    <w:p w14:paraId="10C5AB89" w14:textId="77777777" w:rsidR="008F196E" w:rsidRPr="006F489F" w:rsidRDefault="008F196E" w:rsidP="008F196E">
      <w:pPr>
        <w:spacing w:after="0" w:line="360" w:lineRule="auto"/>
        <w:rPr>
          <w:rFonts w:ascii="Arial" w:hAnsi="Arial" w:cs="Arial"/>
          <w:b/>
          <w:szCs w:val="24"/>
        </w:rPr>
      </w:pPr>
      <w:r w:rsidRPr="006F489F">
        <w:rPr>
          <w:rFonts w:ascii="Arial" w:hAnsi="Arial" w:cs="Arial"/>
          <w:b/>
          <w:szCs w:val="24"/>
        </w:rPr>
        <w:t>Ni-</w:t>
      </w:r>
      <w:r>
        <w:rPr>
          <w:rFonts w:ascii="Arial" w:hAnsi="Arial" w:cs="Arial"/>
          <w:b/>
          <w:szCs w:val="24"/>
        </w:rPr>
        <w:t xml:space="preserve">Fe </w:t>
      </w:r>
      <w:r w:rsidRPr="006F489F">
        <w:rPr>
          <w:rFonts w:ascii="Arial" w:hAnsi="Arial" w:cs="Arial"/>
          <w:b/>
          <w:szCs w:val="24"/>
        </w:rPr>
        <w:t>phosphide deposited carbon felt as free-standing bifunctional catalyst electrode for urea electrolysis</w:t>
      </w:r>
    </w:p>
    <w:p w14:paraId="18312876" w14:textId="77777777" w:rsidR="008F196E" w:rsidRDefault="008F196E" w:rsidP="00EA53E8">
      <w:pPr>
        <w:spacing w:line="240" w:lineRule="auto"/>
        <w:rPr>
          <w:rFonts w:ascii="Times New Roman" w:hAnsi="Times New Roman"/>
          <w:color w:val="000000" w:themeColor="text1"/>
          <w:szCs w:val="24"/>
        </w:rPr>
      </w:pPr>
    </w:p>
    <w:p w14:paraId="347FDFED" w14:textId="35F8C4E4" w:rsidR="00CE5B0F" w:rsidRDefault="00CE5B0F" w:rsidP="00CE5B0F">
      <w:pPr>
        <w:spacing w:line="360" w:lineRule="auto"/>
        <w:rPr>
          <w:rFonts w:ascii="Times New Roman" w:hAnsi="Times New Roman"/>
          <w:color w:val="000000" w:themeColor="text1"/>
          <w:szCs w:val="24"/>
        </w:rPr>
      </w:pPr>
      <w:r w:rsidRPr="00FB7E71">
        <w:rPr>
          <w:rFonts w:ascii="Times New Roman" w:hAnsi="Times New Roman"/>
          <w:color w:val="000000" w:themeColor="text1"/>
          <w:szCs w:val="24"/>
        </w:rPr>
        <w:t xml:space="preserve">Woo Hyun Yun, Gautam Das, Bohyeon Kim, </w:t>
      </w:r>
      <w:r w:rsidR="0047559C">
        <w:rPr>
          <w:rFonts w:ascii="Times New Roman" w:hAnsi="Times New Roman"/>
          <w:color w:val="000000" w:themeColor="text1"/>
          <w:szCs w:val="24"/>
        </w:rPr>
        <w:t>Bang Ju park</w:t>
      </w:r>
      <w:r w:rsidRPr="00FB7E71">
        <w:rPr>
          <w:rFonts w:ascii="Times New Roman" w:hAnsi="Times New Roman"/>
          <w:color w:val="000000" w:themeColor="text1"/>
          <w:szCs w:val="24"/>
        </w:rPr>
        <w:t xml:space="preserve">, Hyon Hee Yoon, and </w:t>
      </w:r>
      <w:r w:rsidR="008F196E">
        <w:rPr>
          <w:rFonts w:ascii="Times New Roman" w:hAnsi="Times New Roman"/>
          <w:color w:val="000000" w:themeColor="text1"/>
          <w:szCs w:val="24"/>
        </w:rPr>
        <w:t>Young Soo Yoon</w:t>
      </w:r>
    </w:p>
    <w:p w14:paraId="17DE6F9D" w14:textId="77777777" w:rsidR="00E73C6E" w:rsidRPr="0047559C" w:rsidRDefault="00E73C6E" w:rsidP="00EA53E8">
      <w:pPr>
        <w:spacing w:line="240" w:lineRule="auto"/>
        <w:rPr>
          <w:rFonts w:ascii="Times New Roman" w:hAnsi="Times New Roman"/>
          <w:color w:val="000000" w:themeColor="text1"/>
          <w:szCs w:val="24"/>
        </w:rPr>
      </w:pPr>
      <w:bookmarkStart w:id="0" w:name="_GoBack"/>
      <w:bookmarkEnd w:id="0"/>
    </w:p>
    <w:p w14:paraId="30D81A57" w14:textId="77777777" w:rsidR="007B1166" w:rsidRPr="00FB7E71" w:rsidRDefault="00F12671" w:rsidP="00EA53E8">
      <w:pPr>
        <w:spacing w:line="240" w:lineRule="auto"/>
        <w:jc w:val="center"/>
        <w:rPr>
          <w:rFonts w:ascii="Times New Roman" w:hAnsi="Times New Roman" w:cs="Times New Roman"/>
          <w:i/>
          <w:color w:val="000000" w:themeColor="text1"/>
          <w:sz w:val="24"/>
          <w:szCs w:val="24"/>
          <w:vertAlign w:val="superscript"/>
        </w:rPr>
      </w:pPr>
      <w:r w:rsidRPr="00FB7E71">
        <w:rPr>
          <w:rFonts w:ascii="Times New Roman" w:hAnsi="Times New Roman" w:cs="Times New Roman"/>
          <w:i/>
          <w:noProof/>
          <w:color w:val="000000" w:themeColor="text1"/>
          <w:sz w:val="24"/>
          <w:szCs w:val="24"/>
          <w:vertAlign w:val="superscript"/>
          <w:lang w:bidi="ar-SA"/>
        </w:rPr>
        <w:drawing>
          <wp:inline distT="0" distB="0" distL="0" distR="0" wp14:anchorId="1F4BCA5D" wp14:editId="399F0616">
            <wp:extent cx="4655127" cy="2521527"/>
            <wp:effectExtent l="0" t="0" r="0" b="0"/>
            <wp:docPr id="3" name="Picture 3" descr="H:\Korea\Paper own\AEM\Melamine sponge\Figures\Final Figures\Applied Catalysis A\Figures\Manuscirpt\Figures\Fig. 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Korea\Paper own\AEM\Melamine sponge\Figures\Final Figures\Applied Catalysis A\Figures\Manuscirpt\Figures\Fig. S1.t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67133" cy="2528030"/>
                    </a:xfrm>
                    <a:prstGeom prst="rect">
                      <a:avLst/>
                    </a:prstGeom>
                    <a:noFill/>
                    <a:ln>
                      <a:noFill/>
                    </a:ln>
                  </pic:spPr>
                </pic:pic>
              </a:graphicData>
            </a:graphic>
          </wp:inline>
        </w:drawing>
      </w:r>
    </w:p>
    <w:p w14:paraId="02F10812" w14:textId="7493D11A" w:rsidR="00226880" w:rsidRDefault="00871E18" w:rsidP="00E73C6E">
      <w:pPr>
        <w:pStyle w:val="MDPI32textnoindent"/>
        <w:spacing w:line="360" w:lineRule="auto"/>
        <w:ind w:firstLine="420"/>
        <w:jc w:val="center"/>
        <w:rPr>
          <w:rFonts w:ascii="Times New Roman" w:hAnsi="Times New Roman"/>
          <w:color w:val="000000" w:themeColor="text1"/>
          <w:sz w:val="22"/>
          <w:szCs w:val="22"/>
        </w:rPr>
      </w:pPr>
      <w:r w:rsidRPr="00E73C6E">
        <w:rPr>
          <w:rFonts w:ascii="Times New Roman" w:hAnsi="Times New Roman"/>
          <w:b/>
          <w:color w:val="000000" w:themeColor="text1"/>
          <w:sz w:val="22"/>
          <w:szCs w:val="22"/>
        </w:rPr>
        <w:t>Fig</w:t>
      </w:r>
      <w:r w:rsidR="00F12671" w:rsidRPr="00E73C6E">
        <w:rPr>
          <w:rFonts w:ascii="Times New Roman" w:hAnsi="Times New Roman"/>
          <w:b/>
          <w:color w:val="000000" w:themeColor="text1"/>
          <w:sz w:val="22"/>
          <w:szCs w:val="22"/>
        </w:rPr>
        <w:t>. S1.</w:t>
      </w:r>
      <w:r w:rsidRPr="00E73C6E">
        <w:rPr>
          <w:rFonts w:ascii="Times New Roman" w:hAnsi="Times New Roman"/>
          <w:color w:val="000000" w:themeColor="text1"/>
          <w:sz w:val="22"/>
          <w:szCs w:val="22"/>
        </w:rPr>
        <w:t xml:space="preserve"> </w:t>
      </w:r>
      <w:r w:rsidR="00E73C6E" w:rsidRPr="00E73C6E">
        <w:rPr>
          <w:rFonts w:ascii="Times New Roman" w:hAnsi="Times New Roman"/>
          <w:color w:val="000000" w:themeColor="text1"/>
          <w:sz w:val="22"/>
          <w:szCs w:val="22"/>
        </w:rPr>
        <w:t xml:space="preserve">SEM </w:t>
      </w:r>
      <w:r w:rsidRPr="00E73C6E">
        <w:rPr>
          <w:rFonts w:ascii="Times New Roman" w:hAnsi="Times New Roman"/>
          <w:color w:val="000000" w:themeColor="text1"/>
          <w:sz w:val="22"/>
          <w:szCs w:val="22"/>
        </w:rPr>
        <w:t>ED</w:t>
      </w:r>
      <w:r w:rsidR="00E73C6E" w:rsidRPr="00E73C6E">
        <w:rPr>
          <w:rFonts w:ascii="Times New Roman" w:hAnsi="Times New Roman"/>
          <w:color w:val="000000" w:themeColor="text1"/>
          <w:sz w:val="22"/>
          <w:szCs w:val="22"/>
        </w:rPr>
        <w:t>X</w:t>
      </w:r>
      <w:r w:rsidRPr="00E73C6E">
        <w:rPr>
          <w:rFonts w:ascii="Times New Roman" w:hAnsi="Times New Roman"/>
          <w:color w:val="000000" w:themeColor="text1"/>
          <w:sz w:val="22"/>
          <w:szCs w:val="22"/>
        </w:rPr>
        <w:t xml:space="preserve"> </w:t>
      </w:r>
      <w:r w:rsidR="00613A82" w:rsidRPr="00E73C6E">
        <w:rPr>
          <w:rFonts w:ascii="Times New Roman" w:hAnsi="Times New Roman"/>
          <w:color w:val="000000" w:themeColor="text1"/>
          <w:sz w:val="22"/>
          <w:szCs w:val="22"/>
        </w:rPr>
        <w:t xml:space="preserve">spectra </w:t>
      </w:r>
      <w:r w:rsidRPr="00E73C6E">
        <w:rPr>
          <w:rFonts w:ascii="Times New Roman" w:hAnsi="Times New Roman"/>
          <w:color w:val="000000" w:themeColor="text1"/>
          <w:sz w:val="22"/>
          <w:szCs w:val="22"/>
        </w:rPr>
        <w:t xml:space="preserve">of (a) carbon felt, (b) Ni@CF (c) NiFe@CF and (d) </w:t>
      </w:r>
      <w:r w:rsidR="00CE5B0F" w:rsidRPr="00E73C6E">
        <w:rPr>
          <w:rFonts w:ascii="Times New Roman" w:hAnsi="Times New Roman"/>
          <w:color w:val="000000" w:themeColor="text1"/>
          <w:sz w:val="22"/>
          <w:szCs w:val="22"/>
        </w:rPr>
        <w:t>P-NiFe</w:t>
      </w:r>
      <w:r w:rsidRPr="00E73C6E">
        <w:rPr>
          <w:rFonts w:ascii="Times New Roman" w:hAnsi="Times New Roman"/>
          <w:color w:val="000000" w:themeColor="text1"/>
          <w:sz w:val="22"/>
          <w:szCs w:val="22"/>
        </w:rPr>
        <w:t>@CF</w:t>
      </w:r>
      <w:r w:rsidR="00226880" w:rsidRPr="00E73C6E">
        <w:rPr>
          <w:rFonts w:ascii="Times New Roman" w:hAnsi="Times New Roman"/>
          <w:color w:val="000000" w:themeColor="text1"/>
          <w:sz w:val="22"/>
          <w:szCs w:val="22"/>
        </w:rPr>
        <w:t>.</w:t>
      </w:r>
    </w:p>
    <w:p w14:paraId="65F8E573" w14:textId="3B247877" w:rsidR="006A2BBD" w:rsidRPr="00FB7E71" w:rsidRDefault="006A2BBD" w:rsidP="00EA53E8">
      <w:pPr>
        <w:pStyle w:val="MDPI32textnoindent"/>
        <w:spacing w:line="360" w:lineRule="auto"/>
        <w:ind w:firstLine="420"/>
        <w:jc w:val="center"/>
        <w:rPr>
          <w:rFonts w:ascii="Times New Roman" w:hAnsi="Times New Roman"/>
          <w:color w:val="000000" w:themeColor="text1"/>
          <w:sz w:val="24"/>
          <w:szCs w:val="24"/>
        </w:rPr>
      </w:pPr>
      <w:r w:rsidRPr="00FB7E71">
        <w:rPr>
          <w:rFonts w:ascii="Times New Roman" w:hAnsi="Times New Roman"/>
          <w:noProof/>
          <w:snapToGrid/>
          <w:color w:val="000000" w:themeColor="text1"/>
          <w:sz w:val="24"/>
          <w:szCs w:val="24"/>
          <w:lang w:eastAsia="ko-KR" w:bidi="ar-SA"/>
        </w:rPr>
        <w:drawing>
          <wp:inline distT="0" distB="0" distL="0" distR="0" wp14:anchorId="012E4A98" wp14:editId="6BEFB09D">
            <wp:extent cx="2711450" cy="2976802"/>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29867" cy="2997022"/>
                    </a:xfrm>
                    <a:prstGeom prst="rect">
                      <a:avLst/>
                    </a:prstGeom>
                  </pic:spPr>
                </pic:pic>
              </a:graphicData>
            </a:graphic>
          </wp:inline>
        </w:drawing>
      </w:r>
    </w:p>
    <w:p w14:paraId="5DC7C168" w14:textId="013708E7" w:rsidR="006A2BBD" w:rsidRPr="00EA53E8" w:rsidRDefault="006A2BBD" w:rsidP="00EA53E8">
      <w:pPr>
        <w:pStyle w:val="MDPI32textnoindent"/>
        <w:spacing w:line="360" w:lineRule="auto"/>
        <w:ind w:firstLine="420"/>
        <w:rPr>
          <w:rFonts w:ascii="Times New Roman" w:hAnsi="Times New Roman"/>
          <w:color w:val="000000" w:themeColor="text1"/>
          <w:sz w:val="22"/>
          <w:szCs w:val="22"/>
        </w:rPr>
      </w:pPr>
      <w:r w:rsidRPr="00EA53E8">
        <w:rPr>
          <w:rFonts w:ascii="Times New Roman" w:hAnsi="Times New Roman"/>
          <w:b/>
          <w:color w:val="000000" w:themeColor="text1"/>
          <w:sz w:val="22"/>
          <w:szCs w:val="22"/>
        </w:rPr>
        <w:t>Fig. S2.</w:t>
      </w:r>
      <w:r w:rsidRPr="00EA53E8">
        <w:rPr>
          <w:rFonts w:ascii="Times New Roman" w:hAnsi="Times New Roman"/>
          <w:color w:val="000000" w:themeColor="text1"/>
          <w:sz w:val="22"/>
          <w:szCs w:val="22"/>
        </w:rPr>
        <w:t xml:space="preserve"> EDS </w:t>
      </w:r>
      <w:r w:rsidR="00613A82" w:rsidRPr="00EA53E8">
        <w:rPr>
          <w:rFonts w:ascii="Times New Roman" w:hAnsi="Times New Roman"/>
          <w:color w:val="000000" w:themeColor="text1"/>
          <w:sz w:val="22"/>
          <w:szCs w:val="22"/>
        </w:rPr>
        <w:t xml:space="preserve">elemental </w:t>
      </w:r>
      <w:r w:rsidRPr="00EA53E8">
        <w:rPr>
          <w:rFonts w:ascii="Times New Roman" w:hAnsi="Times New Roman"/>
          <w:color w:val="000000" w:themeColor="text1"/>
          <w:sz w:val="22"/>
          <w:szCs w:val="22"/>
        </w:rPr>
        <w:t>mapping</w:t>
      </w:r>
      <w:r w:rsidR="007C2E31" w:rsidRPr="00EA53E8">
        <w:rPr>
          <w:rFonts w:ascii="Times New Roman" w:hAnsi="Times New Roman"/>
          <w:color w:val="000000" w:themeColor="text1"/>
          <w:sz w:val="22"/>
          <w:szCs w:val="22"/>
        </w:rPr>
        <w:t xml:space="preserve"> </w:t>
      </w:r>
      <w:r w:rsidRPr="00EA53E8">
        <w:rPr>
          <w:rFonts w:ascii="Times New Roman" w:hAnsi="Times New Roman"/>
          <w:color w:val="000000" w:themeColor="text1"/>
          <w:sz w:val="22"/>
          <w:szCs w:val="22"/>
        </w:rPr>
        <w:t xml:space="preserve">of (a) Ni@CF, (b) NiFe@CF (c) </w:t>
      </w:r>
      <w:r w:rsidR="00CE5B0F" w:rsidRPr="00EA53E8">
        <w:rPr>
          <w:rFonts w:ascii="Times New Roman" w:hAnsi="Times New Roman"/>
          <w:color w:val="000000" w:themeColor="text1"/>
          <w:sz w:val="22"/>
          <w:szCs w:val="22"/>
        </w:rPr>
        <w:t>P-NiFe</w:t>
      </w:r>
      <w:r w:rsidRPr="00EA53E8">
        <w:rPr>
          <w:rFonts w:ascii="Times New Roman" w:hAnsi="Times New Roman"/>
          <w:color w:val="000000" w:themeColor="text1"/>
          <w:sz w:val="22"/>
          <w:szCs w:val="22"/>
        </w:rPr>
        <w:t>@CF</w:t>
      </w:r>
      <w:r w:rsidR="008A7B58" w:rsidRPr="00EA53E8">
        <w:rPr>
          <w:rFonts w:ascii="Times New Roman" w:hAnsi="Times New Roman"/>
          <w:color w:val="000000" w:themeColor="text1"/>
          <w:sz w:val="22"/>
          <w:szCs w:val="22"/>
        </w:rPr>
        <w:t xml:space="preserve"> obtained by SEM</w:t>
      </w:r>
      <w:r w:rsidRPr="00EA53E8">
        <w:rPr>
          <w:rFonts w:ascii="Times New Roman" w:hAnsi="Times New Roman"/>
          <w:color w:val="000000" w:themeColor="text1"/>
          <w:sz w:val="22"/>
          <w:szCs w:val="22"/>
        </w:rPr>
        <w:t>.</w:t>
      </w:r>
    </w:p>
    <w:p w14:paraId="527A20E8" w14:textId="77777777" w:rsidR="00EA53E8" w:rsidRDefault="00EA53E8" w:rsidP="00EA53E8">
      <w:pPr>
        <w:tabs>
          <w:tab w:val="left" w:pos="1680"/>
        </w:tabs>
        <w:spacing w:line="240" w:lineRule="auto"/>
        <w:jc w:val="center"/>
        <w:rPr>
          <w:rFonts w:ascii="Times New Roman" w:hAnsi="Times New Roman"/>
          <w:b/>
          <w:color w:val="000000" w:themeColor="text1"/>
          <w:sz w:val="24"/>
          <w:szCs w:val="24"/>
        </w:rPr>
      </w:pPr>
      <w:r w:rsidRPr="00FB7E71">
        <w:rPr>
          <w:noProof/>
          <w:color w:val="000000" w:themeColor="text1"/>
          <w:lang w:bidi="ar-SA"/>
        </w:rPr>
        <w:lastRenderedPageBreak/>
        <w:drawing>
          <wp:inline distT="0" distB="0" distL="0" distR="0" wp14:anchorId="47B02E23" wp14:editId="4C7AFBAC">
            <wp:extent cx="4921200" cy="1638000"/>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21200" cy="1638000"/>
                    </a:xfrm>
                    <a:prstGeom prst="rect">
                      <a:avLst/>
                    </a:prstGeom>
                    <a:noFill/>
                    <a:ln>
                      <a:noFill/>
                    </a:ln>
                  </pic:spPr>
                </pic:pic>
              </a:graphicData>
            </a:graphic>
          </wp:inline>
        </w:drawing>
      </w:r>
    </w:p>
    <w:p w14:paraId="7BDD8A34" w14:textId="2515DADD" w:rsidR="008A7B58" w:rsidRPr="00FB7E71" w:rsidRDefault="008A7B58" w:rsidP="00EA53E8">
      <w:pPr>
        <w:tabs>
          <w:tab w:val="left" w:pos="1680"/>
        </w:tabs>
        <w:spacing w:line="240" w:lineRule="auto"/>
        <w:jc w:val="center"/>
        <w:rPr>
          <w:rFonts w:ascii="Times New Roman" w:hAnsi="Times New Roman"/>
          <w:color w:val="000000" w:themeColor="text1"/>
          <w:sz w:val="24"/>
          <w:szCs w:val="24"/>
        </w:rPr>
      </w:pPr>
      <w:r w:rsidRPr="00FB7E71">
        <w:rPr>
          <w:rFonts w:ascii="Times New Roman" w:hAnsi="Times New Roman"/>
          <w:b/>
          <w:color w:val="000000" w:themeColor="text1"/>
          <w:sz w:val="24"/>
          <w:szCs w:val="24"/>
        </w:rPr>
        <w:t>Fig. S3.</w:t>
      </w:r>
      <w:r w:rsidRPr="00FB7E71">
        <w:rPr>
          <w:rFonts w:ascii="Times New Roman" w:hAnsi="Times New Roman"/>
          <w:color w:val="000000" w:themeColor="text1"/>
          <w:sz w:val="24"/>
          <w:szCs w:val="24"/>
        </w:rPr>
        <w:t xml:space="preserve"> EDS mapping of P-NiFe@CF obtained by HRTEM.</w:t>
      </w:r>
    </w:p>
    <w:p w14:paraId="650CF697" w14:textId="5DCE54F5" w:rsidR="006A2BBD" w:rsidRPr="00FB7E71" w:rsidRDefault="006A2BBD">
      <w:pPr>
        <w:rPr>
          <w:rFonts w:ascii="Times New Roman" w:hAnsi="Times New Roman" w:cs="Times New Roman"/>
          <w:b/>
          <w:color w:val="000000" w:themeColor="text1"/>
          <w:sz w:val="24"/>
          <w:szCs w:val="24"/>
        </w:rPr>
      </w:pPr>
    </w:p>
    <w:p w14:paraId="266A1625" w14:textId="5022AC9F" w:rsidR="00331CEE" w:rsidRPr="00FB7E71" w:rsidRDefault="00EA1C5E" w:rsidP="0041639F">
      <w:pPr>
        <w:tabs>
          <w:tab w:val="left" w:pos="1680"/>
        </w:tabs>
        <w:spacing w:line="480" w:lineRule="auto"/>
        <w:jc w:val="center"/>
        <w:rPr>
          <w:rFonts w:ascii="Times New Roman" w:hAnsi="Times New Roman" w:cs="Times New Roman"/>
          <w:color w:val="000000" w:themeColor="text1"/>
          <w:sz w:val="24"/>
          <w:szCs w:val="24"/>
        </w:rPr>
      </w:pPr>
      <w:r>
        <w:rPr>
          <w:noProof/>
          <w:lang w:bidi="ar-SA"/>
        </w:rPr>
        <w:drawing>
          <wp:anchor distT="0" distB="0" distL="114300" distR="114300" simplePos="0" relativeHeight="251665408" behindDoc="0" locked="0" layoutInCell="1" allowOverlap="1" wp14:anchorId="57185E53" wp14:editId="2ADE5DB6">
            <wp:simplePos x="0" y="0"/>
            <wp:positionH relativeFrom="column">
              <wp:posOffset>3319780</wp:posOffset>
            </wp:positionH>
            <wp:positionV relativeFrom="paragraph">
              <wp:posOffset>295094</wp:posOffset>
            </wp:positionV>
            <wp:extent cx="1622531" cy="734786"/>
            <wp:effectExtent l="0" t="0" r="0" b="825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t="2886"/>
                    <a:stretch/>
                  </pic:blipFill>
                  <pic:spPr bwMode="auto">
                    <a:xfrm>
                      <a:off x="0" y="0"/>
                      <a:ext cx="1622531" cy="73478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D6EAF" w:rsidRPr="00FB7E71">
        <w:rPr>
          <w:rFonts w:ascii="Times New Roman" w:hAnsi="Times New Roman" w:cs="Times New Roman"/>
          <w:noProof/>
          <w:color w:val="000000" w:themeColor="text1"/>
          <w:sz w:val="24"/>
          <w:szCs w:val="24"/>
          <w:lang w:bidi="ar-SA"/>
        </w:rPr>
        <w:drawing>
          <wp:inline distT="0" distB="0" distL="0" distR="0" wp14:anchorId="24B94B97" wp14:editId="4F1588D7">
            <wp:extent cx="4775200" cy="3840422"/>
            <wp:effectExtent l="0" t="0" r="635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4792021" cy="3853950"/>
                    </a:xfrm>
                    <a:prstGeom prst="rect">
                      <a:avLst/>
                    </a:prstGeom>
                    <a:noFill/>
                    <a:ln>
                      <a:noFill/>
                    </a:ln>
                  </pic:spPr>
                </pic:pic>
              </a:graphicData>
            </a:graphic>
          </wp:inline>
        </w:drawing>
      </w:r>
    </w:p>
    <w:p w14:paraId="4EE06275" w14:textId="3BBCAC16" w:rsidR="0069529A" w:rsidRPr="00EA53E8" w:rsidRDefault="00643E28" w:rsidP="00EA53E8">
      <w:pPr>
        <w:tabs>
          <w:tab w:val="left" w:pos="1680"/>
        </w:tabs>
        <w:spacing w:line="360" w:lineRule="auto"/>
        <w:jc w:val="center"/>
        <w:rPr>
          <w:rFonts w:ascii="Times New Roman" w:hAnsi="Times New Roman" w:cs="Times New Roman"/>
          <w:color w:val="000000" w:themeColor="text1"/>
          <w:szCs w:val="22"/>
        </w:rPr>
      </w:pPr>
      <w:r w:rsidRPr="00EA53E8">
        <w:rPr>
          <w:rFonts w:ascii="Times New Roman" w:hAnsi="Times New Roman" w:cs="Times New Roman"/>
          <w:b/>
          <w:color w:val="000000" w:themeColor="text1"/>
          <w:szCs w:val="22"/>
        </w:rPr>
        <w:t>Fig. S</w:t>
      </w:r>
      <w:r w:rsidR="008A7B58" w:rsidRPr="00EA53E8">
        <w:rPr>
          <w:rFonts w:ascii="Times New Roman" w:hAnsi="Times New Roman" w:cs="Times New Roman"/>
          <w:b/>
          <w:color w:val="000000" w:themeColor="text1"/>
          <w:szCs w:val="22"/>
        </w:rPr>
        <w:t>4</w:t>
      </w:r>
      <w:r w:rsidRPr="00EA53E8">
        <w:rPr>
          <w:rFonts w:ascii="Times New Roman" w:hAnsi="Times New Roman" w:cs="Times New Roman"/>
          <w:b/>
          <w:color w:val="000000" w:themeColor="text1"/>
          <w:szCs w:val="22"/>
        </w:rPr>
        <w:t>.</w:t>
      </w:r>
      <w:r w:rsidR="0069529A" w:rsidRPr="00EA53E8">
        <w:rPr>
          <w:rFonts w:ascii="Times New Roman" w:hAnsi="Times New Roman" w:cs="Times New Roman"/>
          <w:color w:val="000000" w:themeColor="text1"/>
          <w:szCs w:val="22"/>
        </w:rPr>
        <w:t xml:space="preserve"> </w:t>
      </w:r>
      <w:r w:rsidR="007D6EAF" w:rsidRPr="00EA53E8">
        <w:rPr>
          <w:rFonts w:ascii="Times New Roman" w:hAnsi="Times New Roman" w:cs="Times New Roman"/>
          <w:color w:val="000000" w:themeColor="text1"/>
          <w:szCs w:val="22"/>
        </w:rPr>
        <w:t>Impedance plots of</w:t>
      </w:r>
      <w:r w:rsidR="0069529A" w:rsidRPr="00EA53E8">
        <w:rPr>
          <w:rFonts w:ascii="Times New Roman" w:hAnsi="Times New Roman" w:cs="Times New Roman"/>
          <w:color w:val="000000" w:themeColor="text1"/>
          <w:szCs w:val="22"/>
        </w:rPr>
        <w:t xml:space="preserve"> (a) Ni@CF,</w:t>
      </w:r>
      <w:r w:rsidR="007D6EAF" w:rsidRPr="00EA53E8">
        <w:rPr>
          <w:rFonts w:ascii="Times New Roman" w:hAnsi="Times New Roman" w:cs="Times New Roman"/>
          <w:color w:val="000000" w:themeColor="text1"/>
          <w:szCs w:val="22"/>
        </w:rPr>
        <w:t xml:space="preserve"> inset: equivalent circuit diagram</w:t>
      </w:r>
      <w:r w:rsidR="00A70CF7" w:rsidRPr="00EA53E8">
        <w:rPr>
          <w:rFonts w:ascii="Times New Roman" w:hAnsi="Times New Roman" w:cs="Times New Roman"/>
          <w:color w:val="000000" w:themeColor="text1"/>
          <w:szCs w:val="22"/>
        </w:rPr>
        <w:t>,</w:t>
      </w:r>
      <w:r w:rsidR="007D6EAF" w:rsidRPr="00EA53E8">
        <w:rPr>
          <w:rFonts w:ascii="Times New Roman" w:hAnsi="Times New Roman" w:cs="Times New Roman"/>
          <w:color w:val="000000" w:themeColor="text1"/>
          <w:szCs w:val="22"/>
        </w:rPr>
        <w:t xml:space="preserve"> </w:t>
      </w:r>
      <w:r w:rsidR="0069529A" w:rsidRPr="00EA53E8">
        <w:rPr>
          <w:rFonts w:ascii="Times New Roman" w:hAnsi="Times New Roman" w:cs="Times New Roman"/>
          <w:color w:val="000000" w:themeColor="text1"/>
          <w:szCs w:val="22"/>
        </w:rPr>
        <w:t>(b) NiFe@CF</w:t>
      </w:r>
      <w:r w:rsidR="00A70CF7" w:rsidRPr="00EA53E8">
        <w:rPr>
          <w:rFonts w:ascii="Times New Roman" w:hAnsi="Times New Roman" w:cs="Times New Roman"/>
          <w:color w:val="000000" w:themeColor="text1"/>
          <w:szCs w:val="22"/>
        </w:rPr>
        <w:t xml:space="preserve">, and (c) </w:t>
      </w:r>
      <w:r w:rsidR="00CE5B0F" w:rsidRPr="00EA53E8">
        <w:rPr>
          <w:rFonts w:ascii="Times New Roman" w:hAnsi="Times New Roman"/>
          <w:color w:val="000000" w:themeColor="text1"/>
          <w:szCs w:val="22"/>
        </w:rPr>
        <w:t>P-NiFe@CF</w:t>
      </w:r>
      <w:r w:rsidR="007D6EAF" w:rsidRPr="00EA53E8">
        <w:rPr>
          <w:rFonts w:ascii="Times New Roman" w:hAnsi="Times New Roman" w:cs="Times New Roman"/>
          <w:color w:val="000000" w:themeColor="text1"/>
          <w:szCs w:val="22"/>
        </w:rPr>
        <w:t>.</w:t>
      </w:r>
      <w:r w:rsidR="00A70CF7" w:rsidRPr="00EA53E8">
        <w:rPr>
          <w:rFonts w:ascii="Times New Roman" w:hAnsi="Times New Roman" w:cs="Times New Roman"/>
          <w:color w:val="000000" w:themeColor="text1"/>
          <w:szCs w:val="22"/>
        </w:rPr>
        <w:t xml:space="preserve"> (d) The stability test using 1 M KOH and 0.33 M urea as a electrolyte towards UOR.</w:t>
      </w:r>
    </w:p>
    <w:p w14:paraId="2D9595E1" w14:textId="77777777" w:rsidR="00A70CF7" w:rsidRPr="00FB7E71" w:rsidRDefault="00A70CF7" w:rsidP="00902D7F">
      <w:pPr>
        <w:tabs>
          <w:tab w:val="left" w:pos="1680"/>
        </w:tabs>
        <w:spacing w:line="480" w:lineRule="auto"/>
        <w:rPr>
          <w:rFonts w:ascii="Times New Roman" w:hAnsi="Times New Roman" w:cs="Times New Roman"/>
          <w:color w:val="000000" w:themeColor="text1"/>
          <w:sz w:val="24"/>
          <w:szCs w:val="24"/>
        </w:rPr>
      </w:pPr>
    </w:p>
    <w:p w14:paraId="2EFB09C7" w14:textId="77777777" w:rsidR="00EA53E8" w:rsidRDefault="00EA53E8" w:rsidP="00EA53E8">
      <w:pPr>
        <w:tabs>
          <w:tab w:val="left" w:pos="1680"/>
        </w:tabs>
        <w:spacing w:line="360" w:lineRule="auto"/>
        <w:rPr>
          <w:rFonts w:ascii="Times New Roman" w:hAnsi="Times New Roman" w:cs="Times New Roman"/>
          <w:color w:val="000000" w:themeColor="text1"/>
          <w:szCs w:val="22"/>
        </w:rPr>
      </w:pPr>
    </w:p>
    <w:p w14:paraId="3B755E15" w14:textId="77777777" w:rsidR="00EA53E8" w:rsidRDefault="00EA53E8" w:rsidP="00EA53E8">
      <w:pPr>
        <w:tabs>
          <w:tab w:val="left" w:pos="1680"/>
        </w:tabs>
        <w:spacing w:line="360" w:lineRule="auto"/>
        <w:rPr>
          <w:rFonts w:ascii="Times New Roman" w:hAnsi="Times New Roman" w:cs="Times New Roman"/>
          <w:color w:val="000000" w:themeColor="text1"/>
          <w:szCs w:val="22"/>
        </w:rPr>
      </w:pPr>
    </w:p>
    <w:p w14:paraId="440DE407" w14:textId="77777777" w:rsidR="00EA53E8" w:rsidRDefault="00EA53E8" w:rsidP="00EA53E8">
      <w:pPr>
        <w:tabs>
          <w:tab w:val="left" w:pos="1680"/>
        </w:tabs>
        <w:spacing w:line="360" w:lineRule="auto"/>
        <w:jc w:val="center"/>
        <w:rPr>
          <w:rFonts w:ascii="Times New Roman" w:hAnsi="Times New Roman" w:cs="Times New Roman" w:hint="eastAsia"/>
          <w:color w:val="000000" w:themeColor="text1"/>
          <w:szCs w:val="22"/>
        </w:rPr>
      </w:pPr>
      <w:r w:rsidRPr="00EA53E8">
        <w:rPr>
          <w:rFonts w:ascii="Times New Roman" w:hAnsi="Times New Roman" w:cs="Times New Roman"/>
          <w:noProof/>
          <w:color w:val="000000" w:themeColor="text1"/>
          <w:szCs w:val="22"/>
          <w:lang w:bidi="ar-SA"/>
        </w:rPr>
        <w:lastRenderedPageBreak/>
        <w:drawing>
          <wp:inline distT="0" distB="0" distL="0" distR="0" wp14:anchorId="5A6006FC" wp14:editId="0FA9F65F">
            <wp:extent cx="5669280" cy="2432050"/>
            <wp:effectExtent l="0" t="0" r="762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3">
                      <a:extLst>
                        <a:ext uri="{28A0092B-C50C-407E-A947-70E740481C1C}">
                          <a14:useLocalDpi xmlns:a14="http://schemas.microsoft.com/office/drawing/2010/main" val="0"/>
                        </a:ext>
                      </a:extLst>
                    </a:blip>
                    <a:stretch>
                      <a:fillRect/>
                    </a:stretch>
                  </pic:blipFill>
                  <pic:spPr>
                    <a:xfrm>
                      <a:off x="0" y="0"/>
                      <a:ext cx="5669280" cy="2432050"/>
                    </a:xfrm>
                    <a:prstGeom prst="rect">
                      <a:avLst/>
                    </a:prstGeom>
                  </pic:spPr>
                </pic:pic>
              </a:graphicData>
            </a:graphic>
          </wp:inline>
        </w:drawing>
      </w:r>
    </w:p>
    <w:p w14:paraId="4D51E8E2" w14:textId="6C9A33CC" w:rsidR="00EA53E8" w:rsidRDefault="00EA53E8" w:rsidP="00EA53E8">
      <w:pPr>
        <w:tabs>
          <w:tab w:val="left" w:pos="1680"/>
        </w:tabs>
        <w:spacing w:line="360" w:lineRule="auto"/>
        <w:jc w:val="center"/>
        <w:rPr>
          <w:rFonts w:ascii="Times New Roman" w:hAnsi="Times New Roman" w:cs="Times New Roman"/>
          <w:color w:val="000000" w:themeColor="text1"/>
          <w:szCs w:val="22"/>
        </w:rPr>
      </w:pPr>
      <w:r w:rsidRPr="00EA53E8">
        <w:rPr>
          <w:rFonts w:ascii="Times New Roman" w:hAnsi="Times New Roman" w:cs="Times New Roman"/>
          <w:b/>
          <w:color w:val="000000" w:themeColor="text1"/>
          <w:szCs w:val="22"/>
        </w:rPr>
        <w:t>Fig. S5.</w:t>
      </w:r>
      <w:r w:rsidRPr="00EA53E8">
        <w:rPr>
          <w:rFonts w:ascii="Times New Roman" w:hAnsi="Times New Roman" w:cs="Times New Roman"/>
          <w:color w:val="000000" w:themeColor="text1"/>
          <w:szCs w:val="22"/>
        </w:rPr>
        <w:t xml:space="preserve"> (a) Bar graph illustrating o</w:t>
      </w:r>
      <w:r w:rsidRPr="00EA53E8">
        <w:rPr>
          <w:rFonts w:ascii="Times New Roman" w:hAnsi="Times New Roman"/>
          <w:color w:val="000000" w:themeColor="text1"/>
          <w:szCs w:val="22"/>
        </w:rPr>
        <w:t xml:space="preserve">verpotential </w:t>
      </w:r>
      <w:r w:rsidRPr="00EA53E8">
        <w:rPr>
          <w:rFonts w:ascii="Times New Roman" w:hAnsi="Times New Roman"/>
          <w:i/>
          <w:color w:val="000000" w:themeColor="text1"/>
          <w:szCs w:val="22"/>
        </w:rPr>
        <w:t xml:space="preserve">vs </w:t>
      </w:r>
      <w:r w:rsidRPr="00EA53E8">
        <w:rPr>
          <w:rFonts w:ascii="Times New Roman" w:hAnsi="Times New Roman"/>
          <w:color w:val="000000" w:themeColor="text1"/>
          <w:szCs w:val="22"/>
        </w:rPr>
        <w:t>current density plots of different catalysts determined from the LSV plot of HER in 0.33 M urea +1.0 M KOH</w:t>
      </w:r>
      <w:r w:rsidRPr="00EA53E8">
        <w:rPr>
          <w:rFonts w:ascii="Times New Roman" w:hAnsi="Times New Roman" w:cs="Times New Roman"/>
          <w:color w:val="000000" w:themeColor="text1"/>
          <w:szCs w:val="22"/>
        </w:rPr>
        <w:t xml:space="preserve"> and (b) the stability test using 1 M KOH and 0.33 M urea as a electrolyte towards HER.</w:t>
      </w:r>
    </w:p>
    <w:p w14:paraId="72C20959" w14:textId="77777777" w:rsidR="00F04040" w:rsidRPr="00EA53E8" w:rsidRDefault="00F04040" w:rsidP="00EA53E8">
      <w:pPr>
        <w:tabs>
          <w:tab w:val="left" w:pos="1680"/>
        </w:tabs>
        <w:spacing w:line="360" w:lineRule="auto"/>
        <w:jc w:val="center"/>
        <w:rPr>
          <w:rFonts w:ascii="Times New Roman" w:hAnsi="Times New Roman" w:cs="Times New Roman"/>
          <w:color w:val="000000" w:themeColor="text1"/>
          <w:szCs w:val="22"/>
        </w:rPr>
      </w:pPr>
    </w:p>
    <w:p w14:paraId="2C0601DD" w14:textId="77777777" w:rsidR="00F04040" w:rsidRDefault="00F04040" w:rsidP="00F04040">
      <w:pPr>
        <w:tabs>
          <w:tab w:val="left" w:pos="1680"/>
        </w:tabs>
        <w:spacing w:line="360" w:lineRule="auto"/>
        <w:jc w:val="center"/>
        <w:rPr>
          <w:rFonts w:ascii="Times New Roman" w:hAnsi="Times New Roman" w:cs="Times New Roman"/>
          <w:color w:val="000000" w:themeColor="text1"/>
          <w:szCs w:val="22"/>
        </w:rPr>
      </w:pPr>
      <w:r w:rsidRPr="00EA53E8">
        <w:rPr>
          <w:rFonts w:ascii="Times New Roman" w:hAnsi="Times New Roman" w:cs="Times New Roman"/>
          <w:noProof/>
          <w:color w:val="000000" w:themeColor="text1"/>
          <w:szCs w:val="22"/>
          <w:lang w:bidi="ar-SA"/>
        </w:rPr>
        <w:drawing>
          <wp:inline distT="0" distB="0" distL="0" distR="0" wp14:anchorId="7EA8644B" wp14:editId="1D1C9559">
            <wp:extent cx="3282950" cy="2477135"/>
            <wp:effectExtent l="0" t="0" r="0" b="0"/>
            <wp:docPr id="7" name="Picture 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line 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3282950" cy="2477135"/>
                    </a:xfrm>
                    <a:prstGeom prst="rect">
                      <a:avLst/>
                    </a:prstGeom>
                  </pic:spPr>
                </pic:pic>
              </a:graphicData>
            </a:graphic>
          </wp:inline>
        </w:drawing>
      </w:r>
    </w:p>
    <w:p w14:paraId="1D6B2D43" w14:textId="36B5DDE1" w:rsidR="001E2EC6" w:rsidRDefault="00F04040" w:rsidP="00F04040">
      <w:pPr>
        <w:tabs>
          <w:tab w:val="left" w:pos="1680"/>
        </w:tabs>
        <w:spacing w:line="360" w:lineRule="auto"/>
        <w:jc w:val="center"/>
        <w:rPr>
          <w:rFonts w:ascii="Times New Roman" w:hAnsi="Times New Roman" w:cs="Times New Roman"/>
          <w:color w:val="000000" w:themeColor="text1"/>
          <w:szCs w:val="22"/>
        </w:rPr>
      </w:pPr>
      <w:r w:rsidRPr="00F04040">
        <w:rPr>
          <w:rFonts w:ascii="Times New Roman" w:hAnsi="Times New Roman" w:cs="Times New Roman"/>
          <w:b/>
          <w:color w:val="000000" w:themeColor="text1"/>
          <w:szCs w:val="22"/>
        </w:rPr>
        <w:t>Fig. S6.</w:t>
      </w:r>
      <w:r w:rsidRPr="00F04040">
        <w:rPr>
          <w:rFonts w:ascii="Times New Roman" w:hAnsi="Times New Roman" w:cs="Times New Roman"/>
          <w:color w:val="000000" w:themeColor="text1"/>
          <w:szCs w:val="22"/>
        </w:rPr>
        <w:t xml:space="preserve"> The stability test in 1 M KOH and 0.33 M urea solution using </w:t>
      </w:r>
      <w:r w:rsidRPr="00F04040">
        <w:rPr>
          <w:rFonts w:ascii="Times New Roman" w:hAnsi="Times New Roman"/>
          <w:color w:val="000000" w:themeColor="text1"/>
          <w:szCs w:val="22"/>
        </w:rPr>
        <w:t>P-NiFe@CF</w:t>
      </w:r>
      <w:r w:rsidRPr="00F04040">
        <w:rPr>
          <w:rFonts w:ascii="Times New Roman" w:hAnsi="Times New Roman" w:cs="Times New Roman"/>
          <w:color w:val="000000" w:themeColor="text1"/>
          <w:szCs w:val="22"/>
        </w:rPr>
        <w:t xml:space="preserve"> as anode and cathode at an applied potential corresponding to a current of 50 mA cm</w:t>
      </w:r>
      <w:r w:rsidRPr="00F04040">
        <w:rPr>
          <w:rFonts w:ascii="Times New Roman" w:hAnsi="Times New Roman" w:cs="Times New Roman"/>
          <w:color w:val="000000" w:themeColor="text1"/>
          <w:szCs w:val="22"/>
          <w:vertAlign w:val="superscript"/>
        </w:rPr>
        <w:t>-2</w:t>
      </w:r>
      <w:r w:rsidRPr="00F04040">
        <w:rPr>
          <w:rFonts w:ascii="Times New Roman" w:hAnsi="Times New Roman" w:cs="Times New Roman"/>
          <w:color w:val="000000" w:themeColor="text1"/>
          <w:szCs w:val="22"/>
        </w:rPr>
        <w:t>.</w:t>
      </w:r>
    </w:p>
    <w:p w14:paraId="7A0DD8B3" w14:textId="003F54AD" w:rsidR="00F04040" w:rsidRDefault="00F04040" w:rsidP="00F04040">
      <w:pPr>
        <w:tabs>
          <w:tab w:val="left" w:pos="1680"/>
        </w:tabs>
        <w:spacing w:line="360" w:lineRule="auto"/>
        <w:jc w:val="center"/>
        <w:rPr>
          <w:rFonts w:ascii="Times New Roman" w:hAnsi="Times New Roman" w:cs="Times New Roman"/>
          <w:color w:val="000000" w:themeColor="text1"/>
          <w:szCs w:val="22"/>
        </w:rPr>
      </w:pPr>
    </w:p>
    <w:p w14:paraId="18A017E3" w14:textId="50C12B4B" w:rsidR="00F04040" w:rsidRDefault="00F04040" w:rsidP="00F04040">
      <w:pPr>
        <w:tabs>
          <w:tab w:val="left" w:pos="1680"/>
        </w:tabs>
        <w:spacing w:line="360" w:lineRule="auto"/>
        <w:jc w:val="center"/>
        <w:rPr>
          <w:rFonts w:ascii="Times New Roman" w:hAnsi="Times New Roman" w:cs="Times New Roman"/>
          <w:color w:val="000000" w:themeColor="text1"/>
          <w:szCs w:val="22"/>
        </w:rPr>
      </w:pPr>
    </w:p>
    <w:p w14:paraId="1DA6BD90" w14:textId="20C2F6C9" w:rsidR="00F04040" w:rsidRDefault="00F04040" w:rsidP="00F04040">
      <w:pPr>
        <w:tabs>
          <w:tab w:val="left" w:pos="1680"/>
        </w:tabs>
        <w:spacing w:line="360" w:lineRule="auto"/>
        <w:jc w:val="center"/>
        <w:rPr>
          <w:rFonts w:ascii="Times New Roman" w:hAnsi="Times New Roman" w:cs="Times New Roman"/>
          <w:color w:val="000000" w:themeColor="text1"/>
          <w:szCs w:val="22"/>
        </w:rPr>
      </w:pPr>
    </w:p>
    <w:p w14:paraId="64D40B83" w14:textId="2066CA41" w:rsidR="00F04040" w:rsidRPr="001A47EC" w:rsidRDefault="00F04040" w:rsidP="00F04040">
      <w:pPr>
        <w:tabs>
          <w:tab w:val="left" w:pos="1680"/>
        </w:tabs>
        <w:spacing w:line="360" w:lineRule="auto"/>
        <w:rPr>
          <w:rFonts w:ascii="Times New Roman" w:hAnsi="Times New Roman" w:cs="Times New Roman"/>
          <w:color w:val="000000" w:themeColor="text1"/>
          <w:sz w:val="24"/>
          <w:szCs w:val="24"/>
        </w:rPr>
      </w:pPr>
      <w:r w:rsidRPr="00FB7E71">
        <w:rPr>
          <w:rFonts w:ascii="Times New Roman" w:hAnsi="Times New Roman" w:cs="Times New Roman"/>
          <w:b/>
          <w:color w:val="000000" w:themeColor="text1"/>
          <w:sz w:val="24"/>
          <w:szCs w:val="24"/>
        </w:rPr>
        <w:lastRenderedPageBreak/>
        <w:t>Table S1</w:t>
      </w:r>
      <w:r>
        <w:rPr>
          <w:rFonts w:ascii="Times New Roman" w:hAnsi="Times New Roman" w:cs="Times New Roman"/>
          <w:b/>
          <w:color w:val="000000" w:themeColor="text1"/>
          <w:sz w:val="24"/>
          <w:szCs w:val="24"/>
        </w:rPr>
        <w:t xml:space="preserve">. </w:t>
      </w:r>
      <w:r w:rsidR="001A47EC" w:rsidRPr="001A47EC">
        <w:rPr>
          <w:rFonts w:ascii="Times New Roman" w:hAnsi="Times New Roman" w:cs="Times New Roman"/>
          <w:color w:val="000000" w:themeColor="text1"/>
          <w:sz w:val="24"/>
          <w:szCs w:val="24"/>
        </w:rPr>
        <w:t>Performance comparison for urea electro-oxidation with different catalysts</w:t>
      </w:r>
      <w:r w:rsidRPr="001A47EC">
        <w:rPr>
          <w:rFonts w:ascii="Times New Roman" w:hAnsi="Times New Roman" w:cs="Times New Roman"/>
          <w:color w:val="000000" w:themeColor="text1"/>
          <w:sz w:val="24"/>
          <w:szCs w:val="24"/>
        </w:rPr>
        <w:t>.</w:t>
      </w:r>
    </w:p>
    <w:tbl>
      <w:tblPr>
        <w:tblStyle w:val="a5"/>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3"/>
        <w:gridCol w:w="2272"/>
        <w:gridCol w:w="2693"/>
        <w:gridCol w:w="1276"/>
      </w:tblGrid>
      <w:tr w:rsidR="00EA53E8" w:rsidRPr="00FB7E71" w14:paraId="2703EF56" w14:textId="77777777" w:rsidTr="006522D8">
        <w:tc>
          <w:tcPr>
            <w:tcW w:w="2123" w:type="dxa"/>
            <w:tcBorders>
              <w:top w:val="single" w:sz="4" w:space="0" w:color="auto"/>
              <w:bottom w:val="single" w:sz="4" w:space="0" w:color="auto"/>
            </w:tcBorders>
          </w:tcPr>
          <w:p w14:paraId="2E5D3888"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Catalyst</w:t>
            </w:r>
          </w:p>
        </w:tc>
        <w:tc>
          <w:tcPr>
            <w:tcW w:w="2272" w:type="dxa"/>
            <w:tcBorders>
              <w:top w:val="single" w:sz="4" w:space="0" w:color="auto"/>
              <w:bottom w:val="single" w:sz="4" w:space="0" w:color="auto"/>
            </w:tcBorders>
          </w:tcPr>
          <w:p w14:paraId="494E85C2"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Pr>
                <w:rFonts w:ascii="Times New Roman" w:hAnsi="Times New Roman" w:cs="Times New Roman"/>
                <w:color w:val="000000" w:themeColor="text1"/>
                <w:szCs w:val="22"/>
              </w:rPr>
              <w:t>Potential at 10 mA</w:t>
            </w:r>
            <w:r w:rsidRPr="00EA53E8">
              <w:rPr>
                <w:rFonts w:ascii="Times New Roman" w:hAnsi="Times New Roman" w:cs="Times New Roman"/>
                <w:color w:val="000000" w:themeColor="text1"/>
                <w:szCs w:val="22"/>
              </w:rPr>
              <w:t>cm</w:t>
            </w:r>
            <w:r w:rsidRPr="00EA53E8">
              <w:rPr>
                <w:rFonts w:ascii="Times New Roman" w:hAnsi="Times New Roman" w:cs="Times New Roman"/>
                <w:color w:val="000000" w:themeColor="text1"/>
                <w:szCs w:val="22"/>
                <w:vertAlign w:val="superscript"/>
              </w:rPr>
              <w:t>-2</w:t>
            </w:r>
            <w:r w:rsidRPr="00EA53E8">
              <w:rPr>
                <w:rFonts w:ascii="Times New Roman" w:hAnsi="Times New Roman" w:cs="Times New Roman"/>
                <w:color w:val="000000" w:themeColor="text1"/>
                <w:szCs w:val="22"/>
              </w:rPr>
              <w:t xml:space="preserve"> (V </w:t>
            </w:r>
            <w:r w:rsidRPr="00EA53E8">
              <w:rPr>
                <w:rFonts w:ascii="Times New Roman" w:hAnsi="Times New Roman" w:cs="Times New Roman"/>
                <w:i/>
                <w:color w:val="000000" w:themeColor="text1"/>
                <w:szCs w:val="22"/>
              </w:rPr>
              <w:t>vs</w:t>
            </w:r>
            <w:r w:rsidRPr="00EA53E8">
              <w:rPr>
                <w:rFonts w:ascii="Times New Roman" w:hAnsi="Times New Roman" w:cs="Times New Roman"/>
                <w:color w:val="000000" w:themeColor="text1"/>
                <w:szCs w:val="22"/>
              </w:rPr>
              <w:t xml:space="preserve"> RHE)</w:t>
            </w:r>
          </w:p>
        </w:tc>
        <w:tc>
          <w:tcPr>
            <w:tcW w:w="2693" w:type="dxa"/>
            <w:tcBorders>
              <w:top w:val="single" w:sz="4" w:space="0" w:color="auto"/>
              <w:bottom w:val="single" w:sz="4" w:space="0" w:color="auto"/>
            </w:tcBorders>
          </w:tcPr>
          <w:p w14:paraId="646E40D6"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 xml:space="preserve">Electrolyte </w:t>
            </w:r>
          </w:p>
        </w:tc>
        <w:tc>
          <w:tcPr>
            <w:tcW w:w="1276" w:type="dxa"/>
            <w:tcBorders>
              <w:top w:val="single" w:sz="4" w:space="0" w:color="auto"/>
              <w:bottom w:val="single" w:sz="4" w:space="0" w:color="auto"/>
            </w:tcBorders>
          </w:tcPr>
          <w:p w14:paraId="74BA3804"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Reference</w:t>
            </w:r>
          </w:p>
        </w:tc>
      </w:tr>
      <w:tr w:rsidR="00EA53E8" w:rsidRPr="00FB7E71" w14:paraId="0547F371" w14:textId="77777777" w:rsidTr="006522D8">
        <w:tc>
          <w:tcPr>
            <w:tcW w:w="2123" w:type="dxa"/>
          </w:tcPr>
          <w:p w14:paraId="5D016FB6" w14:textId="77777777" w:rsidR="00EA53E8" w:rsidRPr="00EA53E8" w:rsidRDefault="00EA53E8" w:rsidP="006522D8">
            <w:pPr>
              <w:tabs>
                <w:tab w:val="left" w:pos="1680"/>
              </w:tabs>
              <w:spacing w:line="360" w:lineRule="auto"/>
              <w:rPr>
                <w:rFonts w:ascii="Times New Roman" w:hAnsi="Times New Roman" w:cs="Times New Roman"/>
                <w:strike/>
                <w:color w:val="000000" w:themeColor="text1"/>
                <w:szCs w:val="22"/>
              </w:rPr>
            </w:pPr>
            <w:r w:rsidRPr="00EA53E8">
              <w:rPr>
                <w:rFonts w:ascii="Times New Roman" w:hAnsi="Times New Roman" w:cs="Times New Roman"/>
                <w:color w:val="000000" w:themeColor="text1"/>
                <w:szCs w:val="22"/>
              </w:rPr>
              <w:t>NiO nanosheet array</w:t>
            </w:r>
          </w:p>
        </w:tc>
        <w:tc>
          <w:tcPr>
            <w:tcW w:w="2272" w:type="dxa"/>
          </w:tcPr>
          <w:p w14:paraId="1B277F2C" w14:textId="77777777" w:rsidR="00EA53E8" w:rsidRPr="00EA53E8" w:rsidRDefault="00EA53E8" w:rsidP="006522D8">
            <w:pPr>
              <w:tabs>
                <w:tab w:val="left" w:pos="1680"/>
              </w:tabs>
              <w:spacing w:line="360" w:lineRule="auto"/>
              <w:rPr>
                <w:rFonts w:ascii="Times New Roman" w:hAnsi="Times New Roman" w:cs="Times New Roman"/>
                <w:strike/>
                <w:color w:val="000000" w:themeColor="text1"/>
                <w:szCs w:val="22"/>
              </w:rPr>
            </w:pPr>
            <w:r w:rsidRPr="00EA53E8">
              <w:rPr>
                <w:rFonts w:ascii="Times New Roman" w:hAnsi="Times New Roman" w:cs="Times New Roman"/>
                <w:color w:val="000000" w:themeColor="text1"/>
                <w:szCs w:val="22"/>
              </w:rPr>
              <w:t>1.38</w:t>
            </w:r>
          </w:p>
        </w:tc>
        <w:tc>
          <w:tcPr>
            <w:tcW w:w="2693" w:type="dxa"/>
          </w:tcPr>
          <w:p w14:paraId="55467D98" w14:textId="77777777" w:rsidR="00EA53E8" w:rsidRPr="00EA53E8" w:rsidRDefault="00EA53E8" w:rsidP="006522D8">
            <w:pPr>
              <w:tabs>
                <w:tab w:val="left" w:pos="1680"/>
              </w:tabs>
              <w:spacing w:line="360" w:lineRule="auto"/>
              <w:rPr>
                <w:rFonts w:ascii="Times New Roman" w:hAnsi="Times New Roman" w:cs="Times New Roman"/>
                <w:strike/>
                <w:color w:val="000000" w:themeColor="text1"/>
                <w:szCs w:val="22"/>
              </w:rPr>
            </w:pPr>
            <w:r w:rsidRPr="00EA53E8">
              <w:rPr>
                <w:rFonts w:ascii="Times New Roman" w:hAnsi="Times New Roman" w:cs="Times New Roman"/>
                <w:color w:val="000000" w:themeColor="text1"/>
                <w:szCs w:val="22"/>
              </w:rPr>
              <w:t>1 M KOH+ 0.33 M Urea</w:t>
            </w:r>
          </w:p>
        </w:tc>
        <w:tc>
          <w:tcPr>
            <w:tcW w:w="1276" w:type="dxa"/>
          </w:tcPr>
          <w:p w14:paraId="0C4D1C6B" w14:textId="77777777" w:rsidR="00EA53E8" w:rsidRPr="00EA53E8" w:rsidRDefault="00EA53E8" w:rsidP="006522D8">
            <w:pPr>
              <w:tabs>
                <w:tab w:val="left" w:pos="1680"/>
              </w:tabs>
              <w:spacing w:line="360" w:lineRule="auto"/>
              <w:rPr>
                <w:rFonts w:ascii="Times New Roman" w:hAnsi="Times New Roman" w:cs="Times New Roman"/>
                <w:strike/>
                <w:color w:val="000000" w:themeColor="text1"/>
                <w:szCs w:val="22"/>
              </w:rPr>
            </w:pPr>
            <w:r w:rsidRPr="00EA53E8">
              <w:rPr>
                <w:rFonts w:ascii="Times New Roman" w:hAnsi="Times New Roman" w:cs="Times New Roman"/>
                <w:color w:val="000000" w:themeColor="text1"/>
                <w:szCs w:val="22"/>
              </w:rPr>
              <w:fldChar w:fldCharType="begin" w:fldLock="1"/>
            </w:r>
            <w:r w:rsidRPr="00EA53E8">
              <w:rPr>
                <w:rFonts w:ascii="Times New Roman" w:hAnsi="Times New Roman" w:cs="Times New Roman"/>
                <w:color w:val="000000" w:themeColor="text1"/>
                <w:szCs w:val="22"/>
              </w:rPr>
              <w:instrText>ADDIN CSL_CITATION {"citationItems":[{"id":"ITEM-1","itemData":{"DOI":"10.1016/j.jpowsour.2014.09.009","ISSN":"03787753","abstract":"(Figure Presented) Vertically-aligned α-Ni(OH)2 nanosheets are homogeneously covered on three-dimensional (3D) macroporous Ni foam and stainless steel (SS) sheet by a simple hydrothermal synthesis. After annealing at 300°C, most of the α-Ni(OH)2 is transformed to cubic NiO. The NiO nanosheets exhibit ordered mesoporous structure. Electrolysis of urea is analyzed by cyclic voltammetry and potential step chronoamperometry in 1 M KOH electrolyte with 0.33 M urea. The electrocatalytic performance of NiO electrodes depends strongly on their configuration and substrate. Vertically-aligned NiO nanosheets favor the electrolysis of urea because they can provide more catalytic sites than the NiO powder with aggregated nanosheets. In addition, the large open space between vertically-aligned NiO nanosheets expedites the transport of electrolyte, urea, and gases. 3D macroporous Ni foam substrate is very helpful to the electrolysis of urea which allows for fast electron conduction, leading to a decrease of overpotential and the increase of oxidation current density. Consequently, the Ni foam-supported mesoporous NiO nanosheets can offer a much better electrocatalytic performance than SS-supported mesoporous NiO nanosheets and powder during electrolysis of urea.","author":[{"dropping-particle":"","family":"Wu","given":"Mao Sung","non-dropping-particle":"","parse-names":false,"suffix":""},{"dropping-particle":"","family":"Lin","given":"Guan Wei","non-dropping-particle":"","parse-names":false,"suffix":""},{"dropping-particle":"","family":"Yang","given":"Run Song","non-dropping-particle":"","parse-names":false,"suffix":""}],"container-title":"Journal of Power Sources","id":"ITEM-1","issued":{"date-parts":[["2014"]]},"page":"711-718","publisher":"Elsevier B.V","title":"Hydrothermal growth of vertically-aligned ordered mesoporous nickel oxide nanosheets on three-dimensional nickel framework for electrocatalytic oxidation of urea in alkaline medium","type":"article-journal","volume":"272"},"uris":["http://www.mendeley.com/documents/?uuid=9a6dcb17-eb96-4085-9c82-ee529ea8ab73"]}],"mendeley":{"formattedCitation":"[1]","plainTextFormattedCitation":"[1]","previouslyFormattedCitation":"[1]"},"properties":{"noteIndex":0},"schema":"https://github.com/citation-style-language/schema/raw/master/csl-citation.json"}</w:instrText>
            </w:r>
            <w:r w:rsidRPr="00EA53E8">
              <w:rPr>
                <w:rFonts w:ascii="Times New Roman" w:hAnsi="Times New Roman" w:cs="Times New Roman"/>
                <w:color w:val="000000" w:themeColor="text1"/>
                <w:szCs w:val="22"/>
              </w:rPr>
              <w:fldChar w:fldCharType="separate"/>
            </w:r>
            <w:r w:rsidRPr="00EA53E8">
              <w:rPr>
                <w:rFonts w:ascii="Times New Roman" w:hAnsi="Times New Roman" w:cs="Times New Roman"/>
                <w:noProof/>
                <w:color w:val="000000" w:themeColor="text1"/>
                <w:szCs w:val="22"/>
              </w:rPr>
              <w:t>[1]</w:t>
            </w:r>
            <w:r w:rsidRPr="00EA53E8">
              <w:rPr>
                <w:rFonts w:ascii="Times New Roman" w:hAnsi="Times New Roman" w:cs="Times New Roman"/>
                <w:color w:val="000000" w:themeColor="text1"/>
                <w:szCs w:val="22"/>
              </w:rPr>
              <w:fldChar w:fldCharType="end"/>
            </w:r>
          </w:p>
        </w:tc>
      </w:tr>
      <w:tr w:rsidR="00EA53E8" w:rsidRPr="00FB7E71" w14:paraId="702C198D" w14:textId="77777777" w:rsidTr="006522D8">
        <w:tc>
          <w:tcPr>
            <w:tcW w:w="2123" w:type="dxa"/>
          </w:tcPr>
          <w:p w14:paraId="3452DCDD"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NiMoS</w:t>
            </w:r>
          </w:p>
        </w:tc>
        <w:tc>
          <w:tcPr>
            <w:tcW w:w="2272" w:type="dxa"/>
          </w:tcPr>
          <w:p w14:paraId="69EFE792"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1.38V</w:t>
            </w:r>
          </w:p>
        </w:tc>
        <w:tc>
          <w:tcPr>
            <w:tcW w:w="2693" w:type="dxa"/>
          </w:tcPr>
          <w:p w14:paraId="3393AB59"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1M KOH + 0.5M</w:t>
            </w:r>
          </w:p>
        </w:tc>
        <w:tc>
          <w:tcPr>
            <w:tcW w:w="1276" w:type="dxa"/>
          </w:tcPr>
          <w:p w14:paraId="432150F8"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fldChar w:fldCharType="begin" w:fldLock="1"/>
            </w:r>
            <w:r w:rsidRPr="00EA53E8">
              <w:rPr>
                <w:rFonts w:ascii="Times New Roman" w:hAnsi="Times New Roman" w:cs="Times New Roman"/>
                <w:color w:val="000000" w:themeColor="text1"/>
                <w:szCs w:val="22"/>
              </w:rPr>
              <w:instrText>ADDIN CSL_CITATION {"citationItems":[{"id":"ITEM-1","itemData":{"DOI":"10.1007/s12274-017-1711-3","ISSN":"19980000","abstract":"Novel hierarchical coral-like Ni-Mo sulfides on Ti mesh (denoted as HC-NiMoS/Ti) were synthesized through facile hydrothermal and subsequent sulfuration processes without any template. These non-precious HC-NiMoS/Ti hybrids were explored as bifunctional catalysts for urea-based overall water splitting, including the anodic urea oxygen evolution reaction (UOR) and cathodic hydrogen evolution reaction (HER). Due to the highly exposed active sites, excellent charge transfer ability, and good synergistic effects from multi-component reactions, the HC-NiMoS/Ti hybrid exhibited superior activity and high stability, and only a cell voltage of 1.59 V was required to deliver 10 mA·cm–2 current density in an electrolyte of 1.0 M KOH with 0.5 M urea.","author":[{"dropping-particle":"","family":"Wang","given":"Xiaoxia","non-dropping-particle":"","parse-names":false,"suffix":""},{"dropping-particle":"","family":"Wang","given":"Jianmei","non-dropping-particle":"","parse-names":false,"suffix":""},{"dropping-particle":"","family":"Sun","given":"Xuping","non-dropping-particle":"","parse-names":false,"suffix":""},{"dropping-particle":"","family":"Wei","given":"Shuang","non-dropping-particle":"","parse-names":false,"suffix":""},{"dropping-particle":"","family":"Cui","given":"Liang","non-dropping-particle":"","parse-names":false,"suffix":""},{"dropping-particle":"","family":"Yang","given":"Wenrong","non-dropping-particle":"","parse-names":false,"suffix":""},{"dropping-particle":"","family":"Liu","given":"Jingquan","non-dropping-particle":"","parse-names":false,"suffix":""}],"container-title":"Nano Research","id":"ITEM-1","issue":"2","issued":{"date-parts":[["2018"]]},"page":"988-996","title":"Hierarchical coral-like NiMOS nanohybrids as highly efficient bifunctional electrocatalysts for overall urea electrolysis","type":"article-journal","volume":"11"},"uris":["http://www.mendeley.com/documents/?uuid=716138be-7f7f-4694-8a52-0bf0364893a1"]}],"mendeley":{"formattedCitation":"[2]","plainTextFormattedCitation":"[2]","previouslyFormattedCitation":"[2]"},"properties":{"noteIndex":0},"schema":"https://github.com/citation-style-language/schema/raw/master/csl-citation.json"}</w:instrText>
            </w:r>
            <w:r w:rsidRPr="00EA53E8">
              <w:rPr>
                <w:rFonts w:ascii="Times New Roman" w:hAnsi="Times New Roman" w:cs="Times New Roman"/>
                <w:color w:val="000000" w:themeColor="text1"/>
                <w:szCs w:val="22"/>
              </w:rPr>
              <w:fldChar w:fldCharType="separate"/>
            </w:r>
            <w:r w:rsidRPr="00EA53E8">
              <w:rPr>
                <w:rFonts w:ascii="Times New Roman" w:hAnsi="Times New Roman" w:cs="Times New Roman"/>
                <w:noProof/>
                <w:color w:val="000000" w:themeColor="text1"/>
                <w:szCs w:val="22"/>
              </w:rPr>
              <w:t>[2]</w:t>
            </w:r>
            <w:r w:rsidRPr="00EA53E8">
              <w:rPr>
                <w:rFonts w:ascii="Times New Roman" w:hAnsi="Times New Roman" w:cs="Times New Roman"/>
                <w:color w:val="000000" w:themeColor="text1"/>
                <w:szCs w:val="22"/>
              </w:rPr>
              <w:fldChar w:fldCharType="end"/>
            </w:r>
          </w:p>
        </w:tc>
      </w:tr>
      <w:tr w:rsidR="00EA53E8" w:rsidRPr="00FB7E71" w14:paraId="0981D775" w14:textId="77777777" w:rsidTr="006522D8">
        <w:trPr>
          <w:trHeight w:val="666"/>
        </w:trPr>
        <w:tc>
          <w:tcPr>
            <w:tcW w:w="2123" w:type="dxa"/>
          </w:tcPr>
          <w:p w14:paraId="66DD1FCB"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Ni</w:t>
            </w:r>
            <w:r w:rsidRPr="00EA53E8">
              <w:rPr>
                <w:rFonts w:ascii="Times New Roman" w:hAnsi="Times New Roman" w:cs="Times New Roman"/>
                <w:color w:val="000000" w:themeColor="text1"/>
                <w:szCs w:val="22"/>
                <w:vertAlign w:val="subscript"/>
              </w:rPr>
              <w:t>3</w:t>
            </w:r>
            <w:r w:rsidRPr="00EA53E8">
              <w:rPr>
                <w:rFonts w:ascii="Times New Roman" w:hAnsi="Times New Roman" w:cs="Times New Roman"/>
                <w:color w:val="000000" w:themeColor="text1"/>
                <w:szCs w:val="22"/>
              </w:rPr>
              <w:t>N/NF</w:t>
            </w:r>
          </w:p>
        </w:tc>
        <w:tc>
          <w:tcPr>
            <w:tcW w:w="2272" w:type="dxa"/>
          </w:tcPr>
          <w:p w14:paraId="4C19AC67"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 xml:space="preserve">1.34 </w:t>
            </w:r>
          </w:p>
        </w:tc>
        <w:tc>
          <w:tcPr>
            <w:tcW w:w="2693" w:type="dxa"/>
          </w:tcPr>
          <w:p w14:paraId="0FF7B659"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 M KOH+ 0.5 M Urea</w:t>
            </w:r>
          </w:p>
        </w:tc>
        <w:tc>
          <w:tcPr>
            <w:tcW w:w="1276" w:type="dxa"/>
          </w:tcPr>
          <w:p w14:paraId="2D1B4063"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fldChar w:fldCharType="begin" w:fldLock="1"/>
            </w:r>
            <w:r w:rsidRPr="00EA53E8">
              <w:rPr>
                <w:rFonts w:ascii="Times New Roman" w:hAnsi="Times New Roman" w:cs="Times New Roman"/>
                <w:color w:val="000000" w:themeColor="text1"/>
                <w:szCs w:val="22"/>
              </w:rPr>
              <w:instrText>ADDIN CSL_CITATION {"citationItems":[{"id":"ITEM-1","itemData":{"DOI":"10.1021/acsami.8b19052","ISSN":"19448252","PMID":"30900444","abstract":"Oxygen evolution reaction (OER) has a high overpotential, which can significantly reduce the energy efficiency in water decomposition. Using urea oxidation reaction (UOR) to replace OER has been a feasible and energy-saving approach because of its lower electrode potential. Furthermore, UOR is also an important process in wastewater treatment. This paper successfully synthesizes a high-performance bifunctional catalyst for urea electrolysis. The catalyst is nickel nitride bead-like nanospheres array supported on Ni foam (Ni 3 N/NF). Several characterization methods are used to analyze the catalyst's morphology, structure, and composition as well as catalytic activity/stability, including X-ray diffraction, scanning electron microscopy, transmission electron microscopy, X-ray photoelectron spectroscopy, and electrochemical methods (cyclic voltammetry, linear sweep voltammetry, electrochemical impedance spectroscopy, and CAM). A concurrent two-electrode electrolyzer (Ni 3 N/NFyen;Ni 3 N/NF) is constructed and used to validate the catalyst performance, and the results show that the cell achieves 100 mA·cm -2 at 1.42 V, while the cell voltage of Pt/Cyen;IrO 2 is 1.60 V, indicating that the Ni 3 N/NF catalyst is superior to precious metals.","author":[{"dropping-particle":"","family":"Hu","given":"Shengnan","non-dropping-particle":"","parse-names":false,"suffix":""},{"dropping-particle":"","family":"Feng","given":"Chuanqi","non-dropping-particle":"","parse-names":false,"suffix":""},{"dropping-particle":"","family":"Wang","given":"Shiquan","non-dropping-particle":"","parse-names":false,"suffix":""},{"dropping-particle":"","family":"Liu","given":"Jianwen","non-dropping-particle":"","parse-names":false,"suffix":""},{"dropping-particle":"","family":"Wu","given":"Huimin","non-dropping-particle":"","parse-names":false,"suffix":""},{"dropping-particle":"","family":"Zhang","given":"Lei","non-dropping-particle":"","parse-names":false,"suffix":""},{"dropping-particle":"","family":"Zhang","given":"Jiujun","non-dropping-particle":"","parse-names":false,"suffix":""}],"container-title":"ACS Applied Materials and Interfaces","id":"ITEM-1","issue":"14","issued":{"date-parts":[["2019"]]},"page":"13168-13175","title":"Ni 3 N/NF as Bifunctional Catalysts for Both Hydrogen Generation and Urea Decomposition","type":"article-journal","volume":"11"},"uris":["http://www.mendeley.com/documents/?uuid=97e2ea03-7e7f-4b42-af6d-76a62a5fe99e"]}],"mendeley":{"formattedCitation":"[3]","plainTextFormattedCitation":"[3]","previouslyFormattedCitation":"[3]"},"properties":{"noteIndex":0},"schema":"https://github.com/citation-style-language/schema/raw/master/csl-citation.json"}</w:instrText>
            </w:r>
            <w:r w:rsidRPr="00EA53E8">
              <w:rPr>
                <w:rFonts w:ascii="Times New Roman" w:hAnsi="Times New Roman" w:cs="Times New Roman"/>
                <w:color w:val="000000" w:themeColor="text1"/>
                <w:szCs w:val="22"/>
              </w:rPr>
              <w:fldChar w:fldCharType="separate"/>
            </w:r>
            <w:r w:rsidRPr="00EA53E8">
              <w:rPr>
                <w:rFonts w:ascii="Times New Roman" w:hAnsi="Times New Roman" w:cs="Times New Roman"/>
                <w:noProof/>
                <w:color w:val="000000" w:themeColor="text1"/>
                <w:szCs w:val="22"/>
              </w:rPr>
              <w:t>[3]</w:t>
            </w:r>
            <w:r w:rsidRPr="00EA53E8">
              <w:rPr>
                <w:rFonts w:ascii="Times New Roman" w:hAnsi="Times New Roman" w:cs="Times New Roman"/>
                <w:color w:val="000000" w:themeColor="text1"/>
                <w:szCs w:val="22"/>
              </w:rPr>
              <w:fldChar w:fldCharType="end"/>
            </w:r>
          </w:p>
        </w:tc>
      </w:tr>
      <w:tr w:rsidR="00EA53E8" w:rsidRPr="00FB7E71" w14:paraId="78F34E1F" w14:textId="77777777" w:rsidTr="006522D8">
        <w:tc>
          <w:tcPr>
            <w:tcW w:w="2123" w:type="dxa"/>
          </w:tcPr>
          <w:p w14:paraId="55334D8A"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Ni</w:t>
            </w:r>
            <w:r w:rsidRPr="00EA53E8">
              <w:rPr>
                <w:rFonts w:ascii="Times New Roman" w:hAnsi="Times New Roman" w:cs="Times New Roman"/>
                <w:color w:val="000000" w:themeColor="text1"/>
                <w:szCs w:val="22"/>
                <w:vertAlign w:val="subscript"/>
              </w:rPr>
              <w:t>3</w:t>
            </w:r>
            <w:r w:rsidRPr="00EA53E8">
              <w:rPr>
                <w:rFonts w:ascii="Times New Roman" w:hAnsi="Times New Roman" w:cs="Times New Roman"/>
                <w:color w:val="000000" w:themeColor="text1"/>
                <w:szCs w:val="22"/>
              </w:rPr>
              <w:t>N NA/CC</w:t>
            </w:r>
          </w:p>
        </w:tc>
        <w:tc>
          <w:tcPr>
            <w:tcW w:w="2272" w:type="dxa"/>
          </w:tcPr>
          <w:p w14:paraId="2C327D27"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1.35</w:t>
            </w:r>
          </w:p>
        </w:tc>
        <w:tc>
          <w:tcPr>
            <w:tcW w:w="2693" w:type="dxa"/>
          </w:tcPr>
          <w:p w14:paraId="27F808BA"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 M KOH+ 0.33 M Urea</w:t>
            </w:r>
          </w:p>
        </w:tc>
        <w:tc>
          <w:tcPr>
            <w:tcW w:w="1276" w:type="dxa"/>
          </w:tcPr>
          <w:p w14:paraId="71738CF4"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fldChar w:fldCharType="begin" w:fldLock="1"/>
            </w:r>
            <w:r w:rsidRPr="00EA53E8">
              <w:rPr>
                <w:rFonts w:ascii="Times New Roman" w:hAnsi="Times New Roman" w:cs="Times New Roman"/>
                <w:color w:val="000000" w:themeColor="text1"/>
                <w:szCs w:val="22"/>
              </w:rPr>
              <w:instrText>ADDIN CSL_CITATION {"citationItems":[{"id":"ITEM-1","itemData":{"DOI":"10.1039/c7qi00185a","ISSN":"20521553","abstract":"Developing highly efficient and non-noble-metal catalysts is of great importance for electrochemical energy storage and conversion. In this communication, we report the development of a porous Ni3N nanosheet array on carbon cloth (Ni3N NA/CC) as a high-performance and durable electrocatalyst for urea oxidation. To drive 10 mA cm-2, this Ni3N NA/CC only demands a potential of 1.35 V in 1.0 M KOH with 0.33 M urea. The high catalytic activity of the hydrogen evolution reaction enables Ni3N NA/CC as a bifunctional catalyst electrode for electrochemical hydrogen production and the two-electrode electrolyzer is capable of offering 10 mA cm-2 at a cell voltage of only 1.44 V, 120 mV less than that for the urea-free counterpart.","author":[{"dropping-particle":"","family":"Liu","given":"Qin","non-dropping-particle":"","parse-names":false,"suffix":""},{"dropping-particle":"","family":"Xie","given":"Lisi","non-dropping-particle":"","parse-names":false,"suffix":""},{"dropping-particle":"","family":"Qu","given":"Fengli","non-dropping-particle":"","parse-names":false,"suffix":""},{"dropping-particle":"","family":"Liu","given":"Zhiang","non-dropping-particle":"","parse-names":false,"suffix":""},{"dropping-particle":"","family":"Du","given":"Gu","non-dropping-particle":"","parse-names":false,"suffix":""},{"dropping-particle":"","family":"Asiri","given":"Abdullah M.","non-dropping-particle":"","parse-names":false,"suffix":""},{"dropping-particle":"","family":"Sun","given":"Xuping","non-dropping-particle":"","parse-names":false,"suffix":""}],"container-title":"Inorganic Chemistry Frontiers","id":"ITEM-1","issue":"7","issued":{"date-parts":[["2017"]]},"page":"1120-1124","publisher":"Royal Society of Chemistry","title":"A porous Ni3N nanosheet array as a high-performance non-noble-metal catalyst for urea-assisted electrochemical hydrogen production","type":"article-journal","volume":"4"},"uris":["http://www.mendeley.com/documents/?uuid=c24b6e2b-32f7-4d89-b02c-f15e92465daa"]}],"mendeley":{"formattedCitation":"[4]","plainTextFormattedCitation":"[4]","previouslyFormattedCitation":"[4]"},"properties":{"noteIndex":0},"schema":"https://github.com/citation-style-language/schema/raw/master/csl-citation.json"}</w:instrText>
            </w:r>
            <w:r w:rsidRPr="00EA53E8">
              <w:rPr>
                <w:rFonts w:ascii="Times New Roman" w:hAnsi="Times New Roman" w:cs="Times New Roman"/>
                <w:color w:val="000000" w:themeColor="text1"/>
                <w:szCs w:val="22"/>
              </w:rPr>
              <w:fldChar w:fldCharType="separate"/>
            </w:r>
            <w:r w:rsidRPr="00EA53E8">
              <w:rPr>
                <w:rFonts w:ascii="Times New Roman" w:hAnsi="Times New Roman" w:cs="Times New Roman"/>
                <w:noProof/>
                <w:color w:val="000000" w:themeColor="text1"/>
                <w:szCs w:val="22"/>
              </w:rPr>
              <w:t>[4]</w:t>
            </w:r>
            <w:r w:rsidRPr="00EA53E8">
              <w:rPr>
                <w:rFonts w:ascii="Times New Roman" w:hAnsi="Times New Roman" w:cs="Times New Roman"/>
                <w:color w:val="000000" w:themeColor="text1"/>
                <w:szCs w:val="22"/>
              </w:rPr>
              <w:fldChar w:fldCharType="end"/>
            </w:r>
          </w:p>
        </w:tc>
      </w:tr>
      <w:tr w:rsidR="00EA53E8" w:rsidRPr="00FB7E71" w14:paraId="039C58E9" w14:textId="77777777" w:rsidTr="006522D8">
        <w:tc>
          <w:tcPr>
            <w:tcW w:w="2123" w:type="dxa"/>
          </w:tcPr>
          <w:p w14:paraId="2908E13E"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Ni0-rich Ni/NiO</w:t>
            </w:r>
          </w:p>
        </w:tc>
        <w:tc>
          <w:tcPr>
            <w:tcW w:w="2272" w:type="dxa"/>
          </w:tcPr>
          <w:p w14:paraId="54B5C33E"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 xml:space="preserve">1.33 </w:t>
            </w:r>
          </w:p>
        </w:tc>
        <w:tc>
          <w:tcPr>
            <w:tcW w:w="2693" w:type="dxa"/>
          </w:tcPr>
          <w:p w14:paraId="5C0FF272"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 M KOH+ 0.33 M Urea</w:t>
            </w:r>
          </w:p>
        </w:tc>
        <w:tc>
          <w:tcPr>
            <w:tcW w:w="1276" w:type="dxa"/>
          </w:tcPr>
          <w:p w14:paraId="6AD4DFD8"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fldChar w:fldCharType="begin" w:fldLock="1"/>
            </w:r>
            <w:r w:rsidRPr="00EA53E8">
              <w:rPr>
                <w:rFonts w:ascii="Times New Roman" w:hAnsi="Times New Roman" w:cs="Times New Roman"/>
                <w:color w:val="000000" w:themeColor="text1"/>
                <w:szCs w:val="22"/>
              </w:rPr>
              <w:instrText>ADDIN CSL_CITATION {"citationItems":[{"id":"ITEM-1","itemData":{"DOI":"10.1016/j.apsusc.2019.143710","ISSN":"01694332","abstract":"It is highly desired to develop low-cost and effective non-precious metal based electrocatalysts for water-to‑hydrogen conversion assisted by urea electro-oxidation reaction. In this work, Ni0-rich Ni/NiO nanocrystals were facilely synthesized on the surface of acid-treated nickel foam via thermal annealing in Ar/H2 (denoted as NF@Acid-H2). The three-dimensional free-standing NF@Acid-H2 electrode exhibited high HER and UOR activities at 156 mV and at 1.33 V to reach the current density of 10 mA/cm2, respectively. The urea electrolyzer needed a cell voltage of 1.49 V to deliver the current density of 10 mA/cm2, and could continuously generate H2 for 20 h with negligible activity loss. Systematic study revealed that the presence of Ni0 played a significant role to improve both HER and UOR performance. In particular, the Ni0-rich Ni/NiO exhibited better catalytic performance than that of Ni0-less counterpart. This work proved that the high urea electrolysis performance was dependent on the rational design of non-precious metal electrocatalysts with controllable compositions and hierarchical nanostructures.","author":[{"dropping-particle":"","family":"Zhang","given":"Baoxi","non-dropping-particle":"","parse-names":false,"suffix":""},{"dropping-particle":"","family":"Wang","given":"Shunyao","non-dropping-particle":"","parse-names":false,"suffix":""},{"dropping-particle":"","family":"Ma","given":"Zhuo","non-dropping-particle":"","parse-names":false,"suffix":""},{"dropping-particle":"","family":"Qiu","given":"Yunfeng","non-dropping-particle":"","parse-names":false,"suffix":""}],"container-title":"Applied Surface Science","id":"ITEM-1","issue":"June","issued":{"date-parts":[["2019"]]},"page":"143710","publisher":"Elsevier","title":"Ni0-rich Ni/NiO nanocrystals for efficient water-to‑hydrogen conversion via urea electro-oxidation","type":"article-journal","volume":"496"},"uris":["http://www.mendeley.com/documents/?uuid=faf6e3f3-65f3-457e-9c6c-e3c1dd77ef9a"]}],"mendeley":{"formattedCitation":"[5]","plainTextFormattedCitation":"[5]","previouslyFormattedCitation":"[5]"},"properties":{"noteIndex":0},"schema":"https://github.com/citation-style-language/schema/raw/master/csl-citation.json"}</w:instrText>
            </w:r>
            <w:r w:rsidRPr="00EA53E8">
              <w:rPr>
                <w:rFonts w:ascii="Times New Roman" w:hAnsi="Times New Roman" w:cs="Times New Roman"/>
                <w:color w:val="000000" w:themeColor="text1"/>
                <w:szCs w:val="22"/>
              </w:rPr>
              <w:fldChar w:fldCharType="separate"/>
            </w:r>
            <w:r w:rsidRPr="00EA53E8">
              <w:rPr>
                <w:rFonts w:ascii="Times New Roman" w:hAnsi="Times New Roman" w:cs="Times New Roman"/>
                <w:noProof/>
                <w:color w:val="000000" w:themeColor="text1"/>
                <w:szCs w:val="22"/>
              </w:rPr>
              <w:t>[5]</w:t>
            </w:r>
            <w:r w:rsidRPr="00EA53E8">
              <w:rPr>
                <w:rFonts w:ascii="Times New Roman" w:hAnsi="Times New Roman" w:cs="Times New Roman"/>
                <w:color w:val="000000" w:themeColor="text1"/>
                <w:szCs w:val="22"/>
              </w:rPr>
              <w:fldChar w:fldCharType="end"/>
            </w:r>
          </w:p>
        </w:tc>
      </w:tr>
      <w:tr w:rsidR="00EA53E8" w:rsidRPr="00FB7E71" w14:paraId="124CABDF" w14:textId="77777777" w:rsidTr="006522D8">
        <w:tc>
          <w:tcPr>
            <w:tcW w:w="2123" w:type="dxa"/>
          </w:tcPr>
          <w:p w14:paraId="200B8471"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Ni</w:t>
            </w:r>
            <w:r w:rsidRPr="00EA53E8">
              <w:rPr>
                <w:rFonts w:ascii="Times New Roman" w:hAnsi="Times New Roman" w:cs="Times New Roman"/>
                <w:color w:val="000000" w:themeColor="text1"/>
                <w:szCs w:val="22"/>
                <w:vertAlign w:val="subscript"/>
              </w:rPr>
              <w:t>2</w:t>
            </w:r>
            <w:r w:rsidRPr="00EA53E8">
              <w:rPr>
                <w:rFonts w:ascii="Times New Roman" w:hAnsi="Times New Roman" w:cs="Times New Roman"/>
                <w:color w:val="000000" w:themeColor="text1"/>
                <w:szCs w:val="22"/>
              </w:rPr>
              <w:t>P/CFC</w:t>
            </w:r>
          </w:p>
        </w:tc>
        <w:tc>
          <w:tcPr>
            <w:tcW w:w="2272" w:type="dxa"/>
          </w:tcPr>
          <w:p w14:paraId="74E49374"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1.34</w:t>
            </w:r>
          </w:p>
        </w:tc>
        <w:tc>
          <w:tcPr>
            <w:tcW w:w="2693" w:type="dxa"/>
          </w:tcPr>
          <w:p w14:paraId="7FF9B003"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 M KOH+ 0.33 M Urea</w:t>
            </w:r>
          </w:p>
        </w:tc>
        <w:tc>
          <w:tcPr>
            <w:tcW w:w="1276" w:type="dxa"/>
          </w:tcPr>
          <w:p w14:paraId="28E2726E"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fldChar w:fldCharType="begin" w:fldLock="1"/>
            </w:r>
            <w:r w:rsidRPr="00EA53E8">
              <w:rPr>
                <w:rFonts w:ascii="Times New Roman" w:hAnsi="Times New Roman" w:cs="Times New Roman"/>
                <w:color w:val="000000" w:themeColor="text1"/>
                <w:szCs w:val="22"/>
              </w:rPr>
              <w:instrText>ADDIN CSL_CITATION {"citationItems":[{"id":"ITEM-1","itemData":{"DOI":"10.1016/j.electacta.2017.09.097","ISSN":"00134686","abstract":"Ni2P nanocrystallines grown on carbon fiber cloth (Ni2P/CFC) was successfully achieved by a facile vapour-phase hydrothermal method. The as-prepared Ni2P/CFC, as an electrocatalyst, exhibited superior electrocatalytic activities toward urea oxidation reaction (UOR) with a potential of 1.42 V (vs. RHE) delivering a current density of 10 mA cm−2 and hydrogen evolution reaction (HER) with overpotentials of 90 and 155 mV at current densities of 10 and 100 mA cm−2 in alkaline media. On this basis, a Ni2P/CFC constructed two-electrode system for high-efficiency H2 production and simultaneous urea decomposition was therefore established using commercial urea as reaction source. Besides, such two-electrode system as proof of concept study was also evaluated using human urine as urea source for highly efficient H2 generation with a rate of 0.35 μM min−1 at an applied potential of 1.48 V, delivering a current density of 10 mA cm−2.","author":[{"dropping-particle":"","family":"Zhang","given":"Xian","non-dropping-particle":"","parse-names":false,"suffix":""},{"dropping-particle":"","family":"Liu","given":"Yanyan","non-dropping-particle":"","parse-names":false,"suffix":""},{"dropping-particle":"","family":"Xiong","given":"Qizhong","non-dropping-particle":"","parse-names":false,"suffix":""},{"dropping-particle":"","family":"Liu","given":"Guoqiang","non-dropping-particle":"","parse-names":false,"suffix":""},{"dropping-particle":"","family":"Zhao","given":"Cuijiao","non-dropping-particle":"","parse-names":false,"suffix":""},{"dropping-particle":"","family":"Wang","given":"Guozhong","non-dropping-particle":"","parse-names":false,"suffix":""},{"dropping-particle":"","family":"Zhang","given":"Yunxia","non-dropping-particle":"","parse-names":false,"suffix":""},{"dropping-particle":"","family":"Zhang","given":"Haimin","non-dropping-particle":"","parse-names":false,"suffix":""},{"dropping-particle":"","family":"Zhao","given":"Huijun","non-dropping-particle":"","parse-names":false,"suffix":""}],"container-title":"Electrochimica Acta","id":"ITEM-1","issued":{"date-parts":[["2017"]]},"page":"44-49","title":"Vapour-phase hydrothermal synthesis of Ni2P nanocrystallines on carbon fiber cloth for high-efficiency H2 production and simultaneous urea decomposition","type":"article-journal","volume":"254"},"uris":["http://www.mendeley.com/documents/?uuid=8b916fa3-f173-4fda-a3b2-7b8a0d9c8ca4"]}],"mendeley":{"formattedCitation":"[6]","plainTextFormattedCitation":"[6]","previouslyFormattedCitation":"[6]"},"properties":{"noteIndex":0},"schema":"https://github.com/citation-style-language/schema/raw/master/csl-citation.json"}</w:instrText>
            </w:r>
            <w:r w:rsidRPr="00EA53E8">
              <w:rPr>
                <w:rFonts w:ascii="Times New Roman" w:hAnsi="Times New Roman" w:cs="Times New Roman"/>
                <w:color w:val="000000" w:themeColor="text1"/>
                <w:szCs w:val="22"/>
              </w:rPr>
              <w:fldChar w:fldCharType="separate"/>
            </w:r>
            <w:r w:rsidRPr="00EA53E8">
              <w:rPr>
                <w:rFonts w:ascii="Times New Roman" w:hAnsi="Times New Roman" w:cs="Times New Roman"/>
                <w:noProof/>
                <w:color w:val="000000" w:themeColor="text1"/>
                <w:szCs w:val="22"/>
              </w:rPr>
              <w:t>[6]</w:t>
            </w:r>
            <w:r w:rsidRPr="00EA53E8">
              <w:rPr>
                <w:rFonts w:ascii="Times New Roman" w:hAnsi="Times New Roman" w:cs="Times New Roman"/>
                <w:color w:val="000000" w:themeColor="text1"/>
                <w:szCs w:val="22"/>
              </w:rPr>
              <w:fldChar w:fldCharType="end"/>
            </w:r>
          </w:p>
        </w:tc>
      </w:tr>
      <w:tr w:rsidR="00EA53E8" w:rsidRPr="00FB7E71" w14:paraId="5B588CC0" w14:textId="77777777" w:rsidTr="006522D8">
        <w:tc>
          <w:tcPr>
            <w:tcW w:w="2123" w:type="dxa"/>
          </w:tcPr>
          <w:p w14:paraId="226A4F8C"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CoS</w:t>
            </w:r>
            <w:r w:rsidRPr="00EA53E8">
              <w:rPr>
                <w:rFonts w:ascii="Times New Roman" w:hAnsi="Times New Roman" w:cs="Times New Roman"/>
                <w:color w:val="000000" w:themeColor="text1"/>
                <w:szCs w:val="22"/>
                <w:vertAlign w:val="subscript"/>
              </w:rPr>
              <w:t>2</w:t>
            </w:r>
            <w:r w:rsidRPr="00EA53E8">
              <w:rPr>
                <w:rFonts w:ascii="Times New Roman" w:hAnsi="Times New Roman" w:cs="Times New Roman"/>
                <w:color w:val="000000" w:themeColor="text1"/>
                <w:szCs w:val="22"/>
              </w:rPr>
              <w:t xml:space="preserve"> NA/Ti</w:t>
            </w:r>
          </w:p>
        </w:tc>
        <w:tc>
          <w:tcPr>
            <w:tcW w:w="2272" w:type="dxa"/>
          </w:tcPr>
          <w:p w14:paraId="637A76EA"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1.40</w:t>
            </w:r>
          </w:p>
        </w:tc>
        <w:tc>
          <w:tcPr>
            <w:tcW w:w="2693" w:type="dxa"/>
          </w:tcPr>
          <w:p w14:paraId="6C30CCAA"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 M KOH+ 0.33 M Urea</w:t>
            </w:r>
          </w:p>
        </w:tc>
        <w:tc>
          <w:tcPr>
            <w:tcW w:w="1276" w:type="dxa"/>
          </w:tcPr>
          <w:p w14:paraId="272897E9"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fldChar w:fldCharType="begin" w:fldLock="1"/>
            </w:r>
            <w:r w:rsidRPr="00EA53E8">
              <w:rPr>
                <w:rFonts w:ascii="Times New Roman" w:hAnsi="Times New Roman" w:cs="Times New Roman"/>
                <w:color w:val="000000" w:themeColor="text1"/>
                <w:szCs w:val="22"/>
              </w:rPr>
              <w:instrText>ADDIN CSL_CITATION {"citationItems":[{"id":"ITEM-1","itemData":{"DOI":"10.1016/j.electacta.2017.06.068","ISSN":"00134686","abstract":"In this work, we report that uniformly CoS2 nanoneedle array grown on Ti mesh (CoS2 NA/Ti) behaves as a stable and efficient bifunctional electrocatalyst for urea-assisted electrolytic hydrogen production via overall urea splitting. As a non-noble metal electrocatalyst, CoS2 NA/Ti exhibited excellent urea oxidation reaction (UOR) and hydrogen evolution reaction (HER) catalytic activity in 1.0 M KOH with 0.3 M urea solution. Only a cell voltage of 1.59 V is required to achieve a current density of 10 mA cm−2 for full urea splitting in 1.0 M KOH with 0.3 M urea.","author":[{"dropping-particle":"","family":"Wei","given":"Shuang","non-dropping-particle":"","parse-names":false,"suffix":""},{"dropping-particle":"","family":"Wang","given":"Xiaoxia","non-dropping-particle":"","parse-names":false,"suffix":""},{"dropping-particle":"","family":"Wang","given":"Jianmei","non-dropping-particle":"","parse-names":false,"suffix":""},{"dropping-particle":"","family":"Sun","given":"Xuping","non-dropping-particle":"","parse-names":false,"suffix":""},{"dropping-particle":"","family":"Cui","given":"Liang","non-dropping-particle":"","parse-names":false,"suffix":""},{"dropping-particle":"","family":"Yang","given":"Wenrong","non-dropping-particle":"","parse-names":false,"suffix":""},{"dropping-particle":"","family":"Zheng","given":"Yiwei","non-dropping-particle":"","parse-names":false,"suffix":""},{"dropping-particle":"","family":"Liu","given":"Jingquan","non-dropping-particle":"","parse-names":false,"suffix":""}],"container-title":"Electrochimica Acta","id":"ITEM-1","issued":{"date-parts":[["2017"]]},"page":"776-782","publisher":"Elsevier Ltd","title":"CoS2 nanoneedle array on Ti mesh: A stable and efficient bifunctional electrocatalyst for urea-assisted electrolytic hydrogen production","type":"article-journal","volume":"246"},"uris":["http://www.mendeley.com/documents/?uuid=f04500ed-6a67-4074-8ca2-376cd4059092"]}],"mendeley":{"formattedCitation":"[7]","plainTextFormattedCitation":"[7]","previouslyFormattedCitation":"[7]"},"properties":{"noteIndex":0},"schema":"https://github.com/citation-style-language/schema/raw/master/csl-citation.json"}</w:instrText>
            </w:r>
            <w:r w:rsidRPr="00EA53E8">
              <w:rPr>
                <w:rFonts w:ascii="Times New Roman" w:hAnsi="Times New Roman" w:cs="Times New Roman"/>
                <w:color w:val="000000" w:themeColor="text1"/>
                <w:szCs w:val="22"/>
              </w:rPr>
              <w:fldChar w:fldCharType="separate"/>
            </w:r>
            <w:r w:rsidRPr="00EA53E8">
              <w:rPr>
                <w:rFonts w:ascii="Times New Roman" w:hAnsi="Times New Roman" w:cs="Times New Roman"/>
                <w:noProof/>
                <w:color w:val="000000" w:themeColor="text1"/>
                <w:szCs w:val="22"/>
              </w:rPr>
              <w:t>[7]</w:t>
            </w:r>
            <w:r w:rsidRPr="00EA53E8">
              <w:rPr>
                <w:rFonts w:ascii="Times New Roman" w:hAnsi="Times New Roman" w:cs="Times New Roman"/>
                <w:color w:val="000000" w:themeColor="text1"/>
                <w:szCs w:val="22"/>
              </w:rPr>
              <w:fldChar w:fldCharType="end"/>
            </w:r>
          </w:p>
        </w:tc>
      </w:tr>
      <w:tr w:rsidR="00EA53E8" w:rsidRPr="00FB7E71" w14:paraId="2037BE16" w14:textId="77777777" w:rsidTr="006522D8">
        <w:tc>
          <w:tcPr>
            <w:tcW w:w="2123" w:type="dxa"/>
          </w:tcPr>
          <w:p w14:paraId="6F1C8A0C"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MnO</w:t>
            </w:r>
            <w:r w:rsidRPr="00EA53E8">
              <w:rPr>
                <w:rFonts w:ascii="Times New Roman" w:hAnsi="Times New Roman" w:cs="Times New Roman"/>
                <w:color w:val="000000" w:themeColor="text1"/>
                <w:szCs w:val="22"/>
                <w:vertAlign w:val="subscript"/>
              </w:rPr>
              <w:t>2</w:t>
            </w:r>
            <w:r w:rsidRPr="00EA53E8">
              <w:rPr>
                <w:rFonts w:ascii="Times New Roman" w:hAnsi="Times New Roman" w:cs="Times New Roman"/>
                <w:color w:val="000000" w:themeColor="text1"/>
                <w:szCs w:val="22"/>
              </w:rPr>
              <w:t>/MnCo</w:t>
            </w:r>
            <w:r w:rsidRPr="00EA53E8">
              <w:rPr>
                <w:rFonts w:ascii="Times New Roman" w:hAnsi="Times New Roman" w:cs="Times New Roman"/>
                <w:color w:val="000000" w:themeColor="text1"/>
                <w:szCs w:val="22"/>
                <w:vertAlign w:val="subscript"/>
              </w:rPr>
              <w:t>2</w:t>
            </w:r>
            <w:r w:rsidRPr="00EA53E8">
              <w:rPr>
                <w:rFonts w:ascii="Times New Roman" w:hAnsi="Times New Roman" w:cs="Times New Roman"/>
                <w:color w:val="000000" w:themeColor="text1"/>
                <w:szCs w:val="22"/>
              </w:rPr>
              <w:t>O</w:t>
            </w:r>
            <w:r w:rsidRPr="00EA53E8">
              <w:rPr>
                <w:rFonts w:ascii="Times New Roman" w:hAnsi="Times New Roman" w:cs="Times New Roman"/>
                <w:color w:val="000000" w:themeColor="text1"/>
                <w:szCs w:val="22"/>
                <w:vertAlign w:val="subscript"/>
              </w:rPr>
              <w:t>4</w:t>
            </w:r>
            <w:r w:rsidRPr="00EA53E8">
              <w:rPr>
                <w:rFonts w:ascii="Times New Roman" w:hAnsi="Times New Roman" w:cs="Times New Roman"/>
                <w:color w:val="000000" w:themeColor="text1"/>
                <w:szCs w:val="22"/>
              </w:rPr>
              <w:t>/Ni</w:t>
            </w:r>
          </w:p>
        </w:tc>
        <w:tc>
          <w:tcPr>
            <w:tcW w:w="2272" w:type="dxa"/>
          </w:tcPr>
          <w:p w14:paraId="34E8E892"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1.33</w:t>
            </w:r>
          </w:p>
        </w:tc>
        <w:tc>
          <w:tcPr>
            <w:tcW w:w="2693" w:type="dxa"/>
          </w:tcPr>
          <w:p w14:paraId="662EE667"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 M KOH+ 0.5 M Urea</w:t>
            </w:r>
          </w:p>
        </w:tc>
        <w:tc>
          <w:tcPr>
            <w:tcW w:w="1276" w:type="dxa"/>
          </w:tcPr>
          <w:p w14:paraId="3049F48E"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fldChar w:fldCharType="begin" w:fldLock="1"/>
            </w:r>
            <w:r w:rsidRPr="00EA53E8">
              <w:rPr>
                <w:rFonts w:ascii="Times New Roman" w:hAnsi="Times New Roman" w:cs="Times New Roman"/>
                <w:color w:val="000000" w:themeColor="text1"/>
                <w:szCs w:val="22"/>
              </w:rPr>
              <w:instrText>ADDIN CSL_CITATION {"citationItems":[{"id":"ITEM-1","itemData":{"DOI":"10.1039/c7ta00980a","ISSN":"20507496","abstract":"A three-dimensional MnO2/MnCo2O4/Ni core-shell heterostructured electrode has been fabricated through a facile method. This electrode architecture consists of four levels of interconnected hierarchy: a primary macroporous Ni foam scaffold (≥500 μm), an intermediate vertically-aligned MnCo2O4 core-nanoflake array (50-100 nm), topmost ultra-thin MnO2 nanosheets (</w:instrText>
            </w:r>
            <w:r w:rsidRPr="00EA53E8">
              <w:rPr>
                <w:rFonts w:ascii="바탕" w:eastAsia="바탕" w:hAnsi="바탕" w:cs="바탕" w:hint="eastAsia"/>
                <w:color w:val="000000" w:themeColor="text1"/>
                <w:szCs w:val="22"/>
              </w:rPr>
              <w:instrText>∼</w:instrText>
            </w:r>
            <w:r w:rsidRPr="00EA53E8">
              <w:rPr>
                <w:rFonts w:ascii="Times New Roman" w:hAnsi="Times New Roman" w:cs="Times New Roman"/>
                <w:color w:val="000000" w:themeColor="text1"/>
                <w:szCs w:val="22"/>
              </w:rPr>
              <w:instrText>10 nm) and short-range ordered mesopores (</w:instrText>
            </w:r>
            <w:r w:rsidRPr="00EA53E8">
              <w:rPr>
                <w:rFonts w:ascii="바탕" w:eastAsia="바탕" w:hAnsi="바탕" w:cs="바탕" w:hint="eastAsia"/>
                <w:color w:val="000000" w:themeColor="text1"/>
                <w:szCs w:val="22"/>
              </w:rPr>
              <w:instrText>∼</w:instrText>
            </w:r>
            <w:r w:rsidRPr="00EA53E8">
              <w:rPr>
                <w:rFonts w:ascii="Times New Roman" w:hAnsi="Times New Roman" w:cs="Times New Roman"/>
                <w:color w:val="000000" w:themeColor="text1"/>
                <w:szCs w:val="22"/>
              </w:rPr>
              <w:instrText>5 nm) on the MnO2 nanosheets. This freestanding, hierarchical porous electrode has advantages in enhancing electroactive surface area, enabling efficient mass transport through the porous structure. The heterostructured electrode exhibits a low onset potential (1.33 V vs. RHE), a high anodic peak current density (1000 mA cm-2 g-1 at 1.7 V vs. RHE) and long-term catalytic stability for urea oxidation, which surpasses previous reported electrode materials for urea electrolysis. Remarkably, the MnO2/MnCo2O4/Ni electrode possesses bifunctional catalytic activity for both urea oxidation and hydrogen evolution. A urea electrolytic cell with both anode and cathode using the heterostructured electrodes has been fabricated and a current density of 10 mA cm-2 has been achieved at a cell voltage of 1.55 V. This noble metal-free quadruple hierarchy electrode shows potential as a new platform for multi-purpose applications.","author":[{"dropping-particle":"","family":"Xiao","given":"Changlong","non-dropping-particle":"","parse-names":false,"suffix":""},{"dropping-particle":"","family":"Li","given":"Shuni","non-dropping-particle":"","parse-names":false,"suffix":""},{"dropping-particle":"","family":"Zhang","given":"Xinyi","non-dropping-particle":"","parse-names":false,"suffix":""},{"dropping-particle":"","family":"MacFarlane","given":"Douglas R.","non-dropping-particle":"","parse-names":false,"suffix":""}],"container-title":"Journal of Materials Chemistry A","id":"ITEM-1","issue":"17","issued":{"date-parts":[["2017"]]},"page":"7825-7832","publisher":"Royal Society of Chemistry","title":"MnO2/MnCo2O4/Ni heterostructure with quadruple hierarchy: A bifunctional electrode architecture for overall urea oxidation","type":"article-journal","volume":"5"},"uris":["http://www.mendeley.com/documents/?uuid=547f1e98-d7cb-48be-ace5-40ce6a5f7002"]}],"mendeley":{"formattedCitation":"[8]","plainTextFormattedCitation":"[8]","previouslyFormattedCitation":"[8]"},"properties":{"noteIndex":0},"schema":"https://github.com/citation-style-language/schema/raw/master/csl-citation.json"}</w:instrText>
            </w:r>
            <w:r w:rsidRPr="00EA53E8">
              <w:rPr>
                <w:rFonts w:ascii="Times New Roman" w:hAnsi="Times New Roman" w:cs="Times New Roman"/>
                <w:color w:val="000000" w:themeColor="text1"/>
                <w:szCs w:val="22"/>
              </w:rPr>
              <w:fldChar w:fldCharType="separate"/>
            </w:r>
            <w:r w:rsidRPr="00EA53E8">
              <w:rPr>
                <w:rFonts w:ascii="Times New Roman" w:hAnsi="Times New Roman" w:cs="Times New Roman"/>
                <w:noProof/>
                <w:color w:val="000000" w:themeColor="text1"/>
                <w:szCs w:val="22"/>
              </w:rPr>
              <w:t>[8]</w:t>
            </w:r>
            <w:r w:rsidRPr="00EA53E8">
              <w:rPr>
                <w:rFonts w:ascii="Times New Roman" w:hAnsi="Times New Roman" w:cs="Times New Roman"/>
                <w:color w:val="000000" w:themeColor="text1"/>
                <w:szCs w:val="22"/>
              </w:rPr>
              <w:fldChar w:fldCharType="end"/>
            </w:r>
          </w:p>
        </w:tc>
      </w:tr>
      <w:tr w:rsidR="00EA53E8" w:rsidRPr="00FB7E71" w14:paraId="4BEA2A15" w14:textId="77777777" w:rsidTr="006522D8">
        <w:tc>
          <w:tcPr>
            <w:tcW w:w="2123" w:type="dxa"/>
          </w:tcPr>
          <w:p w14:paraId="158404F2"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Ni(OH)</w:t>
            </w:r>
            <w:r w:rsidRPr="00EA53E8">
              <w:rPr>
                <w:rFonts w:ascii="Times New Roman" w:hAnsi="Times New Roman" w:cs="Times New Roman"/>
                <w:color w:val="000000" w:themeColor="text1"/>
                <w:szCs w:val="22"/>
                <w:vertAlign w:val="subscript"/>
              </w:rPr>
              <w:t>2</w:t>
            </w:r>
            <w:r w:rsidRPr="00EA53E8">
              <w:rPr>
                <w:rFonts w:ascii="Times New Roman" w:hAnsi="Times New Roman" w:cs="Times New Roman"/>
                <w:color w:val="000000" w:themeColor="text1"/>
                <w:szCs w:val="22"/>
              </w:rPr>
              <w:t xml:space="preserve"> nanocube</w:t>
            </w:r>
          </w:p>
        </w:tc>
        <w:tc>
          <w:tcPr>
            <w:tcW w:w="2272" w:type="dxa"/>
          </w:tcPr>
          <w:p w14:paraId="04BE7F2D"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1.55</w:t>
            </w:r>
          </w:p>
        </w:tc>
        <w:tc>
          <w:tcPr>
            <w:tcW w:w="2693" w:type="dxa"/>
          </w:tcPr>
          <w:p w14:paraId="1B218ADC"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 M KOH+ 0.33 M Urea</w:t>
            </w:r>
          </w:p>
        </w:tc>
        <w:tc>
          <w:tcPr>
            <w:tcW w:w="1276" w:type="dxa"/>
          </w:tcPr>
          <w:p w14:paraId="70D8E586"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fldChar w:fldCharType="begin" w:fldLock="1"/>
            </w:r>
            <w:r w:rsidRPr="00EA53E8">
              <w:rPr>
                <w:rFonts w:ascii="Times New Roman" w:hAnsi="Times New Roman" w:cs="Times New Roman"/>
                <w:color w:val="000000" w:themeColor="text1"/>
                <w:szCs w:val="22"/>
              </w:rPr>
              <w:instrText>ADDIN CSL_CITATION {"citationItems":[{"id":"ITEM-1","itemData":{"DOI":"10.1016/j.electacta.2014.08.098","ISSN":"00134686","abstract":"Nickel hydroxide electrode composed of cup-like pore arrays, which could act as an effective catalyst layer for electrolysis of urea, was formed on stainless steel foil by cathodic electrodeposition using a monolayer of polystyrene spheres as a template. The morphology of the catalyst layer could be controlled from nanocup to hollow sphere by tuning the deposition time. Electrolysis of urea was characterized by cyclic voltammetry and chronoamperometry in 1 M KOH electrolyte containing 0.33 M urea. The tailored catalyst layer with nanocup arrays expedited the transport of ion, electron, and gas. Moreover, cup-like pore arrays might lead to an increased surface area, and more active sites were exposed to electrolyte for the electrolysis of urea. Therefore, the nickel hydroxide electrode with nanocup architecture offered the benefit of much better electrocatalytic performance than the film electrode and hollow-sphere electrode during electrolysis of urea.","author":[{"dropping-particle":"","family":"Wu","given":"Mao Sung","non-dropping-particle":"","parse-names":false,"suffix":""},{"dropping-particle":"","family":"Ji","given":"Ren Yu","non-dropping-particle":"","parse-names":false,"suffix":""},{"dropping-particle":"","family":"Zheng","given":"Yo Ru","non-dropping-particle":"","parse-names":false,"suffix":""}],"container-title":"Electrochimica Acta","id":"ITEM-1","issued":{"date-parts":[["2014"]]},"page":"194-199","publisher":"Elsevier Ltd","title":"Nickel hydroxide electrode with a monolayer of nanocup arrays as an effective electrocatalyst for enhanced electrolysis of urea","type":"article-journal","volume":"144"},"uris":["http://www.mendeley.com/documents/?uuid=9c9ae4bb-40fa-481f-9280-0508cfa58bda"]}],"mendeley":{"formattedCitation":"[9]","plainTextFormattedCitation":"[9]","previouslyFormattedCitation":"[9]"},"properties":{"noteIndex":0},"schema":"https://github.com/citation-style-language/schema/raw/master/csl-citation.json"}</w:instrText>
            </w:r>
            <w:r w:rsidRPr="00EA53E8">
              <w:rPr>
                <w:rFonts w:ascii="Times New Roman" w:hAnsi="Times New Roman" w:cs="Times New Roman"/>
                <w:color w:val="000000" w:themeColor="text1"/>
                <w:szCs w:val="22"/>
              </w:rPr>
              <w:fldChar w:fldCharType="separate"/>
            </w:r>
            <w:r w:rsidRPr="00EA53E8">
              <w:rPr>
                <w:rFonts w:ascii="Times New Roman" w:hAnsi="Times New Roman" w:cs="Times New Roman"/>
                <w:noProof/>
                <w:color w:val="000000" w:themeColor="text1"/>
                <w:szCs w:val="22"/>
              </w:rPr>
              <w:t>[9]</w:t>
            </w:r>
            <w:r w:rsidRPr="00EA53E8">
              <w:rPr>
                <w:rFonts w:ascii="Times New Roman" w:hAnsi="Times New Roman" w:cs="Times New Roman"/>
                <w:color w:val="000000" w:themeColor="text1"/>
                <w:szCs w:val="22"/>
              </w:rPr>
              <w:fldChar w:fldCharType="end"/>
            </w:r>
          </w:p>
        </w:tc>
      </w:tr>
      <w:tr w:rsidR="00EA53E8" w:rsidRPr="00FB7E71" w14:paraId="02867CBA" w14:textId="77777777" w:rsidTr="006522D8">
        <w:tc>
          <w:tcPr>
            <w:tcW w:w="2123" w:type="dxa"/>
          </w:tcPr>
          <w:p w14:paraId="715D50C0"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Graphene Ni(OH)</w:t>
            </w:r>
            <w:r w:rsidRPr="00EA53E8">
              <w:rPr>
                <w:rFonts w:ascii="Times New Roman" w:hAnsi="Times New Roman" w:cs="Times New Roman"/>
                <w:color w:val="000000" w:themeColor="text1"/>
                <w:szCs w:val="22"/>
                <w:vertAlign w:val="subscript"/>
              </w:rPr>
              <w:t>2</w:t>
            </w:r>
          </w:p>
        </w:tc>
        <w:tc>
          <w:tcPr>
            <w:tcW w:w="2272" w:type="dxa"/>
          </w:tcPr>
          <w:p w14:paraId="23EFCFE3"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1.52</w:t>
            </w:r>
          </w:p>
        </w:tc>
        <w:tc>
          <w:tcPr>
            <w:tcW w:w="2693" w:type="dxa"/>
          </w:tcPr>
          <w:p w14:paraId="4206EDF0"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5 M KOH+ 0.5 M Urea</w:t>
            </w:r>
          </w:p>
        </w:tc>
        <w:tc>
          <w:tcPr>
            <w:tcW w:w="1276" w:type="dxa"/>
          </w:tcPr>
          <w:p w14:paraId="1EE2EC0D"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fldChar w:fldCharType="begin" w:fldLock="1"/>
            </w:r>
            <w:r w:rsidRPr="00EA53E8">
              <w:rPr>
                <w:rFonts w:ascii="Times New Roman" w:hAnsi="Times New Roman" w:cs="Times New Roman"/>
                <w:color w:val="000000" w:themeColor="text1"/>
                <w:szCs w:val="22"/>
              </w:rPr>
              <w:instrText>ADDIN CSL_CITATION {"citationItems":[{"id":"ITEM-1","itemData":{"DOI":"10.1007/s10800-012-0478-1","ISBN":"1080001204781","ISSN":"0021891X","abstract":"A procedure for the constant potential electrodeposition of rhodium onto nickel electrodes, the subsequent surface characterizations, and electrochemical evaluation is presented. The resulting Ni/Rh electrodes were evaluated for their activity as anode catalysts for the electro-oxidation of urea. A detailed procedure for the electrodeposition of Rh onto Ni foil is provided. It is shown that the electrocatalytic performance of Ni/Rh electrodes on the oxidation of urea in alkaline medium is primarily influenced by two electrodeposition parameters: the applied electrodeposition potential and the loading of Rh (mg cm -2). An optimization for electrocatalytic performance based on the electrodeposition potential and Rh loading is demonstrated. The effect of these parameters on visual finish, surface morphology, and crystal structure was also studied. © Springer Science+Business Media B.V. 2012.","author":[{"dropping-particle":"","family":"Miller","given":"Alexander Thomas","non-dropping-particle":"","parse-names":false,"suffix":""},{"dropping-particle":"","family":"Hassler","given":"Brian Lloyd","non-dropping-particle":"","parse-names":false,"suffix":""},{"dropping-particle":"","family":"Botte","given":"Gerardine G.","non-dropping-particle":"","parse-names":false,"suffix":""}],"container-title":"Journal of Applied Electrochemistry","id":"ITEM-1","issue":"11","issued":{"date-parts":[["2012"]]},"page":"925-934","title":"Rhodium electrodeposition on nickel electrodes used for urea electrolysis","type":"article-journal","volume":"42"},"uris":["http://www.mendeley.com/documents/?uuid=41344deb-af2e-4ac6-83be-b4dee3522fa1"]}],"mendeley":{"formattedCitation":"[10]","plainTextFormattedCitation":"[10]","previouslyFormattedCitation":"[10]"},"properties":{"noteIndex":0},"schema":"https://github.com/citation-style-language/schema/raw/master/csl-citation.json"}</w:instrText>
            </w:r>
            <w:r w:rsidRPr="00EA53E8">
              <w:rPr>
                <w:rFonts w:ascii="Times New Roman" w:hAnsi="Times New Roman" w:cs="Times New Roman"/>
                <w:color w:val="000000" w:themeColor="text1"/>
                <w:szCs w:val="22"/>
              </w:rPr>
              <w:fldChar w:fldCharType="separate"/>
            </w:r>
            <w:r w:rsidRPr="00EA53E8">
              <w:rPr>
                <w:rFonts w:ascii="Times New Roman" w:hAnsi="Times New Roman" w:cs="Times New Roman"/>
                <w:noProof/>
                <w:color w:val="000000" w:themeColor="text1"/>
                <w:szCs w:val="22"/>
              </w:rPr>
              <w:t>[10]</w:t>
            </w:r>
            <w:r w:rsidRPr="00EA53E8">
              <w:rPr>
                <w:rFonts w:ascii="Times New Roman" w:hAnsi="Times New Roman" w:cs="Times New Roman"/>
                <w:color w:val="000000" w:themeColor="text1"/>
                <w:szCs w:val="22"/>
              </w:rPr>
              <w:fldChar w:fldCharType="end"/>
            </w:r>
          </w:p>
        </w:tc>
      </w:tr>
      <w:tr w:rsidR="00EA53E8" w:rsidRPr="00FB7E71" w14:paraId="7165D388" w14:textId="77777777" w:rsidTr="006522D8">
        <w:tc>
          <w:tcPr>
            <w:tcW w:w="2123" w:type="dxa"/>
          </w:tcPr>
          <w:p w14:paraId="7C6BA26A"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NiFe@CF</w:t>
            </w:r>
          </w:p>
        </w:tc>
        <w:tc>
          <w:tcPr>
            <w:tcW w:w="2272" w:type="dxa"/>
          </w:tcPr>
          <w:p w14:paraId="4842BB37" w14:textId="7C80CAC8" w:rsidR="00EA53E8" w:rsidRPr="00EA53E8" w:rsidRDefault="001A47EC" w:rsidP="006522D8">
            <w:pPr>
              <w:tabs>
                <w:tab w:val="left" w:pos="1680"/>
              </w:tabs>
              <w:spacing w:line="360" w:lineRule="auto"/>
              <w:rPr>
                <w:rFonts w:ascii="Times New Roman" w:hAnsi="Times New Roman" w:cs="Times New Roman"/>
                <w:color w:val="000000" w:themeColor="text1"/>
                <w:szCs w:val="22"/>
              </w:rPr>
            </w:pPr>
            <w:r>
              <w:rPr>
                <w:rFonts w:ascii="Times New Roman" w:hAnsi="Times New Roman" w:cs="Times New Roman"/>
                <w:color w:val="000000" w:themeColor="text1"/>
                <w:szCs w:val="22"/>
              </w:rPr>
              <w:t>1.47</w:t>
            </w:r>
          </w:p>
        </w:tc>
        <w:tc>
          <w:tcPr>
            <w:tcW w:w="2693" w:type="dxa"/>
          </w:tcPr>
          <w:p w14:paraId="4314FD61"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 M KOH+ 0.33 M Urea</w:t>
            </w:r>
          </w:p>
        </w:tc>
        <w:tc>
          <w:tcPr>
            <w:tcW w:w="1276" w:type="dxa"/>
          </w:tcPr>
          <w:p w14:paraId="17494842"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This work</w:t>
            </w:r>
          </w:p>
        </w:tc>
      </w:tr>
      <w:tr w:rsidR="00EA53E8" w:rsidRPr="00FB7E71" w14:paraId="77A60EB9" w14:textId="77777777" w:rsidTr="006522D8">
        <w:tc>
          <w:tcPr>
            <w:tcW w:w="2123" w:type="dxa"/>
          </w:tcPr>
          <w:p w14:paraId="6A70F427"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P-NiFe@CF</w:t>
            </w:r>
          </w:p>
        </w:tc>
        <w:tc>
          <w:tcPr>
            <w:tcW w:w="2272" w:type="dxa"/>
          </w:tcPr>
          <w:p w14:paraId="0A535DCE"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1.33</w:t>
            </w:r>
          </w:p>
        </w:tc>
        <w:tc>
          <w:tcPr>
            <w:tcW w:w="2693" w:type="dxa"/>
          </w:tcPr>
          <w:p w14:paraId="3B424EF3"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1 M KOH+ 0.33 M Urea</w:t>
            </w:r>
          </w:p>
        </w:tc>
        <w:tc>
          <w:tcPr>
            <w:tcW w:w="1276" w:type="dxa"/>
          </w:tcPr>
          <w:p w14:paraId="79DB9312" w14:textId="77777777" w:rsidR="00EA53E8" w:rsidRPr="00EA53E8" w:rsidRDefault="00EA53E8" w:rsidP="006522D8">
            <w:pPr>
              <w:tabs>
                <w:tab w:val="left" w:pos="1680"/>
              </w:tabs>
              <w:spacing w:line="360" w:lineRule="auto"/>
              <w:rPr>
                <w:rFonts w:ascii="Times New Roman" w:hAnsi="Times New Roman" w:cs="Times New Roman"/>
                <w:color w:val="000000" w:themeColor="text1"/>
                <w:szCs w:val="22"/>
              </w:rPr>
            </w:pPr>
            <w:r w:rsidRPr="00EA53E8">
              <w:rPr>
                <w:rFonts w:ascii="Times New Roman" w:hAnsi="Times New Roman" w:cs="Times New Roman"/>
                <w:color w:val="000000" w:themeColor="text1"/>
                <w:szCs w:val="22"/>
              </w:rPr>
              <w:t>This work</w:t>
            </w:r>
          </w:p>
        </w:tc>
      </w:tr>
    </w:tbl>
    <w:p w14:paraId="7954A83C" w14:textId="77777777" w:rsidR="001E2EC6" w:rsidRPr="00FB7E71" w:rsidRDefault="001E2EC6" w:rsidP="001E2EC6">
      <w:pPr>
        <w:tabs>
          <w:tab w:val="left" w:pos="1680"/>
        </w:tabs>
        <w:spacing w:line="480" w:lineRule="auto"/>
        <w:rPr>
          <w:rFonts w:ascii="Times New Roman" w:hAnsi="Times New Roman" w:cs="Times New Roman"/>
          <w:color w:val="000000" w:themeColor="text1"/>
          <w:sz w:val="24"/>
          <w:szCs w:val="24"/>
        </w:rPr>
      </w:pPr>
    </w:p>
    <w:p w14:paraId="189D4498" w14:textId="6E4C3F7F" w:rsidR="00F04040" w:rsidRDefault="00FB7E71">
      <w:pPr>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T</w:t>
      </w:r>
      <w:r w:rsidRPr="00FB7E71">
        <w:rPr>
          <w:rFonts w:ascii="Times New Roman" w:hAnsi="Times New Roman" w:cs="Times New Roman"/>
          <w:b/>
          <w:color w:val="000000" w:themeColor="text1"/>
          <w:sz w:val="24"/>
          <w:szCs w:val="24"/>
        </w:rPr>
        <w:t>able</w:t>
      </w:r>
      <w:r w:rsidRPr="007A50B2">
        <w:rPr>
          <w:rFonts w:ascii="Times New Roman" w:hAnsi="Times New Roman" w:cs="Times New Roman"/>
          <w:b/>
          <w:color w:val="000000" w:themeColor="text1"/>
          <w:sz w:val="24"/>
          <w:szCs w:val="24"/>
        </w:rPr>
        <w:t xml:space="preserve"> S2</w:t>
      </w:r>
      <w:r w:rsidR="007A50B2">
        <w:rPr>
          <w:rFonts w:ascii="Times New Roman" w:hAnsi="Times New Roman" w:cs="Times New Roman"/>
          <w:b/>
          <w:color w:val="000000" w:themeColor="text1"/>
          <w:sz w:val="24"/>
          <w:szCs w:val="24"/>
        </w:rPr>
        <w:t>.</w:t>
      </w:r>
      <w:r>
        <w:rPr>
          <w:rFonts w:ascii="Times New Roman" w:hAnsi="Times New Roman" w:cs="Times New Roman"/>
          <w:b/>
          <w:color w:val="000000" w:themeColor="text1"/>
          <w:sz w:val="24"/>
          <w:szCs w:val="24"/>
        </w:rPr>
        <w:t xml:space="preserve"> </w:t>
      </w:r>
      <w:r w:rsidRPr="00FB7E71">
        <w:rPr>
          <w:rFonts w:ascii="Times New Roman" w:hAnsi="Times New Roman" w:cs="Times New Roman"/>
          <w:color w:val="000000" w:themeColor="text1"/>
          <w:sz w:val="24"/>
          <w:szCs w:val="24"/>
        </w:rPr>
        <w:t xml:space="preserve">Performances </w:t>
      </w:r>
      <w:r w:rsidR="001A47EC">
        <w:rPr>
          <w:rFonts w:ascii="Times New Roman" w:hAnsi="Times New Roman" w:cs="Times New Roman"/>
          <w:color w:val="000000" w:themeColor="text1"/>
          <w:sz w:val="24"/>
          <w:szCs w:val="24"/>
        </w:rPr>
        <w:t>comparison for urea electrolysis in two</w:t>
      </w:r>
      <w:r w:rsidRPr="00FB7E71">
        <w:rPr>
          <w:rFonts w:ascii="Times New Roman" w:hAnsi="Times New Roman" w:cs="Times New Roman"/>
          <w:color w:val="000000" w:themeColor="text1"/>
          <w:sz w:val="24"/>
          <w:szCs w:val="24"/>
        </w:rPr>
        <w:t xml:space="preserve"> electrode cell test</w:t>
      </w:r>
      <w:r w:rsidR="001A47EC">
        <w:rPr>
          <w:rFonts w:ascii="Times New Roman" w:hAnsi="Times New Roman" w:cs="Times New Roman"/>
          <w:color w:val="000000" w:themeColor="text1"/>
          <w:sz w:val="24"/>
          <w:szCs w:val="24"/>
        </w:rPr>
        <w:t xml:space="preserve"> with different catalysts.</w:t>
      </w:r>
    </w:p>
    <w:tbl>
      <w:tblPr>
        <w:tblStyle w:val="a5"/>
        <w:tblW w:w="935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1985"/>
        <w:gridCol w:w="1559"/>
        <w:gridCol w:w="2835"/>
        <w:gridCol w:w="1276"/>
      </w:tblGrid>
      <w:tr w:rsidR="00BE506C" w:rsidRPr="001A47EC" w14:paraId="6741000C" w14:textId="77777777" w:rsidTr="00BE506C">
        <w:tc>
          <w:tcPr>
            <w:tcW w:w="1701" w:type="dxa"/>
            <w:tcBorders>
              <w:top w:val="single" w:sz="4" w:space="0" w:color="auto"/>
              <w:bottom w:val="single" w:sz="4" w:space="0" w:color="auto"/>
            </w:tcBorders>
          </w:tcPr>
          <w:p w14:paraId="645D32F7" w14:textId="41681934" w:rsidR="00BE506C" w:rsidRPr="001A47EC" w:rsidRDefault="00BE506C" w:rsidP="006522D8">
            <w:pPr>
              <w:tabs>
                <w:tab w:val="left" w:pos="1680"/>
              </w:tabs>
              <w:spacing w:line="360" w:lineRule="auto"/>
              <w:rPr>
                <w:rFonts w:ascii="Times New Roman" w:hAnsi="Times New Roman" w:cs="Times New Roman"/>
                <w:color w:val="000000" w:themeColor="text1"/>
                <w:szCs w:val="22"/>
              </w:rPr>
            </w:pPr>
            <w:r>
              <w:rPr>
                <w:rFonts w:ascii="Times New Roman" w:hAnsi="Times New Roman" w:cs="Times New Roman"/>
                <w:color w:val="000000" w:themeColor="text1"/>
                <w:szCs w:val="22"/>
              </w:rPr>
              <w:t>Anode c</w:t>
            </w:r>
            <w:r w:rsidRPr="001A47EC">
              <w:rPr>
                <w:rFonts w:ascii="Times New Roman" w:hAnsi="Times New Roman" w:cs="Times New Roman"/>
                <w:color w:val="000000" w:themeColor="text1"/>
                <w:szCs w:val="22"/>
              </w:rPr>
              <w:t>atalyst</w:t>
            </w:r>
          </w:p>
        </w:tc>
        <w:tc>
          <w:tcPr>
            <w:tcW w:w="1985" w:type="dxa"/>
            <w:tcBorders>
              <w:top w:val="single" w:sz="4" w:space="0" w:color="auto"/>
              <w:bottom w:val="single" w:sz="4" w:space="0" w:color="auto"/>
            </w:tcBorders>
          </w:tcPr>
          <w:p w14:paraId="135571EA" w14:textId="5404381B" w:rsidR="00BE506C" w:rsidRDefault="00BE506C" w:rsidP="006522D8">
            <w:pPr>
              <w:tabs>
                <w:tab w:val="left" w:pos="1680"/>
              </w:tabs>
              <w:spacing w:line="360" w:lineRule="auto"/>
              <w:rPr>
                <w:rFonts w:ascii="Times New Roman" w:hAnsi="Times New Roman" w:cs="Times New Roman"/>
                <w:color w:val="000000" w:themeColor="text1"/>
                <w:szCs w:val="22"/>
              </w:rPr>
            </w:pPr>
            <w:r>
              <w:rPr>
                <w:rFonts w:ascii="Times New Roman" w:hAnsi="Times New Roman" w:cs="Times New Roman" w:hint="eastAsia"/>
                <w:color w:val="000000" w:themeColor="text1"/>
                <w:szCs w:val="22"/>
              </w:rPr>
              <w:t>Cathode catalyst</w:t>
            </w:r>
          </w:p>
        </w:tc>
        <w:tc>
          <w:tcPr>
            <w:tcW w:w="1559" w:type="dxa"/>
            <w:tcBorders>
              <w:top w:val="single" w:sz="4" w:space="0" w:color="auto"/>
              <w:bottom w:val="single" w:sz="4" w:space="0" w:color="auto"/>
            </w:tcBorders>
          </w:tcPr>
          <w:p w14:paraId="3AD18BFD" w14:textId="14F197B3" w:rsidR="00BE506C" w:rsidRDefault="00BE506C" w:rsidP="006522D8">
            <w:pPr>
              <w:tabs>
                <w:tab w:val="left" w:pos="1680"/>
              </w:tabs>
              <w:spacing w:line="360" w:lineRule="auto"/>
              <w:rPr>
                <w:rFonts w:ascii="Times New Roman" w:hAnsi="Times New Roman" w:cs="Times New Roman"/>
                <w:color w:val="000000" w:themeColor="text1"/>
                <w:szCs w:val="22"/>
              </w:rPr>
            </w:pPr>
            <w:r>
              <w:rPr>
                <w:rFonts w:ascii="Times New Roman" w:hAnsi="Times New Roman" w:cs="Times New Roman"/>
                <w:color w:val="000000" w:themeColor="text1"/>
                <w:szCs w:val="22"/>
              </w:rPr>
              <w:t xml:space="preserve">Cell </w:t>
            </w:r>
            <w:r w:rsidRPr="001A47EC">
              <w:rPr>
                <w:rFonts w:ascii="Times New Roman" w:hAnsi="Times New Roman" w:cs="Times New Roman"/>
                <w:color w:val="000000" w:themeColor="text1"/>
                <w:szCs w:val="22"/>
              </w:rPr>
              <w:t xml:space="preserve">Potential </w:t>
            </w:r>
          </w:p>
          <w:p w14:paraId="66790CF6" w14:textId="0AE2D351" w:rsidR="00BE506C" w:rsidRPr="001A47EC" w:rsidRDefault="00BE506C" w:rsidP="006522D8">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at 10 mA cm</w:t>
            </w:r>
            <w:r w:rsidRPr="001A47EC">
              <w:rPr>
                <w:rFonts w:ascii="Times New Roman" w:hAnsi="Times New Roman" w:cs="Times New Roman"/>
                <w:color w:val="000000" w:themeColor="text1"/>
                <w:szCs w:val="22"/>
                <w:vertAlign w:val="superscript"/>
              </w:rPr>
              <w:t>-2</w:t>
            </w:r>
          </w:p>
        </w:tc>
        <w:tc>
          <w:tcPr>
            <w:tcW w:w="2835" w:type="dxa"/>
            <w:tcBorders>
              <w:top w:val="single" w:sz="4" w:space="0" w:color="auto"/>
              <w:bottom w:val="single" w:sz="4" w:space="0" w:color="auto"/>
            </w:tcBorders>
          </w:tcPr>
          <w:p w14:paraId="4CF33466" w14:textId="77777777" w:rsidR="00BE506C" w:rsidRPr="001A47EC" w:rsidRDefault="00BE506C" w:rsidP="006522D8">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 xml:space="preserve">Electrolyte </w:t>
            </w:r>
          </w:p>
        </w:tc>
        <w:tc>
          <w:tcPr>
            <w:tcW w:w="1276" w:type="dxa"/>
            <w:tcBorders>
              <w:top w:val="single" w:sz="4" w:space="0" w:color="auto"/>
              <w:bottom w:val="single" w:sz="4" w:space="0" w:color="auto"/>
            </w:tcBorders>
          </w:tcPr>
          <w:p w14:paraId="292E10A3" w14:textId="77777777" w:rsidR="00BE506C" w:rsidRPr="001A47EC" w:rsidRDefault="00BE506C" w:rsidP="006522D8">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Reference</w:t>
            </w:r>
          </w:p>
        </w:tc>
      </w:tr>
      <w:tr w:rsidR="00BE506C" w:rsidRPr="001A47EC" w14:paraId="286E58B1" w14:textId="77777777" w:rsidTr="00BE506C">
        <w:tc>
          <w:tcPr>
            <w:tcW w:w="1701" w:type="dxa"/>
            <w:tcBorders>
              <w:top w:val="single" w:sz="4" w:space="0" w:color="auto"/>
            </w:tcBorders>
          </w:tcPr>
          <w:p w14:paraId="43ABCD76" w14:textId="77777777" w:rsidR="00BE506C" w:rsidRPr="001A47EC" w:rsidRDefault="00BE506C" w:rsidP="00BE506C">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HC-NiMoS/Ti</w:t>
            </w:r>
          </w:p>
        </w:tc>
        <w:tc>
          <w:tcPr>
            <w:tcW w:w="1985" w:type="dxa"/>
            <w:tcBorders>
              <w:top w:val="single" w:sz="4" w:space="0" w:color="auto"/>
            </w:tcBorders>
          </w:tcPr>
          <w:p w14:paraId="2755EE37" w14:textId="660A21E1" w:rsidR="00BE506C" w:rsidRPr="001A47EC" w:rsidRDefault="00BE506C" w:rsidP="00BE506C">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HC-NiMoS/Ti</w:t>
            </w:r>
          </w:p>
        </w:tc>
        <w:tc>
          <w:tcPr>
            <w:tcW w:w="1559" w:type="dxa"/>
            <w:tcBorders>
              <w:top w:val="single" w:sz="4" w:space="0" w:color="auto"/>
            </w:tcBorders>
          </w:tcPr>
          <w:p w14:paraId="30F6006F" w14:textId="4FFFE736" w:rsidR="00BE506C" w:rsidRPr="001A47EC" w:rsidRDefault="00BE506C" w:rsidP="00BE506C">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1.59</w:t>
            </w:r>
          </w:p>
        </w:tc>
        <w:tc>
          <w:tcPr>
            <w:tcW w:w="2835" w:type="dxa"/>
            <w:tcBorders>
              <w:top w:val="single" w:sz="4" w:space="0" w:color="auto"/>
            </w:tcBorders>
          </w:tcPr>
          <w:p w14:paraId="687B709F" w14:textId="77777777" w:rsidR="00BE506C" w:rsidRPr="001A47EC" w:rsidRDefault="00BE506C" w:rsidP="00BE506C">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1M KOH + 0.5M urea</w:t>
            </w:r>
          </w:p>
        </w:tc>
        <w:tc>
          <w:tcPr>
            <w:tcW w:w="1276" w:type="dxa"/>
            <w:tcBorders>
              <w:top w:val="single" w:sz="4" w:space="0" w:color="auto"/>
            </w:tcBorders>
          </w:tcPr>
          <w:p w14:paraId="629C7CD8" w14:textId="77777777" w:rsidR="00BE506C" w:rsidRPr="001A47EC" w:rsidRDefault="00BE506C" w:rsidP="00BE506C">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fldChar w:fldCharType="begin" w:fldLock="1"/>
            </w:r>
            <w:r w:rsidRPr="001A47EC">
              <w:rPr>
                <w:rFonts w:ascii="Times New Roman" w:hAnsi="Times New Roman" w:cs="Times New Roman"/>
                <w:color w:val="000000" w:themeColor="text1"/>
                <w:szCs w:val="22"/>
              </w:rPr>
              <w:instrText>ADDIN CSL_CITATION {"citationItems":[{"id":"ITEM-1","itemData":{"DOI":"10.1007/s12274-017-1711-3","ISSN":"19980000","abstract":"Novel hierarchical coral-like Ni-Mo sulfides on Ti mesh (denoted as HC-NiMoS/Ti) were synthesized through facile hydrothermal and subsequent sulfuration processes without any template. These non-precious HC-NiMoS/Ti hybrids were explored as bifunctional catalysts for urea-based overall water splitting, including the anodic urea oxygen evolution reaction (UOR) and cathodic hydrogen evolution reaction (HER). Due to the highly exposed active sites, excellent charge transfer ability, and good synergistic effects from multi-component reactions, the HC-NiMoS/Ti hybrid exhibited superior activity and high stability, and only a cell voltage of 1.59 V was required to deliver 10 mA·cm–2 current density in an electrolyte of 1.0 M KOH with 0.5 M urea.","author":[{"dropping-particle":"","family":"Wang","given":"Xiaoxia","non-dropping-particle":"","parse-names":false,"suffix":""},{"dropping-particle":"","family":"Wang","given":"Jianmei","non-dropping-particle":"","parse-names":false,"suffix":""},{"dropping-particle":"","family":"Sun","given":"Xuping","non-dropping-particle":"","parse-names":false,"suffix":""},{"dropping-particle":"","family":"Wei","given":"Shuang","non-dropping-particle":"","parse-names":false,"suffix":""},{"dropping-particle":"","family":"Cui","given":"Liang","non-dropping-particle":"","parse-names":false,"suffix":""},{"dropping-particle":"","family":"Yang","given":"Wenrong","non-dropping-particle":"","parse-names":false,"suffix":""},{"dropping-particle":"","family":"Liu","given":"Jingquan","non-dropping-particle":"","parse-names":false,"suffix":""}],"container-title":"Nano Research","id":"ITEM-1","issue":"2","issued":{"date-parts":[["2018"]]},"page":"988-996","title":"Hierarchical coral-like NiMOS nanohybrids as highly efficient bifunctional electrocatalysts for overall urea electrolysis","type":"article-journal","volume":"11"},"uris":["http://www.mendeley.com/documents/?uuid=716138be-7f7f-4694-8a52-0bf0364893a1"]}],"mendeley":{"formattedCitation":"[2]","plainTextFormattedCitation":"[2]","previouslyFormattedCitation":"[2]"},"properties":{"noteIndex":0},"schema":"https://github.com/citation-style-language/schema/raw/master/csl-citation.json"}</w:instrText>
            </w:r>
            <w:r w:rsidRPr="001A47EC">
              <w:rPr>
                <w:rFonts w:ascii="Times New Roman" w:hAnsi="Times New Roman" w:cs="Times New Roman"/>
                <w:color w:val="000000" w:themeColor="text1"/>
                <w:szCs w:val="22"/>
              </w:rPr>
              <w:fldChar w:fldCharType="separate"/>
            </w:r>
            <w:r w:rsidRPr="001A47EC">
              <w:rPr>
                <w:rFonts w:ascii="Times New Roman" w:hAnsi="Times New Roman" w:cs="Times New Roman"/>
                <w:noProof/>
                <w:color w:val="000000" w:themeColor="text1"/>
                <w:szCs w:val="22"/>
              </w:rPr>
              <w:t>[2]</w:t>
            </w:r>
            <w:r w:rsidRPr="001A47EC">
              <w:rPr>
                <w:rFonts w:ascii="Times New Roman" w:hAnsi="Times New Roman" w:cs="Times New Roman"/>
                <w:color w:val="000000" w:themeColor="text1"/>
                <w:szCs w:val="22"/>
              </w:rPr>
              <w:fldChar w:fldCharType="end"/>
            </w:r>
          </w:p>
        </w:tc>
      </w:tr>
      <w:tr w:rsidR="00D2445A" w:rsidRPr="001A47EC" w14:paraId="627F2177" w14:textId="77777777" w:rsidTr="00BE506C">
        <w:tc>
          <w:tcPr>
            <w:tcW w:w="1701" w:type="dxa"/>
          </w:tcPr>
          <w:p w14:paraId="41639E05" w14:textId="231E2012"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Ni</w:t>
            </w:r>
            <w:r w:rsidRPr="001A47EC">
              <w:rPr>
                <w:rFonts w:ascii="Times New Roman" w:hAnsi="Times New Roman" w:cs="Times New Roman"/>
                <w:color w:val="000000" w:themeColor="text1"/>
                <w:szCs w:val="22"/>
                <w:vertAlign w:val="subscript"/>
              </w:rPr>
              <w:t>3</w:t>
            </w:r>
            <w:r w:rsidRPr="001A47EC">
              <w:rPr>
                <w:rFonts w:ascii="Times New Roman" w:hAnsi="Times New Roman" w:cs="Times New Roman"/>
                <w:color w:val="000000" w:themeColor="text1"/>
                <w:szCs w:val="22"/>
              </w:rPr>
              <w:t>N NA/CC</w:t>
            </w:r>
          </w:p>
        </w:tc>
        <w:tc>
          <w:tcPr>
            <w:tcW w:w="1985" w:type="dxa"/>
          </w:tcPr>
          <w:p w14:paraId="25B20ABF" w14:textId="55C11F2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Ni</w:t>
            </w:r>
            <w:r w:rsidRPr="001A47EC">
              <w:rPr>
                <w:rFonts w:ascii="Times New Roman" w:hAnsi="Times New Roman" w:cs="Times New Roman"/>
                <w:color w:val="000000" w:themeColor="text1"/>
                <w:szCs w:val="22"/>
                <w:vertAlign w:val="subscript"/>
              </w:rPr>
              <w:t>3</w:t>
            </w:r>
            <w:r w:rsidRPr="001A47EC">
              <w:rPr>
                <w:rFonts w:ascii="Times New Roman" w:hAnsi="Times New Roman" w:cs="Times New Roman"/>
                <w:color w:val="000000" w:themeColor="text1"/>
                <w:szCs w:val="22"/>
              </w:rPr>
              <w:t>N NA/CC</w:t>
            </w:r>
          </w:p>
        </w:tc>
        <w:tc>
          <w:tcPr>
            <w:tcW w:w="1559" w:type="dxa"/>
          </w:tcPr>
          <w:p w14:paraId="3A530E90" w14:textId="6CD4FDBC"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1.44</w:t>
            </w:r>
          </w:p>
        </w:tc>
        <w:tc>
          <w:tcPr>
            <w:tcW w:w="2835" w:type="dxa"/>
          </w:tcPr>
          <w:p w14:paraId="1F62879A" w14:textId="4217004B"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1M KOH + 0.33M urea</w:t>
            </w:r>
          </w:p>
        </w:tc>
        <w:tc>
          <w:tcPr>
            <w:tcW w:w="1276" w:type="dxa"/>
          </w:tcPr>
          <w:p w14:paraId="21F8D7E5" w14:textId="077325C6"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fldChar w:fldCharType="begin" w:fldLock="1"/>
            </w:r>
            <w:r w:rsidRPr="001A47EC">
              <w:rPr>
                <w:rFonts w:ascii="Times New Roman" w:hAnsi="Times New Roman" w:cs="Times New Roman"/>
                <w:color w:val="000000" w:themeColor="text1"/>
                <w:szCs w:val="22"/>
              </w:rPr>
              <w:instrText>ADDIN CSL_CITATION {"citationItems":[{"id":"ITEM-1","itemData":{"DOI":"10.1039/c7qi00185a","ISSN":"20521553","abstract":"Developing highly efficient and non-noble-metal catalysts is of great importance for electrochemical energy storage and conversion. In this communication, we report the development of a porous Ni3N nanosheet array on carbon cloth (Ni3N NA/CC) as a high-performance and durable electrocatalyst for urea oxidation. To drive 10 mA cm-2, this Ni3N NA/CC only demands a potential of 1.35 V in 1.0 M KOH with 0.33 M urea. The high catalytic activity of the hydrogen evolution reaction enables Ni3N NA/CC as a bifunctional catalyst electrode for electrochemical hydrogen production and the two-electrode electrolyzer is capable of offering 10 mA cm-2 at a cell voltage of only 1.44 V, 120 mV less than that for the urea-free counterpart.","author":[{"dropping-particle":"","family":"Liu","given":"Qin","non-dropping-particle":"","parse-names":false,"suffix":""},{"dropping-particle":"","family":"Xie","given":"Lisi","non-dropping-particle":"","parse-names":false,"suffix":""},{"dropping-particle":"","family":"Qu","given":"Fengli","non-dropping-particle":"","parse-names":false,"suffix":""},{"dropping-particle":"","family":"Liu","given":"Zhiang","non-dropping-particle":"","parse-names":false,"suffix":""},{"dropping-particle":"","family":"Du","given":"Gu","non-dropping-particle":"","parse-names":false,"suffix":""},{"dropping-particle":"","family":"Asiri","given":"Abdullah M.","non-dropping-particle":"","parse-names":false,"suffix":""},{"dropping-particle":"","family":"Sun","given":"Xuping","non-dropping-particle":"","parse-names":false,"suffix":""}],"container-title":"Inorganic Chemistry Frontiers","id":"ITEM-1","issue":"7","issued":{"date-parts":[["2017"]]},"page":"1120-1124","publisher":"Royal Society of Chemistry","title":"A porous Ni3N nanosheet array as a high-performance non-noble-metal catalyst for urea-assisted electrochemical hydrogen production","type":"article-journal","volume":"4"},"uris":["http://www.mendeley.com/documents/?uuid=c24b6e2b-32f7-4d89-b02c-f15e92465daa"]}],"mendeley":{"formattedCitation":"[4]","plainTextFormattedCitation":"[4]","previouslyFormattedCitation":"[4]"},"properties":{"noteIndex":0},"schema":"https://github.com/citation-style-language/schema/raw/master/csl-citation.json"}</w:instrText>
            </w:r>
            <w:r w:rsidRPr="001A47EC">
              <w:rPr>
                <w:rFonts w:ascii="Times New Roman" w:hAnsi="Times New Roman" w:cs="Times New Roman"/>
                <w:color w:val="000000" w:themeColor="text1"/>
                <w:szCs w:val="22"/>
              </w:rPr>
              <w:fldChar w:fldCharType="separate"/>
            </w:r>
            <w:r w:rsidRPr="001A47EC">
              <w:rPr>
                <w:rFonts w:ascii="Times New Roman" w:hAnsi="Times New Roman" w:cs="Times New Roman"/>
                <w:noProof/>
                <w:color w:val="000000" w:themeColor="text1"/>
                <w:szCs w:val="22"/>
              </w:rPr>
              <w:t>[4]</w:t>
            </w:r>
            <w:r w:rsidRPr="001A47EC">
              <w:rPr>
                <w:rFonts w:ascii="Times New Roman" w:hAnsi="Times New Roman" w:cs="Times New Roman"/>
                <w:color w:val="000000" w:themeColor="text1"/>
                <w:szCs w:val="22"/>
              </w:rPr>
              <w:fldChar w:fldCharType="end"/>
            </w:r>
          </w:p>
        </w:tc>
      </w:tr>
      <w:tr w:rsidR="00D2445A" w:rsidRPr="001A47EC" w14:paraId="3C34F064" w14:textId="77777777" w:rsidTr="00BE506C">
        <w:tc>
          <w:tcPr>
            <w:tcW w:w="1701" w:type="dxa"/>
          </w:tcPr>
          <w:p w14:paraId="2B26278A" w14:textId="6FF3CD72"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NF@Acid-H</w:t>
            </w:r>
            <w:r w:rsidRPr="001A47EC">
              <w:rPr>
                <w:rFonts w:ascii="Times New Roman" w:hAnsi="Times New Roman" w:cs="Times New Roman"/>
                <w:color w:val="000000" w:themeColor="text1"/>
                <w:szCs w:val="22"/>
                <w:vertAlign w:val="subscript"/>
              </w:rPr>
              <w:t xml:space="preserve">2 </w:t>
            </w:r>
          </w:p>
        </w:tc>
        <w:tc>
          <w:tcPr>
            <w:tcW w:w="1985" w:type="dxa"/>
          </w:tcPr>
          <w:p w14:paraId="71C7AB2D" w14:textId="771D7A3C"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NF@Acid-H</w:t>
            </w:r>
            <w:r w:rsidRPr="001A47EC">
              <w:rPr>
                <w:rFonts w:ascii="Times New Roman" w:hAnsi="Times New Roman" w:cs="Times New Roman"/>
                <w:color w:val="000000" w:themeColor="text1"/>
                <w:szCs w:val="22"/>
                <w:vertAlign w:val="subscript"/>
              </w:rPr>
              <w:t xml:space="preserve">2 </w:t>
            </w:r>
          </w:p>
        </w:tc>
        <w:tc>
          <w:tcPr>
            <w:tcW w:w="1559" w:type="dxa"/>
          </w:tcPr>
          <w:p w14:paraId="13FED995" w14:textId="40E73852"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1.49</w:t>
            </w:r>
          </w:p>
        </w:tc>
        <w:tc>
          <w:tcPr>
            <w:tcW w:w="2835" w:type="dxa"/>
          </w:tcPr>
          <w:p w14:paraId="32EDE2E6" w14:textId="01688A9E"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1M KOH + 0.5M urea</w:t>
            </w:r>
          </w:p>
        </w:tc>
        <w:tc>
          <w:tcPr>
            <w:tcW w:w="1276" w:type="dxa"/>
          </w:tcPr>
          <w:p w14:paraId="6B266D1D" w14:textId="229A874C"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fldChar w:fldCharType="begin" w:fldLock="1"/>
            </w:r>
            <w:r w:rsidRPr="001A47EC">
              <w:rPr>
                <w:rFonts w:ascii="Times New Roman" w:hAnsi="Times New Roman" w:cs="Times New Roman"/>
                <w:color w:val="000000" w:themeColor="text1"/>
                <w:szCs w:val="22"/>
              </w:rPr>
              <w:instrText>ADDIN CSL_CITATION {"citationItems":[{"id":"ITEM-1","itemData":{"DOI":"10.1016/j.apsusc.2019.143710","ISSN":"01694332","abstract":"It is highly desired to develop low-cost and effective non-precious metal based electrocatalysts for water-to‑hydrogen conversion assisted by urea electro-oxidation reaction. In this work, Ni0-rich Ni/NiO nanocrystals were facilely synthesized on the surface of acid-treated nickel foam via thermal annealing in Ar/H2 (denoted as NF@Acid-H2). The three-dimensional free-standing NF@Acid-H2 electrode exhibited high HER and UOR activities at 156 mV and at 1.33 V to reach the current density of 10 mA/cm2, respectively. The urea electrolyzer needed a cell voltage of 1.49 V to deliver the current density of 10 mA/cm2, and could continuously generate H2 for 20 h with negligible activity loss. Systematic study revealed that the presence of Ni0 played a significant role to improve both HER and UOR performance. In particular, the Ni0-rich Ni/NiO exhibited better catalytic performance than that of Ni0-less counterpart. This work proved that the high urea electrolysis performance was dependent on the rational design of non-precious metal electrocatalysts with controllable compositions and hierarchical nanostructures.","author":[{"dropping-particle":"","family":"Zhang","given":"Baoxi","non-dropping-particle":"","parse-names":false,"suffix":""},{"dropping-particle":"","family":"Wang","given":"Shunyao","non-dropping-particle":"","parse-names":false,"suffix":""},{"dropping-particle":"","family":"Ma","given":"Zhuo","non-dropping-particle":"","parse-names":false,"suffix":""},{"dropping-particle":"","family":"Qiu","given":"Yunfeng","non-dropping-particle":"","parse-names":false,"suffix":""}],"container-title":"Applied Surface Science","id":"ITEM-1","issue":"June","issued":{"date-parts":[["2019"]]},"page":"143710","publisher":"Elsevier","title":"Ni0-rich Ni/NiO nanocrystals for efficient water-to‑hydrogen conversion via urea electro-oxidation","type":"article-journal","volume":"496"},"uris":["http://www.mendeley.com/documents/?uuid=faf6e3f3-65f3-457e-9c6c-e3c1dd77ef9a"]}],"mendeley":{"formattedCitation":"[5]","plainTextFormattedCitation":"[5]","previouslyFormattedCitation":"[5]"},"properties":{"noteIndex":0},"schema":"https://github.com/citation-style-language/schema/raw/master/csl-citation.json"}</w:instrText>
            </w:r>
            <w:r w:rsidRPr="001A47EC">
              <w:rPr>
                <w:rFonts w:ascii="Times New Roman" w:hAnsi="Times New Roman" w:cs="Times New Roman"/>
                <w:color w:val="000000" w:themeColor="text1"/>
                <w:szCs w:val="22"/>
              </w:rPr>
              <w:fldChar w:fldCharType="separate"/>
            </w:r>
            <w:r w:rsidRPr="001A47EC">
              <w:rPr>
                <w:rFonts w:ascii="Times New Roman" w:hAnsi="Times New Roman" w:cs="Times New Roman"/>
                <w:noProof/>
                <w:color w:val="000000" w:themeColor="text1"/>
                <w:szCs w:val="22"/>
              </w:rPr>
              <w:t>[5]</w:t>
            </w:r>
            <w:r w:rsidRPr="001A47EC">
              <w:rPr>
                <w:rFonts w:ascii="Times New Roman" w:hAnsi="Times New Roman" w:cs="Times New Roman"/>
                <w:color w:val="000000" w:themeColor="text1"/>
                <w:szCs w:val="22"/>
              </w:rPr>
              <w:fldChar w:fldCharType="end"/>
            </w:r>
          </w:p>
        </w:tc>
      </w:tr>
      <w:tr w:rsidR="00D2445A" w:rsidRPr="001A47EC" w14:paraId="2EF44CB2" w14:textId="77777777" w:rsidTr="00BE506C">
        <w:tc>
          <w:tcPr>
            <w:tcW w:w="1701" w:type="dxa"/>
          </w:tcPr>
          <w:p w14:paraId="2C4D3932" w14:textId="7777777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CoS</w:t>
            </w:r>
            <w:r w:rsidRPr="001A47EC">
              <w:rPr>
                <w:rFonts w:ascii="Times New Roman" w:hAnsi="Times New Roman" w:cs="Times New Roman"/>
                <w:color w:val="000000" w:themeColor="text1"/>
                <w:szCs w:val="22"/>
                <w:vertAlign w:val="subscript"/>
              </w:rPr>
              <w:t>2</w:t>
            </w:r>
            <w:r w:rsidRPr="001A47EC">
              <w:rPr>
                <w:rFonts w:ascii="Times New Roman" w:hAnsi="Times New Roman" w:cs="Times New Roman"/>
                <w:color w:val="000000" w:themeColor="text1"/>
                <w:szCs w:val="22"/>
              </w:rPr>
              <w:t xml:space="preserve"> Na/Ti</w:t>
            </w:r>
          </w:p>
        </w:tc>
        <w:tc>
          <w:tcPr>
            <w:tcW w:w="1985" w:type="dxa"/>
          </w:tcPr>
          <w:p w14:paraId="777C0DD2" w14:textId="2DC2994B"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CoS</w:t>
            </w:r>
            <w:r w:rsidRPr="001A47EC">
              <w:rPr>
                <w:rFonts w:ascii="Times New Roman" w:hAnsi="Times New Roman" w:cs="Times New Roman"/>
                <w:color w:val="000000" w:themeColor="text1"/>
                <w:szCs w:val="22"/>
                <w:vertAlign w:val="subscript"/>
              </w:rPr>
              <w:t>2</w:t>
            </w:r>
            <w:r w:rsidRPr="001A47EC">
              <w:rPr>
                <w:rFonts w:ascii="Times New Roman" w:hAnsi="Times New Roman" w:cs="Times New Roman"/>
                <w:color w:val="000000" w:themeColor="text1"/>
                <w:szCs w:val="22"/>
              </w:rPr>
              <w:t xml:space="preserve"> Na/Ti</w:t>
            </w:r>
          </w:p>
        </w:tc>
        <w:tc>
          <w:tcPr>
            <w:tcW w:w="1559" w:type="dxa"/>
          </w:tcPr>
          <w:p w14:paraId="2998042A" w14:textId="26A0878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1.59</w:t>
            </w:r>
          </w:p>
        </w:tc>
        <w:tc>
          <w:tcPr>
            <w:tcW w:w="2835" w:type="dxa"/>
          </w:tcPr>
          <w:p w14:paraId="47E4804C" w14:textId="7777777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1M KOH + 0.3M urea</w:t>
            </w:r>
          </w:p>
        </w:tc>
        <w:tc>
          <w:tcPr>
            <w:tcW w:w="1276" w:type="dxa"/>
          </w:tcPr>
          <w:p w14:paraId="241AB090" w14:textId="7777777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fldChar w:fldCharType="begin" w:fldLock="1"/>
            </w:r>
            <w:r w:rsidRPr="001A47EC">
              <w:rPr>
                <w:rFonts w:ascii="Times New Roman" w:hAnsi="Times New Roman" w:cs="Times New Roman"/>
                <w:color w:val="000000" w:themeColor="text1"/>
                <w:szCs w:val="22"/>
              </w:rPr>
              <w:instrText>ADDIN CSL_CITATION {"citationItems":[{"id":"ITEM-1","itemData":{"DOI":"10.1016/j.electacta.2017.06.068","ISSN":"00134686","abstract":"In this work, we report that uniformly CoS2 nanoneedle array grown on Ti mesh (CoS2 NA/Ti) behaves as a stable and efficient bifunctional electrocatalyst for urea-assisted electrolytic hydrogen production via overall urea splitting. As a non-noble metal electrocatalyst, CoS2 NA/Ti exhibited excellent urea oxidation reaction (UOR) and hydrogen evolution reaction (HER) catalytic activity in 1.0 M KOH with 0.3 M urea solution. Only a cell voltage of 1.59 V is required to achieve a current density of 10 mA cm−2 for full urea splitting in 1.0 M KOH with 0.3 M urea.","author":[{"dropping-particle":"","family":"Wei","given":"Shuang","non-dropping-particle":"","parse-names":false,"suffix":""},{"dropping-particle":"","family":"Wang","given":"Xiaoxia","non-dropping-particle":"","parse-names":false,"suffix":""},{"dropping-particle":"","family":"Wang","given":"Jianmei","non-dropping-particle":"","parse-names":false,"suffix":""},{"dropping-particle":"","family":"Sun","given":"Xuping","non-dropping-particle":"","parse-names":false,"suffix":""},{"dropping-particle":"","family":"Cui","given":"Liang","non-dropping-particle":"","parse-names":false,"suffix":""},{"dropping-particle":"","family":"Yang","given":"Wenrong","non-dropping-particle":"","parse-names":false,"suffix":""},{"dropping-particle":"","family":"Zheng","given":"Yiwei","non-dropping-particle":"","parse-names":false,"suffix":""},{"dropping-particle":"","family":"Liu","given":"Jingquan","non-dropping-particle":"","parse-names":false,"suffix":""}],"container-title":"Electrochimica Acta","id":"ITEM-1","issued":{"date-parts":[["2017"]]},"page":"776-782","publisher":"Elsevier Ltd","title":"CoS2 nanoneedle array on Ti mesh: A stable and efficient bifunctional electrocatalyst for urea-assisted electrolytic hydrogen production","type":"article-journal","volume":"246"},"uris":["http://www.mendeley.com/documents/?uuid=f04500ed-6a67-4074-8ca2-376cd4059092"]}],"mendeley":{"formattedCitation":"[7]","plainTextFormattedCitation":"[7]","previouslyFormattedCitation":"[7]"},"properties":{"noteIndex":0},"schema":"https://github.com/citation-style-language/schema/raw/master/csl-citation.json"}</w:instrText>
            </w:r>
            <w:r w:rsidRPr="001A47EC">
              <w:rPr>
                <w:rFonts w:ascii="Times New Roman" w:hAnsi="Times New Roman" w:cs="Times New Roman"/>
                <w:color w:val="000000" w:themeColor="text1"/>
                <w:szCs w:val="22"/>
              </w:rPr>
              <w:fldChar w:fldCharType="separate"/>
            </w:r>
            <w:r w:rsidRPr="001A47EC">
              <w:rPr>
                <w:rFonts w:ascii="Times New Roman" w:hAnsi="Times New Roman" w:cs="Times New Roman"/>
                <w:noProof/>
                <w:color w:val="000000" w:themeColor="text1"/>
                <w:szCs w:val="22"/>
              </w:rPr>
              <w:t>[7]</w:t>
            </w:r>
            <w:r w:rsidRPr="001A47EC">
              <w:rPr>
                <w:rFonts w:ascii="Times New Roman" w:hAnsi="Times New Roman" w:cs="Times New Roman"/>
                <w:color w:val="000000" w:themeColor="text1"/>
                <w:szCs w:val="22"/>
              </w:rPr>
              <w:fldChar w:fldCharType="end"/>
            </w:r>
          </w:p>
        </w:tc>
      </w:tr>
      <w:tr w:rsidR="00D2445A" w:rsidRPr="001A47EC" w14:paraId="4B2ADDE9" w14:textId="77777777" w:rsidTr="00BE506C">
        <w:trPr>
          <w:trHeight w:val="60"/>
        </w:trPr>
        <w:tc>
          <w:tcPr>
            <w:tcW w:w="1701" w:type="dxa"/>
          </w:tcPr>
          <w:p w14:paraId="6D2F0DF8" w14:textId="04637D29" w:rsidR="00D2445A" w:rsidRPr="001A47EC" w:rsidRDefault="00D2445A" w:rsidP="00D2445A">
            <w:pPr>
              <w:tabs>
                <w:tab w:val="left" w:pos="1680"/>
              </w:tabs>
              <w:spacing w:line="360" w:lineRule="auto"/>
              <w:rPr>
                <w:rFonts w:ascii="Times New Roman" w:hAnsi="Times New Roman" w:cs="Times New Roman"/>
                <w:color w:val="000000" w:themeColor="text1"/>
                <w:szCs w:val="22"/>
              </w:rPr>
            </w:pPr>
            <w:bookmarkStart w:id="1" w:name="_Hlk62492249"/>
            <w:r w:rsidRPr="001A47EC">
              <w:rPr>
                <w:rFonts w:ascii="Times New Roman" w:hAnsi="Times New Roman" w:cs="Times New Roman"/>
                <w:color w:val="000000" w:themeColor="text1"/>
                <w:szCs w:val="22"/>
              </w:rPr>
              <w:t>MnO</w:t>
            </w:r>
            <w:r w:rsidRPr="001A47EC">
              <w:rPr>
                <w:rFonts w:ascii="Times New Roman" w:hAnsi="Times New Roman" w:cs="Times New Roman"/>
                <w:color w:val="000000" w:themeColor="text1"/>
                <w:szCs w:val="22"/>
                <w:vertAlign w:val="subscript"/>
              </w:rPr>
              <w:t>2</w:t>
            </w:r>
            <w:r w:rsidRPr="001A47EC">
              <w:rPr>
                <w:rFonts w:ascii="Times New Roman" w:hAnsi="Times New Roman" w:cs="Times New Roman"/>
                <w:color w:val="000000" w:themeColor="text1"/>
                <w:szCs w:val="22"/>
              </w:rPr>
              <w:t>/MnCo</w:t>
            </w:r>
            <w:r w:rsidRPr="001A47EC">
              <w:rPr>
                <w:rFonts w:ascii="Times New Roman" w:hAnsi="Times New Roman" w:cs="Times New Roman"/>
                <w:color w:val="000000" w:themeColor="text1"/>
                <w:szCs w:val="22"/>
                <w:vertAlign w:val="subscript"/>
              </w:rPr>
              <w:t>2</w:t>
            </w:r>
            <w:r w:rsidRPr="001A47EC">
              <w:rPr>
                <w:rFonts w:ascii="Times New Roman" w:hAnsi="Times New Roman" w:cs="Times New Roman"/>
                <w:color w:val="000000" w:themeColor="text1"/>
                <w:szCs w:val="22"/>
              </w:rPr>
              <w:t>O</w:t>
            </w:r>
            <w:r w:rsidRPr="001A47EC">
              <w:rPr>
                <w:rFonts w:ascii="Times New Roman" w:hAnsi="Times New Roman" w:cs="Times New Roman"/>
                <w:color w:val="000000" w:themeColor="text1"/>
                <w:szCs w:val="22"/>
                <w:vertAlign w:val="subscript"/>
              </w:rPr>
              <w:t>4</w:t>
            </w:r>
            <w:bookmarkEnd w:id="1"/>
          </w:p>
        </w:tc>
        <w:tc>
          <w:tcPr>
            <w:tcW w:w="1985" w:type="dxa"/>
          </w:tcPr>
          <w:p w14:paraId="2D27BFBF" w14:textId="1D7FA2F2"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MnO</w:t>
            </w:r>
            <w:r w:rsidRPr="001A47EC">
              <w:rPr>
                <w:rFonts w:ascii="Times New Roman" w:hAnsi="Times New Roman" w:cs="Times New Roman"/>
                <w:color w:val="000000" w:themeColor="text1"/>
                <w:szCs w:val="22"/>
                <w:vertAlign w:val="subscript"/>
              </w:rPr>
              <w:t>2</w:t>
            </w:r>
            <w:r w:rsidRPr="001A47EC">
              <w:rPr>
                <w:rFonts w:ascii="Times New Roman" w:hAnsi="Times New Roman" w:cs="Times New Roman"/>
                <w:color w:val="000000" w:themeColor="text1"/>
                <w:szCs w:val="22"/>
              </w:rPr>
              <w:t>/MnCo</w:t>
            </w:r>
            <w:r w:rsidRPr="001A47EC">
              <w:rPr>
                <w:rFonts w:ascii="Times New Roman" w:hAnsi="Times New Roman" w:cs="Times New Roman"/>
                <w:color w:val="000000" w:themeColor="text1"/>
                <w:szCs w:val="22"/>
                <w:vertAlign w:val="subscript"/>
              </w:rPr>
              <w:t>2</w:t>
            </w:r>
            <w:r w:rsidRPr="001A47EC">
              <w:rPr>
                <w:rFonts w:ascii="Times New Roman" w:hAnsi="Times New Roman" w:cs="Times New Roman"/>
                <w:color w:val="000000" w:themeColor="text1"/>
                <w:szCs w:val="22"/>
              </w:rPr>
              <w:t>O</w:t>
            </w:r>
            <w:r w:rsidRPr="001A47EC">
              <w:rPr>
                <w:rFonts w:ascii="Times New Roman" w:hAnsi="Times New Roman" w:cs="Times New Roman"/>
                <w:color w:val="000000" w:themeColor="text1"/>
                <w:szCs w:val="22"/>
                <w:vertAlign w:val="subscript"/>
              </w:rPr>
              <w:t>4</w:t>
            </w:r>
          </w:p>
        </w:tc>
        <w:tc>
          <w:tcPr>
            <w:tcW w:w="1559" w:type="dxa"/>
          </w:tcPr>
          <w:p w14:paraId="4137E3F8" w14:textId="6D2B31F0"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1.55</w:t>
            </w:r>
          </w:p>
        </w:tc>
        <w:tc>
          <w:tcPr>
            <w:tcW w:w="2835" w:type="dxa"/>
          </w:tcPr>
          <w:p w14:paraId="18318B1F" w14:textId="7777777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1M KOH + 0.5M urea</w:t>
            </w:r>
          </w:p>
        </w:tc>
        <w:tc>
          <w:tcPr>
            <w:tcW w:w="1276" w:type="dxa"/>
          </w:tcPr>
          <w:p w14:paraId="3FB2D890" w14:textId="7777777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fldChar w:fldCharType="begin" w:fldLock="1"/>
            </w:r>
            <w:r w:rsidRPr="001A47EC">
              <w:rPr>
                <w:rFonts w:ascii="Times New Roman" w:hAnsi="Times New Roman" w:cs="Times New Roman"/>
                <w:color w:val="000000" w:themeColor="text1"/>
                <w:szCs w:val="22"/>
              </w:rPr>
              <w:instrText>ADDIN CSL_CITATION {"citationItems":[{"id":"ITEM-1","itemData":{"DOI":"10.1039/c7ta00980a","ISSN":"20507496","abstract":"A three-dimensional MnO2/MnCo2O4/Ni core-shell heterostructured electrode has been fabricated through a facile method. This electrode architecture consists of four levels of interconnected hierarchy: a primary macroporous Ni foam scaffold (≥500 μm), an intermediate vertically-aligned MnCo2O4 core-nanoflake array (50-100 nm), topmost ultra-thin MnO2 nanosheets (</w:instrText>
            </w:r>
            <w:r w:rsidRPr="001A47EC">
              <w:rPr>
                <w:rFonts w:ascii="바탕" w:eastAsia="바탕" w:hAnsi="바탕" w:cs="바탕" w:hint="eastAsia"/>
                <w:color w:val="000000" w:themeColor="text1"/>
                <w:szCs w:val="22"/>
              </w:rPr>
              <w:instrText>∼</w:instrText>
            </w:r>
            <w:r w:rsidRPr="001A47EC">
              <w:rPr>
                <w:rFonts w:ascii="Times New Roman" w:hAnsi="Times New Roman" w:cs="Times New Roman"/>
                <w:color w:val="000000" w:themeColor="text1"/>
                <w:szCs w:val="22"/>
              </w:rPr>
              <w:instrText>10 nm) and short-range ordered mesopores (</w:instrText>
            </w:r>
            <w:r w:rsidRPr="001A47EC">
              <w:rPr>
                <w:rFonts w:ascii="바탕" w:eastAsia="바탕" w:hAnsi="바탕" w:cs="바탕" w:hint="eastAsia"/>
                <w:color w:val="000000" w:themeColor="text1"/>
                <w:szCs w:val="22"/>
              </w:rPr>
              <w:instrText>∼</w:instrText>
            </w:r>
            <w:r w:rsidRPr="001A47EC">
              <w:rPr>
                <w:rFonts w:ascii="Times New Roman" w:hAnsi="Times New Roman" w:cs="Times New Roman"/>
                <w:color w:val="000000" w:themeColor="text1"/>
                <w:szCs w:val="22"/>
              </w:rPr>
              <w:instrText>5 nm) on the MnO2 nanosheets. This freestanding, hierarchical porous electrode has advantages in enhancing electroactive surface area, enabling efficient mass transport through the porous structure. The heterostructured electrode exhibits a low onset potential (1.33 V vs. RHE), a high anodic peak current density (1000 mA cm-2 g-1 at 1.7 V vs. RHE) and long-term catalytic stability for urea oxidation, which surpasses previous reported electrode materials for urea electrolysis. Remarkably, the MnO2/MnCo2O4/Ni electrode possesses bifunctional catalytic activity for both urea oxidation and hydrogen evolution. A urea electrolytic cell with both anode and cathode using the heterostructured electrodes has been fabricated and a current density of 10 mA cm-2 has been achieved at a cell voltage of 1.55 V. This noble metal-free quadruple hierarchy electrode shows potential as a new platform for multi-purpose applications.","author":[{"dropping-particle":"","family":"Xiao","given":"Changlong","non-dropping-particle":"","parse-names":false,"suffix":""},{"dropping-particle":"","family":"Li","given":"Shuni","non-dropping-particle":"","parse-names":false,"suffix":""},{"dropping-particle":"","family":"Zhang","given":"Xinyi","non-dropping-particle":"","parse-names":false,"suffix":""},{"dropping-particle":"","family":"MacFarlane","given":"Douglas R.","non-dropping-particle":"","parse-names":false,"suffix":""}],"container-title":"Journal of Materials Chemistry A","id":"ITEM-1","issue":"17","issued":{"date-parts":[["2017"]]},"page":"7825-7832","publisher":"Royal Society of Chemistry","title":"MnO2/MnCo2O4/Ni heterostructure with quadruple hierarchy: A bifunctional electrode architecture for overall urea oxidation","type":"article-journal","volume":"5"},"uris":["http://www.mendeley.com/documents/?uuid=547f1e98-d7cb-48be-ace5-40ce6a5f7002"]}],"mendeley":{"formattedCitation":"[8]","plainTextFormattedCitation":"[8]","previouslyFormattedCitation":"[8]"},"properties":{"noteIndex":0},"schema":"https://github.com/citation-style-language/schema/raw/master/csl-citation.json"}</w:instrText>
            </w:r>
            <w:r w:rsidRPr="001A47EC">
              <w:rPr>
                <w:rFonts w:ascii="Times New Roman" w:hAnsi="Times New Roman" w:cs="Times New Roman"/>
                <w:color w:val="000000" w:themeColor="text1"/>
                <w:szCs w:val="22"/>
              </w:rPr>
              <w:fldChar w:fldCharType="separate"/>
            </w:r>
            <w:r w:rsidRPr="001A47EC">
              <w:rPr>
                <w:rFonts w:ascii="Times New Roman" w:hAnsi="Times New Roman" w:cs="Times New Roman"/>
                <w:noProof/>
                <w:color w:val="000000" w:themeColor="text1"/>
                <w:szCs w:val="22"/>
              </w:rPr>
              <w:t>[8]</w:t>
            </w:r>
            <w:r w:rsidRPr="001A47EC">
              <w:rPr>
                <w:rFonts w:ascii="Times New Roman" w:hAnsi="Times New Roman" w:cs="Times New Roman"/>
                <w:color w:val="000000" w:themeColor="text1"/>
                <w:szCs w:val="22"/>
              </w:rPr>
              <w:fldChar w:fldCharType="end"/>
            </w:r>
          </w:p>
        </w:tc>
      </w:tr>
      <w:tr w:rsidR="00D2445A" w:rsidRPr="001A47EC" w14:paraId="2EA8EB7A" w14:textId="77777777" w:rsidTr="00BE506C">
        <w:tc>
          <w:tcPr>
            <w:tcW w:w="1701" w:type="dxa"/>
          </w:tcPr>
          <w:p w14:paraId="46900611" w14:textId="7777777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Fe</w:t>
            </w:r>
            <w:r w:rsidRPr="001A47EC">
              <w:rPr>
                <w:rFonts w:ascii="Times New Roman" w:hAnsi="Times New Roman" w:cs="Times New Roman"/>
                <w:color w:val="000000" w:themeColor="text1"/>
                <w:szCs w:val="22"/>
                <w:vertAlign w:val="subscript"/>
              </w:rPr>
              <w:t>11.1%</w:t>
            </w:r>
            <w:r w:rsidRPr="001A47EC">
              <w:rPr>
                <w:rFonts w:ascii="Times New Roman" w:hAnsi="Times New Roman" w:cs="Times New Roman"/>
                <w:color w:val="000000" w:themeColor="text1"/>
                <w:szCs w:val="22"/>
              </w:rPr>
              <w:t>-Ni</w:t>
            </w:r>
            <w:r w:rsidRPr="001A47EC">
              <w:rPr>
                <w:rFonts w:ascii="Times New Roman" w:hAnsi="Times New Roman" w:cs="Times New Roman"/>
                <w:color w:val="000000" w:themeColor="text1"/>
                <w:szCs w:val="22"/>
                <w:vertAlign w:val="subscript"/>
              </w:rPr>
              <w:t>3</w:t>
            </w:r>
            <w:r w:rsidRPr="001A47EC">
              <w:rPr>
                <w:rFonts w:ascii="Times New Roman" w:hAnsi="Times New Roman" w:cs="Times New Roman"/>
                <w:color w:val="000000" w:themeColor="text1"/>
                <w:szCs w:val="22"/>
              </w:rPr>
              <w:t>S</w:t>
            </w:r>
            <w:r w:rsidRPr="001A47EC">
              <w:rPr>
                <w:rFonts w:ascii="Times New Roman" w:hAnsi="Times New Roman" w:cs="Times New Roman"/>
                <w:color w:val="000000" w:themeColor="text1"/>
                <w:szCs w:val="22"/>
                <w:vertAlign w:val="subscript"/>
              </w:rPr>
              <w:t>2</w:t>
            </w:r>
            <w:r w:rsidRPr="001A47EC">
              <w:rPr>
                <w:rFonts w:ascii="Times New Roman" w:hAnsi="Times New Roman" w:cs="Times New Roman"/>
                <w:color w:val="000000" w:themeColor="text1"/>
                <w:szCs w:val="22"/>
              </w:rPr>
              <w:t>/NF</w:t>
            </w:r>
          </w:p>
        </w:tc>
        <w:tc>
          <w:tcPr>
            <w:tcW w:w="1985" w:type="dxa"/>
          </w:tcPr>
          <w:p w14:paraId="6B9CCE09" w14:textId="449AE971"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Fe</w:t>
            </w:r>
            <w:r w:rsidRPr="001A47EC">
              <w:rPr>
                <w:rFonts w:ascii="Times New Roman" w:hAnsi="Times New Roman" w:cs="Times New Roman"/>
                <w:color w:val="000000" w:themeColor="text1"/>
                <w:szCs w:val="22"/>
                <w:vertAlign w:val="subscript"/>
              </w:rPr>
              <w:t>11.1%</w:t>
            </w:r>
            <w:r w:rsidRPr="001A47EC">
              <w:rPr>
                <w:rFonts w:ascii="Times New Roman" w:hAnsi="Times New Roman" w:cs="Times New Roman"/>
                <w:color w:val="000000" w:themeColor="text1"/>
                <w:szCs w:val="22"/>
              </w:rPr>
              <w:t>-Ni</w:t>
            </w:r>
            <w:r w:rsidRPr="001A47EC">
              <w:rPr>
                <w:rFonts w:ascii="Times New Roman" w:hAnsi="Times New Roman" w:cs="Times New Roman"/>
                <w:color w:val="000000" w:themeColor="text1"/>
                <w:szCs w:val="22"/>
                <w:vertAlign w:val="subscript"/>
              </w:rPr>
              <w:t>3</w:t>
            </w:r>
            <w:r w:rsidRPr="001A47EC">
              <w:rPr>
                <w:rFonts w:ascii="Times New Roman" w:hAnsi="Times New Roman" w:cs="Times New Roman"/>
                <w:color w:val="000000" w:themeColor="text1"/>
                <w:szCs w:val="22"/>
              </w:rPr>
              <w:t>S</w:t>
            </w:r>
            <w:r w:rsidRPr="001A47EC">
              <w:rPr>
                <w:rFonts w:ascii="Times New Roman" w:hAnsi="Times New Roman" w:cs="Times New Roman"/>
                <w:color w:val="000000" w:themeColor="text1"/>
                <w:szCs w:val="22"/>
                <w:vertAlign w:val="subscript"/>
              </w:rPr>
              <w:t>2</w:t>
            </w:r>
            <w:r w:rsidRPr="001A47EC">
              <w:rPr>
                <w:rFonts w:ascii="Times New Roman" w:hAnsi="Times New Roman" w:cs="Times New Roman"/>
                <w:color w:val="000000" w:themeColor="text1"/>
                <w:szCs w:val="22"/>
              </w:rPr>
              <w:t>/NF</w:t>
            </w:r>
          </w:p>
        </w:tc>
        <w:tc>
          <w:tcPr>
            <w:tcW w:w="1559" w:type="dxa"/>
          </w:tcPr>
          <w:p w14:paraId="1E458C86" w14:textId="68F3CA1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1.46</w:t>
            </w:r>
          </w:p>
        </w:tc>
        <w:tc>
          <w:tcPr>
            <w:tcW w:w="2835" w:type="dxa"/>
          </w:tcPr>
          <w:p w14:paraId="6D2CBC0E" w14:textId="7777777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1M KOH + 0.33M urea</w:t>
            </w:r>
          </w:p>
        </w:tc>
        <w:tc>
          <w:tcPr>
            <w:tcW w:w="1276" w:type="dxa"/>
          </w:tcPr>
          <w:p w14:paraId="68375AF2" w14:textId="7777777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fldChar w:fldCharType="begin" w:fldLock="1"/>
            </w:r>
            <w:r w:rsidRPr="001A47EC">
              <w:rPr>
                <w:rFonts w:ascii="Times New Roman" w:hAnsi="Times New Roman" w:cs="Times New Roman"/>
                <w:color w:val="000000" w:themeColor="text1"/>
                <w:szCs w:val="22"/>
              </w:rPr>
              <w:instrText>ADDIN CSL_CITATION {"citationItems":[{"id":"ITEM-1","itemData":{"DOI":"10.1039/c7ta10584c","ISSN":"20507496","abstract":"In this study, we report that bimetallic iron-nickel sulfide nanowall arrays supported on nickel foam (Fe11.1%-Ni3S2/Ni foam) via wet-chemistry conversion from its LDH precursor could perform the function of a high-performance and versatile catalyst toward both overall water and urea electrolysis in a base. Its efficiency for overall water splitting is superior to those of most newly reported transition metal-based bifunctional catalysts, with small cell voltage of 1.60 V needed to gain 10 mA cm-2. Moreover, this electrode also performs well toward the UOR, requiring very small potentials of 0.284 and 0.372 V (vs. SCE) to achieve 10 and 100 mA cm-2 in 1.0 M KOH with 0.33 M urea. After replacing the anodic OER with the UOR that has a much lower thermodynamic voltage, this urea-mediated water-electrolysis device could sustain an overall current density of 10 mA cm-2 at a low voltage of only 1.46 V (140 mV less than that for its urea-free counterpart) for over 20 h. Also, battery- and solar energy-assisted overall water and urea electrolysis devices were built to explore the viability of future less-energy-intensive and large-scale hydrogen generation.","author":[{"dropping-particle":"","family":"Zhu","given":"Wenxin","non-dropping-particle":"","parse-names":false,"suffix":""},{"dropping-particle":"","family":"Yue","given":"Zhihao","non-dropping-particle":"","parse-names":false,"suffix":""},{"dropping-particle":"","family":"Zhang","given":"Wentao","non-dropping-particle":"","parse-names":false,"suffix":""},{"dropping-particle":"","family":"Hu","given":"Na","non-dropping-particle":"","parse-names":false,"suffix":""},{"dropping-particle":"","family":"Luo","given":"Zhengtao","non-dropping-particle":"","parse-names":false,"suffix":""},{"dropping-particle":"","family":"Ren","given":"Meirong","non-dropping-particle":"","parse-names":false,"suffix":""},{"dropping-particle":"","family":"Xu","given":"Zhijie","non-dropping-particle":"","parse-names":false,"suffix":""},{"dropping-particle":"","family":"Wei","given":"Ziyi","non-dropping-particle":"","parse-names":false,"suffix":""},{"dropping-particle":"","family":"Suo","given":"Yourui","non-dropping-particle":"","parse-names":false,"suffix":""},{"dropping-particle":"","family":"Wang","given":"Jianlong","non-dropping-particle":"","parse-names":false,"suffix":""}],"container-title":"Journal of Materials Chemistry A","id":"ITEM-1","issue":"10","issued":{"date-parts":[["2018"]]},"page":"4346-4353","title":"Wet-chemistry topotactic synthesis of bimetallic iron-nickel sulfide nanoarrays: An advanced and versatile catalyst for energy efficient overall water and urea electrolysis","type":"article-journal","volume":"6"},"uris":["http://www.mendeley.com/documents/?uuid=14e524d9-80ee-43ec-978b-ab5342ce2225"]}],"mendeley":{"formattedCitation":"[11]","plainTextFormattedCitation":"[11]","previouslyFormattedCitation":"[11]"},"properties":{"noteIndex":0},"schema":"https://github.com/citation-style-language/schema/raw/master/csl-citation.json"}</w:instrText>
            </w:r>
            <w:r w:rsidRPr="001A47EC">
              <w:rPr>
                <w:rFonts w:ascii="Times New Roman" w:hAnsi="Times New Roman" w:cs="Times New Roman"/>
                <w:color w:val="000000" w:themeColor="text1"/>
                <w:szCs w:val="22"/>
              </w:rPr>
              <w:fldChar w:fldCharType="separate"/>
            </w:r>
            <w:r w:rsidRPr="001A47EC">
              <w:rPr>
                <w:rFonts w:ascii="Times New Roman" w:hAnsi="Times New Roman" w:cs="Times New Roman"/>
                <w:noProof/>
                <w:color w:val="000000" w:themeColor="text1"/>
                <w:szCs w:val="22"/>
              </w:rPr>
              <w:t>[11]</w:t>
            </w:r>
            <w:r w:rsidRPr="001A47EC">
              <w:rPr>
                <w:rFonts w:ascii="Times New Roman" w:hAnsi="Times New Roman" w:cs="Times New Roman"/>
                <w:color w:val="000000" w:themeColor="text1"/>
                <w:szCs w:val="22"/>
              </w:rPr>
              <w:fldChar w:fldCharType="end"/>
            </w:r>
          </w:p>
        </w:tc>
      </w:tr>
      <w:tr w:rsidR="00D2445A" w:rsidRPr="001A47EC" w14:paraId="77FC20D3" w14:textId="77777777" w:rsidTr="00BE506C">
        <w:tc>
          <w:tcPr>
            <w:tcW w:w="1701" w:type="dxa"/>
          </w:tcPr>
          <w:p w14:paraId="377AE4F1" w14:textId="7777777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MoS</w:t>
            </w:r>
            <w:r w:rsidRPr="001A47EC">
              <w:rPr>
                <w:rFonts w:ascii="Times New Roman" w:hAnsi="Times New Roman" w:cs="Times New Roman"/>
                <w:color w:val="000000" w:themeColor="text1"/>
                <w:szCs w:val="22"/>
                <w:vertAlign w:val="subscript"/>
              </w:rPr>
              <w:t>2</w:t>
            </w:r>
            <w:r w:rsidRPr="001A47EC">
              <w:rPr>
                <w:rFonts w:ascii="Times New Roman" w:hAnsi="Times New Roman" w:cs="Times New Roman"/>
                <w:color w:val="000000" w:themeColor="text1"/>
                <w:szCs w:val="22"/>
              </w:rPr>
              <w:t>/Ni</w:t>
            </w:r>
            <w:r w:rsidRPr="001A47EC">
              <w:rPr>
                <w:rFonts w:ascii="Times New Roman" w:hAnsi="Times New Roman" w:cs="Times New Roman"/>
                <w:color w:val="000000" w:themeColor="text1"/>
                <w:szCs w:val="22"/>
                <w:vertAlign w:val="subscript"/>
              </w:rPr>
              <w:t>3</w:t>
            </w:r>
            <w:r w:rsidRPr="001A47EC">
              <w:rPr>
                <w:rFonts w:ascii="Times New Roman" w:hAnsi="Times New Roman" w:cs="Times New Roman"/>
                <w:color w:val="000000" w:themeColor="text1"/>
                <w:szCs w:val="22"/>
              </w:rPr>
              <w:t>S</w:t>
            </w:r>
            <w:r w:rsidRPr="001A47EC">
              <w:rPr>
                <w:rFonts w:ascii="Times New Roman" w:hAnsi="Times New Roman" w:cs="Times New Roman"/>
                <w:color w:val="000000" w:themeColor="text1"/>
                <w:szCs w:val="22"/>
                <w:vertAlign w:val="subscript"/>
              </w:rPr>
              <w:t>2</w:t>
            </w:r>
          </w:p>
        </w:tc>
        <w:tc>
          <w:tcPr>
            <w:tcW w:w="1985" w:type="dxa"/>
          </w:tcPr>
          <w:p w14:paraId="5C9B89AD" w14:textId="10AA036D"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MoS</w:t>
            </w:r>
            <w:r w:rsidRPr="001A47EC">
              <w:rPr>
                <w:rFonts w:ascii="Times New Roman" w:hAnsi="Times New Roman" w:cs="Times New Roman"/>
                <w:color w:val="000000" w:themeColor="text1"/>
                <w:szCs w:val="22"/>
                <w:vertAlign w:val="subscript"/>
              </w:rPr>
              <w:t>2</w:t>
            </w:r>
            <w:r w:rsidRPr="001A47EC">
              <w:rPr>
                <w:rFonts w:ascii="Times New Roman" w:hAnsi="Times New Roman" w:cs="Times New Roman"/>
                <w:color w:val="000000" w:themeColor="text1"/>
                <w:szCs w:val="22"/>
              </w:rPr>
              <w:t>/Ni</w:t>
            </w:r>
            <w:r w:rsidRPr="001A47EC">
              <w:rPr>
                <w:rFonts w:ascii="Times New Roman" w:hAnsi="Times New Roman" w:cs="Times New Roman"/>
                <w:color w:val="000000" w:themeColor="text1"/>
                <w:szCs w:val="22"/>
                <w:vertAlign w:val="subscript"/>
              </w:rPr>
              <w:t>3</w:t>
            </w:r>
            <w:r w:rsidRPr="001A47EC">
              <w:rPr>
                <w:rFonts w:ascii="Times New Roman" w:hAnsi="Times New Roman" w:cs="Times New Roman"/>
                <w:color w:val="000000" w:themeColor="text1"/>
                <w:szCs w:val="22"/>
              </w:rPr>
              <w:t>S</w:t>
            </w:r>
            <w:r w:rsidRPr="001A47EC">
              <w:rPr>
                <w:rFonts w:ascii="Times New Roman" w:hAnsi="Times New Roman" w:cs="Times New Roman"/>
                <w:color w:val="000000" w:themeColor="text1"/>
                <w:szCs w:val="22"/>
                <w:vertAlign w:val="subscript"/>
              </w:rPr>
              <w:t>2</w:t>
            </w:r>
          </w:p>
        </w:tc>
        <w:tc>
          <w:tcPr>
            <w:tcW w:w="1559" w:type="dxa"/>
          </w:tcPr>
          <w:p w14:paraId="00ADBFDB" w14:textId="37234FE2"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1.45</w:t>
            </w:r>
            <w:r>
              <w:rPr>
                <w:rFonts w:ascii="Times New Roman" w:hAnsi="Times New Roman" w:cs="Times New Roman"/>
                <w:color w:val="000000" w:themeColor="text1"/>
                <w:szCs w:val="22"/>
              </w:rPr>
              <w:t xml:space="preserve"> (@20)</w:t>
            </w:r>
          </w:p>
        </w:tc>
        <w:tc>
          <w:tcPr>
            <w:tcW w:w="2835" w:type="dxa"/>
          </w:tcPr>
          <w:p w14:paraId="24A5E0EB" w14:textId="7777777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1M KOH + 0.33M urea</w:t>
            </w:r>
          </w:p>
        </w:tc>
        <w:tc>
          <w:tcPr>
            <w:tcW w:w="1276" w:type="dxa"/>
          </w:tcPr>
          <w:p w14:paraId="0AB25F3B" w14:textId="56343AE0"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fldChar w:fldCharType="begin" w:fldLock="1"/>
            </w:r>
            <w:r w:rsidRPr="001A47EC">
              <w:rPr>
                <w:rFonts w:ascii="Times New Roman" w:hAnsi="Times New Roman" w:cs="Times New Roman"/>
                <w:color w:val="000000" w:themeColor="text1"/>
                <w:szCs w:val="22"/>
              </w:rPr>
              <w:instrText>ADDIN CSL_CITATION {"citationItems":[{"id":"ITEM-1","itemData":{"DOI":"10.1039/c8cc01404c","ISSN":"1364548X","PMID":"29610799","abstract":"The heteroporous MoS2/Ni3S2 catalyst exhibits excellent electrocatalytic activity for the overall urea splitting with only a cell voltage of 1.45 V at 20 mA cm-2 in 1 M KOH with 0.33 M urea. This value is the best of all the bifunctional urea splitting electrocatalysts, including Pt, reported to date.","author":[{"dropping-particle":"","family":"Li","given":"Fang","non-dropping-particle":"","parse-names":false,"suffix":""},{"dropping-particle":"","family":"Chen","given":"Junxiang","non-dropping-particle":"","parse-names":false,"suffix":""},{"dropping-particle":"","family":"Zhang","given":"Dafeng","non-dropping-particle":"","parse-names":false,"suffix":""},{"dropping-particle":"","family":"Fu","given":"Wen Fu","non-dropping-particle":"","parse-names":false,"suffix":""},{"dropping-particle":"","family":"Chen","given":"Yong","non-dropping-particle":"","parse-names":false,"suffix":""},{"dropping-particle":"","family":"Wen","given":"Zhenhai","non-dropping-particle":"","parse-names":false,"suffix":""},{"dropping-particle":"","family":"Lv","given":"Xiao Jun","non-dropping-particle":"","parse-names":false,"suffix":""}],"container-title":"Chemical Communications","id":"ITEM-1","issue":"41","issued":{"date-parts":[["2018"]]},"page":"5181-5184","publisher":"Royal Society of Chemistry","title":"Heteroporous MoS2/Ni3S2 towards superior electrocatalytic overall urea splitting","type":"article-journal","volume":"54"},"uris":["http://www.mendeley.com/documents/?uuid=14a264de-2578-453b-a43e-d265c9138703"]}],"mendeley":{"formattedCitation":"[14]","plainTextFormattedCitation":"[14]","previouslyFormattedCitation":"[14]"},"properties":{"noteIndex":0},"schema":"https://github.com/citation-style-language/schema/raw/master/csl-citation.json"}</w:instrText>
            </w:r>
            <w:r w:rsidRPr="001A47EC">
              <w:rPr>
                <w:rFonts w:ascii="Times New Roman" w:hAnsi="Times New Roman" w:cs="Times New Roman"/>
                <w:color w:val="000000" w:themeColor="text1"/>
                <w:szCs w:val="22"/>
              </w:rPr>
              <w:fldChar w:fldCharType="separate"/>
            </w:r>
            <w:r w:rsidRPr="001A47EC">
              <w:rPr>
                <w:rFonts w:ascii="Times New Roman" w:hAnsi="Times New Roman" w:cs="Times New Roman"/>
                <w:noProof/>
                <w:color w:val="000000" w:themeColor="text1"/>
                <w:szCs w:val="22"/>
              </w:rPr>
              <w:t>[1</w:t>
            </w:r>
            <w:r>
              <w:rPr>
                <w:rFonts w:ascii="Times New Roman" w:hAnsi="Times New Roman" w:cs="Times New Roman"/>
                <w:noProof/>
                <w:color w:val="000000" w:themeColor="text1"/>
                <w:szCs w:val="22"/>
              </w:rPr>
              <w:t>2</w:t>
            </w:r>
            <w:r w:rsidRPr="001A47EC">
              <w:rPr>
                <w:rFonts w:ascii="Times New Roman" w:hAnsi="Times New Roman" w:cs="Times New Roman"/>
                <w:noProof/>
                <w:color w:val="000000" w:themeColor="text1"/>
                <w:szCs w:val="22"/>
              </w:rPr>
              <w:t>]</w:t>
            </w:r>
            <w:r w:rsidRPr="001A47EC">
              <w:rPr>
                <w:rFonts w:ascii="Times New Roman" w:hAnsi="Times New Roman" w:cs="Times New Roman"/>
                <w:color w:val="000000" w:themeColor="text1"/>
                <w:szCs w:val="22"/>
              </w:rPr>
              <w:fldChar w:fldCharType="end"/>
            </w:r>
          </w:p>
        </w:tc>
      </w:tr>
      <w:tr w:rsidR="00D2445A" w:rsidRPr="001A47EC" w14:paraId="571967F7" w14:textId="77777777" w:rsidTr="00BE506C">
        <w:tc>
          <w:tcPr>
            <w:tcW w:w="1701" w:type="dxa"/>
          </w:tcPr>
          <w:p w14:paraId="1E8444AA" w14:textId="7777777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NiFe@CF</w:t>
            </w:r>
          </w:p>
        </w:tc>
        <w:tc>
          <w:tcPr>
            <w:tcW w:w="1985" w:type="dxa"/>
          </w:tcPr>
          <w:p w14:paraId="7A71B5C7" w14:textId="6552167B"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NiFe@CF</w:t>
            </w:r>
          </w:p>
        </w:tc>
        <w:tc>
          <w:tcPr>
            <w:tcW w:w="1559" w:type="dxa"/>
          </w:tcPr>
          <w:p w14:paraId="534AEF52" w14:textId="55FD88B0"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1.614</w:t>
            </w:r>
          </w:p>
        </w:tc>
        <w:tc>
          <w:tcPr>
            <w:tcW w:w="2835" w:type="dxa"/>
          </w:tcPr>
          <w:p w14:paraId="7CCBF427" w14:textId="7777777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 M KOH+ 0.33 M Urea</w:t>
            </w:r>
          </w:p>
        </w:tc>
        <w:tc>
          <w:tcPr>
            <w:tcW w:w="1276" w:type="dxa"/>
          </w:tcPr>
          <w:p w14:paraId="3762746E" w14:textId="7777777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This work</w:t>
            </w:r>
          </w:p>
        </w:tc>
      </w:tr>
      <w:tr w:rsidR="00D2445A" w:rsidRPr="001A47EC" w14:paraId="3CA8100F" w14:textId="77777777" w:rsidTr="00BE506C">
        <w:tc>
          <w:tcPr>
            <w:tcW w:w="1701" w:type="dxa"/>
          </w:tcPr>
          <w:p w14:paraId="04B65DEE" w14:textId="7777777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P-NiFe@CF</w:t>
            </w:r>
          </w:p>
        </w:tc>
        <w:tc>
          <w:tcPr>
            <w:tcW w:w="1985" w:type="dxa"/>
          </w:tcPr>
          <w:p w14:paraId="7765EE00" w14:textId="19355B21"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P-NiFe@CF</w:t>
            </w:r>
          </w:p>
        </w:tc>
        <w:tc>
          <w:tcPr>
            <w:tcW w:w="1559" w:type="dxa"/>
          </w:tcPr>
          <w:p w14:paraId="633E15DA" w14:textId="77579E6F"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1.424</w:t>
            </w:r>
          </w:p>
        </w:tc>
        <w:tc>
          <w:tcPr>
            <w:tcW w:w="2835" w:type="dxa"/>
          </w:tcPr>
          <w:p w14:paraId="5FD93458" w14:textId="7777777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1 M KOH+ 0.33 M Urea</w:t>
            </w:r>
          </w:p>
        </w:tc>
        <w:tc>
          <w:tcPr>
            <w:tcW w:w="1276" w:type="dxa"/>
          </w:tcPr>
          <w:p w14:paraId="2ABA003E" w14:textId="77777777" w:rsidR="00D2445A" w:rsidRPr="001A47EC" w:rsidRDefault="00D2445A" w:rsidP="00D2445A">
            <w:pPr>
              <w:tabs>
                <w:tab w:val="left" w:pos="1680"/>
              </w:tabs>
              <w:spacing w:line="360" w:lineRule="auto"/>
              <w:rPr>
                <w:rFonts w:ascii="Times New Roman" w:hAnsi="Times New Roman" w:cs="Times New Roman"/>
                <w:color w:val="000000" w:themeColor="text1"/>
                <w:szCs w:val="22"/>
              </w:rPr>
            </w:pPr>
            <w:r w:rsidRPr="001A47EC">
              <w:rPr>
                <w:rFonts w:ascii="Times New Roman" w:hAnsi="Times New Roman" w:cs="Times New Roman"/>
                <w:color w:val="000000" w:themeColor="text1"/>
                <w:szCs w:val="22"/>
              </w:rPr>
              <w:t>This work</w:t>
            </w:r>
          </w:p>
        </w:tc>
      </w:tr>
    </w:tbl>
    <w:p w14:paraId="791BA358" w14:textId="2EF5D0CA" w:rsidR="00696CDD" w:rsidRPr="00BE506C" w:rsidRDefault="001E2EC6" w:rsidP="00BE506C">
      <w:pPr>
        <w:spacing w:line="360" w:lineRule="auto"/>
        <w:rPr>
          <w:rFonts w:ascii="Times New Roman" w:hAnsi="Times New Roman" w:cs="Times New Roman"/>
          <w:b/>
          <w:color w:val="000000" w:themeColor="text1"/>
          <w:szCs w:val="22"/>
        </w:rPr>
      </w:pPr>
      <w:r w:rsidRPr="00FB7E71">
        <w:rPr>
          <w:rFonts w:ascii="Times New Roman" w:hAnsi="Times New Roman" w:cs="Times New Roman"/>
          <w:b/>
          <w:color w:val="000000" w:themeColor="text1"/>
          <w:sz w:val="24"/>
          <w:szCs w:val="24"/>
        </w:rPr>
        <w:br w:type="page"/>
      </w:r>
      <w:r w:rsidR="00610F6C" w:rsidRPr="00BE506C">
        <w:rPr>
          <w:rFonts w:ascii="Times New Roman" w:hAnsi="Times New Roman" w:cs="Times New Roman"/>
          <w:b/>
          <w:color w:val="000000" w:themeColor="text1"/>
          <w:szCs w:val="22"/>
        </w:rPr>
        <w:lastRenderedPageBreak/>
        <w:t>R</w:t>
      </w:r>
      <w:r w:rsidR="00643E28" w:rsidRPr="00BE506C">
        <w:rPr>
          <w:rFonts w:ascii="Times New Roman" w:hAnsi="Times New Roman" w:cs="Times New Roman"/>
          <w:b/>
          <w:color w:val="000000" w:themeColor="text1"/>
          <w:szCs w:val="22"/>
        </w:rPr>
        <w:t>eferences</w:t>
      </w:r>
    </w:p>
    <w:p w14:paraId="5B2C866F" w14:textId="029899AC" w:rsidR="00146ACF" w:rsidRPr="00BE506C" w:rsidRDefault="00696CDD" w:rsidP="00BE506C">
      <w:pPr>
        <w:adjustRightInd w:val="0"/>
        <w:spacing w:line="360" w:lineRule="auto"/>
        <w:ind w:left="640" w:hanging="640"/>
        <w:rPr>
          <w:rFonts w:ascii="Times New Roman" w:hAnsi="Times New Roman" w:cs="Times New Roman"/>
          <w:noProof/>
          <w:color w:val="000000" w:themeColor="text1"/>
          <w:szCs w:val="22"/>
        </w:rPr>
      </w:pPr>
      <w:r w:rsidRPr="00BE506C">
        <w:rPr>
          <w:rFonts w:ascii="Times New Roman" w:hAnsi="Times New Roman" w:cs="Times New Roman"/>
          <w:b/>
          <w:color w:val="000000" w:themeColor="text1"/>
          <w:szCs w:val="22"/>
        </w:rPr>
        <w:fldChar w:fldCharType="begin" w:fldLock="1"/>
      </w:r>
      <w:r w:rsidRPr="00BE506C">
        <w:rPr>
          <w:rFonts w:ascii="Times New Roman" w:hAnsi="Times New Roman" w:cs="Times New Roman"/>
          <w:b/>
          <w:color w:val="000000" w:themeColor="text1"/>
          <w:szCs w:val="22"/>
        </w:rPr>
        <w:instrText xml:space="preserve">ADDIN Mendeley Bibliography CSL_BIBLIOGRAPHY </w:instrText>
      </w:r>
      <w:r w:rsidRPr="00BE506C">
        <w:rPr>
          <w:rFonts w:ascii="Times New Roman" w:hAnsi="Times New Roman" w:cs="Times New Roman"/>
          <w:b/>
          <w:color w:val="000000" w:themeColor="text1"/>
          <w:szCs w:val="22"/>
        </w:rPr>
        <w:fldChar w:fldCharType="separate"/>
      </w:r>
      <w:r w:rsidR="00146ACF" w:rsidRPr="00BE506C">
        <w:rPr>
          <w:rFonts w:ascii="Times New Roman" w:hAnsi="Times New Roman" w:cs="Times New Roman"/>
          <w:noProof/>
          <w:color w:val="000000" w:themeColor="text1"/>
          <w:szCs w:val="22"/>
        </w:rPr>
        <w:t>[1]</w:t>
      </w:r>
      <w:r w:rsidR="00146ACF" w:rsidRPr="00BE506C">
        <w:rPr>
          <w:rFonts w:ascii="Times New Roman" w:hAnsi="Times New Roman" w:cs="Times New Roman"/>
          <w:noProof/>
          <w:color w:val="000000" w:themeColor="text1"/>
          <w:szCs w:val="22"/>
        </w:rPr>
        <w:tab/>
        <w:t>Wu MS, Lin GW, Yang RS. Hydrothermal growth of vertically-aligned ordered mesoporous nickel oxide nanosheets on three-dimensional nickel framework for electrocatalytic oxidation of urea in alkaline medium. J Power Sources 2014;272:711–8. https://doi.org/10.1016/j.jpowsour.2014.09.009.</w:t>
      </w:r>
    </w:p>
    <w:p w14:paraId="562E28D0" w14:textId="77777777" w:rsidR="00146ACF" w:rsidRPr="00BE506C" w:rsidRDefault="00146ACF" w:rsidP="00BE506C">
      <w:pPr>
        <w:adjustRightInd w:val="0"/>
        <w:spacing w:line="360" w:lineRule="auto"/>
        <w:ind w:left="640" w:hanging="640"/>
        <w:rPr>
          <w:rFonts w:ascii="Times New Roman" w:hAnsi="Times New Roman" w:cs="Times New Roman"/>
          <w:noProof/>
          <w:color w:val="000000" w:themeColor="text1"/>
          <w:szCs w:val="22"/>
        </w:rPr>
      </w:pPr>
      <w:r w:rsidRPr="00BE506C">
        <w:rPr>
          <w:rFonts w:ascii="Times New Roman" w:hAnsi="Times New Roman" w:cs="Times New Roman"/>
          <w:noProof/>
          <w:color w:val="000000" w:themeColor="text1"/>
          <w:szCs w:val="22"/>
        </w:rPr>
        <w:t>[2]</w:t>
      </w:r>
      <w:r w:rsidRPr="00BE506C">
        <w:rPr>
          <w:rFonts w:ascii="Times New Roman" w:hAnsi="Times New Roman" w:cs="Times New Roman"/>
          <w:noProof/>
          <w:color w:val="000000" w:themeColor="text1"/>
          <w:szCs w:val="22"/>
        </w:rPr>
        <w:tab/>
        <w:t>Wang X, Wang J, Sun X, Wei S, Cui L, Yang W, et al. Hierarchical coral-like NiMOS nanohybrids as highly efficient bifunctional electrocatalysts for overall urea electrolysis. Nano Res 2018;11:988–96. https://doi.org/10.1007/s12274-017-1711-3.</w:t>
      </w:r>
    </w:p>
    <w:p w14:paraId="43E0A142" w14:textId="77777777" w:rsidR="00146ACF" w:rsidRPr="00BE506C" w:rsidRDefault="00146ACF" w:rsidP="00BE506C">
      <w:pPr>
        <w:adjustRightInd w:val="0"/>
        <w:spacing w:line="360" w:lineRule="auto"/>
        <w:ind w:left="640" w:hanging="640"/>
        <w:rPr>
          <w:rFonts w:ascii="Times New Roman" w:hAnsi="Times New Roman" w:cs="Times New Roman"/>
          <w:noProof/>
          <w:color w:val="000000" w:themeColor="text1"/>
          <w:szCs w:val="22"/>
        </w:rPr>
      </w:pPr>
      <w:r w:rsidRPr="00BE506C">
        <w:rPr>
          <w:rFonts w:ascii="Times New Roman" w:hAnsi="Times New Roman" w:cs="Times New Roman"/>
          <w:noProof/>
          <w:color w:val="000000" w:themeColor="text1"/>
          <w:szCs w:val="22"/>
        </w:rPr>
        <w:t>[3]</w:t>
      </w:r>
      <w:r w:rsidRPr="00BE506C">
        <w:rPr>
          <w:rFonts w:ascii="Times New Roman" w:hAnsi="Times New Roman" w:cs="Times New Roman"/>
          <w:noProof/>
          <w:color w:val="000000" w:themeColor="text1"/>
          <w:szCs w:val="22"/>
        </w:rPr>
        <w:tab/>
        <w:t>Hu S, Feng C, Wang S, Liu J, Wu H, Zhang L, et al. Ni 3 N/NF as Bifunctional Catalysts for Both Hydrogen Generation and Urea Decomposition. ACS Appl Mater Interfaces 2019;11:13168–75. https://doi.org/10.1021/acsami.8b19052.</w:t>
      </w:r>
    </w:p>
    <w:p w14:paraId="1B9737D2" w14:textId="77777777" w:rsidR="00146ACF" w:rsidRPr="00BE506C" w:rsidRDefault="00146ACF" w:rsidP="00BE506C">
      <w:pPr>
        <w:adjustRightInd w:val="0"/>
        <w:spacing w:line="360" w:lineRule="auto"/>
        <w:ind w:left="640" w:hanging="640"/>
        <w:rPr>
          <w:rFonts w:ascii="Times New Roman" w:hAnsi="Times New Roman" w:cs="Times New Roman"/>
          <w:noProof/>
          <w:color w:val="000000" w:themeColor="text1"/>
          <w:szCs w:val="22"/>
        </w:rPr>
      </w:pPr>
      <w:r w:rsidRPr="00BE506C">
        <w:rPr>
          <w:rFonts w:ascii="Times New Roman" w:hAnsi="Times New Roman" w:cs="Times New Roman"/>
          <w:noProof/>
          <w:color w:val="000000" w:themeColor="text1"/>
          <w:szCs w:val="22"/>
        </w:rPr>
        <w:t>[4]</w:t>
      </w:r>
      <w:r w:rsidRPr="00BE506C">
        <w:rPr>
          <w:rFonts w:ascii="Times New Roman" w:hAnsi="Times New Roman" w:cs="Times New Roman"/>
          <w:noProof/>
          <w:color w:val="000000" w:themeColor="text1"/>
          <w:szCs w:val="22"/>
        </w:rPr>
        <w:tab/>
        <w:t>Liu Q, Xie L, Qu F, Liu Z, Du G, Asiri AM, et al. A porous Ni3N nanosheet array as a high-performance non-noble-metal catalyst for urea-assisted electrochemical hydrogen production. Inorg Chem Front 2017;4:1120–4. https://doi.org/10.1039/c7qi00185a.</w:t>
      </w:r>
    </w:p>
    <w:p w14:paraId="13453AC6" w14:textId="77777777" w:rsidR="00146ACF" w:rsidRPr="00BE506C" w:rsidRDefault="00146ACF" w:rsidP="00BE506C">
      <w:pPr>
        <w:adjustRightInd w:val="0"/>
        <w:spacing w:line="360" w:lineRule="auto"/>
        <w:ind w:left="640" w:hanging="640"/>
        <w:rPr>
          <w:rFonts w:ascii="Times New Roman" w:hAnsi="Times New Roman" w:cs="Times New Roman"/>
          <w:noProof/>
          <w:color w:val="000000" w:themeColor="text1"/>
          <w:szCs w:val="22"/>
        </w:rPr>
      </w:pPr>
      <w:r w:rsidRPr="00BE506C">
        <w:rPr>
          <w:rFonts w:ascii="Times New Roman" w:hAnsi="Times New Roman" w:cs="Times New Roman"/>
          <w:noProof/>
          <w:color w:val="000000" w:themeColor="text1"/>
          <w:szCs w:val="22"/>
        </w:rPr>
        <w:t>[5]</w:t>
      </w:r>
      <w:r w:rsidRPr="00BE506C">
        <w:rPr>
          <w:rFonts w:ascii="Times New Roman" w:hAnsi="Times New Roman" w:cs="Times New Roman"/>
          <w:noProof/>
          <w:color w:val="000000" w:themeColor="text1"/>
          <w:szCs w:val="22"/>
        </w:rPr>
        <w:tab/>
        <w:t>Zhang B, Wang S, Ma Z, Qiu Y. Ni0-rich Ni/NiO nanocrystals for efficient water-to‑hydrogen conversion via urea electro-oxidation. Appl Surf Sci 2019;496:143710. https://doi.org/10.1016/j.apsusc.2019.143710.</w:t>
      </w:r>
    </w:p>
    <w:p w14:paraId="61EC7C58" w14:textId="77777777" w:rsidR="00146ACF" w:rsidRPr="00BE506C" w:rsidRDefault="00146ACF" w:rsidP="00BE506C">
      <w:pPr>
        <w:adjustRightInd w:val="0"/>
        <w:spacing w:line="360" w:lineRule="auto"/>
        <w:ind w:left="640" w:hanging="640"/>
        <w:rPr>
          <w:rFonts w:ascii="Times New Roman" w:hAnsi="Times New Roman" w:cs="Times New Roman"/>
          <w:noProof/>
          <w:color w:val="000000" w:themeColor="text1"/>
          <w:szCs w:val="22"/>
        </w:rPr>
      </w:pPr>
      <w:r w:rsidRPr="00BE506C">
        <w:rPr>
          <w:rFonts w:ascii="Times New Roman" w:hAnsi="Times New Roman" w:cs="Times New Roman"/>
          <w:noProof/>
          <w:color w:val="000000" w:themeColor="text1"/>
          <w:szCs w:val="22"/>
        </w:rPr>
        <w:t>[6]</w:t>
      </w:r>
      <w:r w:rsidRPr="00BE506C">
        <w:rPr>
          <w:rFonts w:ascii="Times New Roman" w:hAnsi="Times New Roman" w:cs="Times New Roman"/>
          <w:noProof/>
          <w:color w:val="000000" w:themeColor="text1"/>
          <w:szCs w:val="22"/>
        </w:rPr>
        <w:tab/>
        <w:t>Zhang X, Liu Y, Xiong Q, Liu G, Zhao C, Wang G, et al. Vapour-phase hydrothermal synthesis of Ni2P nanocrystallines on carbon fiber cloth for high-efficiency H2 production and simultaneous urea decomposition. Electrochim Acta 2017;254:44–9. https://doi.org/10.1016/j.electacta.2017.09.097.</w:t>
      </w:r>
    </w:p>
    <w:p w14:paraId="486B2192" w14:textId="77777777" w:rsidR="00146ACF" w:rsidRPr="00BE506C" w:rsidRDefault="00146ACF" w:rsidP="00BE506C">
      <w:pPr>
        <w:adjustRightInd w:val="0"/>
        <w:spacing w:line="360" w:lineRule="auto"/>
        <w:ind w:left="640" w:hanging="640"/>
        <w:rPr>
          <w:rFonts w:ascii="Times New Roman" w:hAnsi="Times New Roman" w:cs="Times New Roman"/>
          <w:noProof/>
          <w:color w:val="000000" w:themeColor="text1"/>
          <w:szCs w:val="22"/>
        </w:rPr>
      </w:pPr>
      <w:r w:rsidRPr="00BE506C">
        <w:rPr>
          <w:rFonts w:ascii="Times New Roman" w:hAnsi="Times New Roman" w:cs="Times New Roman"/>
          <w:noProof/>
          <w:color w:val="000000" w:themeColor="text1"/>
          <w:szCs w:val="22"/>
        </w:rPr>
        <w:t>[7]</w:t>
      </w:r>
      <w:r w:rsidRPr="00BE506C">
        <w:rPr>
          <w:rFonts w:ascii="Times New Roman" w:hAnsi="Times New Roman" w:cs="Times New Roman"/>
          <w:noProof/>
          <w:color w:val="000000" w:themeColor="text1"/>
          <w:szCs w:val="22"/>
        </w:rPr>
        <w:tab/>
        <w:t>Wei S, Wang X, Wang J, Sun X, Cui L, Yang W, et al. CoS2 nanoneedle array on Ti mesh: A stable and efficient bifunctional electrocatalyst for urea-assisted electrolytic hydrogen production. Electrochim Acta 2017;246:776–82. https://doi.org/10.1016/j.electacta.2017.06.068.</w:t>
      </w:r>
    </w:p>
    <w:p w14:paraId="50F3C391" w14:textId="77777777" w:rsidR="00146ACF" w:rsidRPr="00BE506C" w:rsidRDefault="00146ACF" w:rsidP="00BE506C">
      <w:pPr>
        <w:adjustRightInd w:val="0"/>
        <w:spacing w:line="360" w:lineRule="auto"/>
        <w:ind w:left="640" w:hanging="640"/>
        <w:rPr>
          <w:rFonts w:ascii="Times New Roman" w:hAnsi="Times New Roman" w:cs="Times New Roman"/>
          <w:noProof/>
          <w:color w:val="000000" w:themeColor="text1"/>
          <w:szCs w:val="22"/>
        </w:rPr>
      </w:pPr>
      <w:r w:rsidRPr="00BE506C">
        <w:rPr>
          <w:rFonts w:ascii="Times New Roman" w:hAnsi="Times New Roman" w:cs="Times New Roman"/>
          <w:noProof/>
          <w:color w:val="000000" w:themeColor="text1"/>
          <w:szCs w:val="22"/>
        </w:rPr>
        <w:t>[8]</w:t>
      </w:r>
      <w:r w:rsidRPr="00BE506C">
        <w:rPr>
          <w:rFonts w:ascii="Times New Roman" w:hAnsi="Times New Roman" w:cs="Times New Roman"/>
          <w:noProof/>
          <w:color w:val="000000" w:themeColor="text1"/>
          <w:szCs w:val="22"/>
        </w:rPr>
        <w:tab/>
        <w:t>Xiao C, Li S, Zhang X, MacFarlane DR. MnO2/MnCo2O4/Ni heterostructure with quadruple hierarchy: A bifunctional electrode architecture for overall urea oxidation. J Mater Chem A 2017;5:7825–32. https://doi.org/10.1039/c7ta00980a.</w:t>
      </w:r>
    </w:p>
    <w:p w14:paraId="32A2703D" w14:textId="77777777" w:rsidR="00146ACF" w:rsidRPr="00BE506C" w:rsidRDefault="00146ACF" w:rsidP="00BE506C">
      <w:pPr>
        <w:adjustRightInd w:val="0"/>
        <w:spacing w:line="360" w:lineRule="auto"/>
        <w:ind w:left="640" w:hanging="640"/>
        <w:rPr>
          <w:rFonts w:ascii="Times New Roman" w:hAnsi="Times New Roman" w:cs="Times New Roman"/>
          <w:noProof/>
          <w:color w:val="000000" w:themeColor="text1"/>
          <w:szCs w:val="22"/>
        </w:rPr>
      </w:pPr>
      <w:r w:rsidRPr="00BE506C">
        <w:rPr>
          <w:rFonts w:ascii="Times New Roman" w:hAnsi="Times New Roman" w:cs="Times New Roman"/>
          <w:noProof/>
          <w:color w:val="000000" w:themeColor="text1"/>
          <w:szCs w:val="22"/>
        </w:rPr>
        <w:lastRenderedPageBreak/>
        <w:t>[9]</w:t>
      </w:r>
      <w:r w:rsidRPr="00BE506C">
        <w:rPr>
          <w:rFonts w:ascii="Times New Roman" w:hAnsi="Times New Roman" w:cs="Times New Roman"/>
          <w:noProof/>
          <w:color w:val="000000" w:themeColor="text1"/>
          <w:szCs w:val="22"/>
        </w:rPr>
        <w:tab/>
        <w:t>Wu MS, Ji RY, Zheng YR. Nickel hydroxide electrode with a monolayer of nanocup arrays as an effective electrocatalyst for enhanced electrolysis of urea. Electrochim Acta 2014;144:194–9. https://doi.org/10.1016/j.electacta.2014.08.098.</w:t>
      </w:r>
    </w:p>
    <w:p w14:paraId="1CB8907B" w14:textId="77777777" w:rsidR="00146ACF" w:rsidRPr="00BE506C" w:rsidRDefault="00146ACF" w:rsidP="00BE506C">
      <w:pPr>
        <w:adjustRightInd w:val="0"/>
        <w:spacing w:line="360" w:lineRule="auto"/>
        <w:ind w:left="640" w:hanging="640"/>
        <w:rPr>
          <w:rFonts w:ascii="Times New Roman" w:hAnsi="Times New Roman" w:cs="Times New Roman"/>
          <w:noProof/>
          <w:color w:val="000000" w:themeColor="text1"/>
          <w:szCs w:val="22"/>
        </w:rPr>
      </w:pPr>
      <w:r w:rsidRPr="00BE506C">
        <w:rPr>
          <w:rFonts w:ascii="Times New Roman" w:hAnsi="Times New Roman" w:cs="Times New Roman"/>
          <w:noProof/>
          <w:color w:val="000000" w:themeColor="text1"/>
          <w:szCs w:val="22"/>
        </w:rPr>
        <w:t>[10]</w:t>
      </w:r>
      <w:r w:rsidRPr="00BE506C">
        <w:rPr>
          <w:rFonts w:ascii="Times New Roman" w:hAnsi="Times New Roman" w:cs="Times New Roman"/>
          <w:noProof/>
          <w:color w:val="000000" w:themeColor="text1"/>
          <w:szCs w:val="22"/>
        </w:rPr>
        <w:tab/>
        <w:t>Miller AT, Hassler BL, Botte GG. Rhodium electrodeposition on nickel electrodes used for urea electrolysis. J Appl Electrochem 2012;42:925–34. https://doi.org/10.1007/s10800-012-0478-1.</w:t>
      </w:r>
    </w:p>
    <w:p w14:paraId="6F8B7AA0" w14:textId="77777777" w:rsidR="00146ACF" w:rsidRPr="00BE506C" w:rsidRDefault="00146ACF" w:rsidP="00BE506C">
      <w:pPr>
        <w:adjustRightInd w:val="0"/>
        <w:spacing w:line="360" w:lineRule="auto"/>
        <w:ind w:left="640" w:hanging="640"/>
        <w:rPr>
          <w:rFonts w:ascii="Times New Roman" w:hAnsi="Times New Roman" w:cs="Times New Roman"/>
          <w:noProof/>
          <w:color w:val="000000" w:themeColor="text1"/>
          <w:szCs w:val="22"/>
        </w:rPr>
      </w:pPr>
      <w:r w:rsidRPr="00BE506C">
        <w:rPr>
          <w:rFonts w:ascii="Times New Roman" w:hAnsi="Times New Roman" w:cs="Times New Roman"/>
          <w:noProof/>
          <w:color w:val="000000" w:themeColor="text1"/>
          <w:szCs w:val="22"/>
        </w:rPr>
        <w:t>[11]</w:t>
      </w:r>
      <w:r w:rsidRPr="00BE506C">
        <w:rPr>
          <w:rFonts w:ascii="Times New Roman" w:hAnsi="Times New Roman" w:cs="Times New Roman"/>
          <w:noProof/>
          <w:color w:val="000000" w:themeColor="text1"/>
          <w:szCs w:val="22"/>
        </w:rPr>
        <w:tab/>
        <w:t>Zhu W, Yue Z, Zhang W, Hu N, Luo Z, Ren M, et al. Wet-chemistry topotactic synthesis of bimetallic iron-nickel sulfide nanoarrays: An advanced and versatile catalyst for energy efficient overall water and urea electrolysis. J Mater Chem A 2018;6:4346–53. https://doi.org/10.1039/c7ta10584c.</w:t>
      </w:r>
    </w:p>
    <w:p w14:paraId="6D93C52F" w14:textId="5C608216" w:rsidR="00146ACF" w:rsidRPr="00BE506C" w:rsidRDefault="00D2445A" w:rsidP="00BE506C">
      <w:pPr>
        <w:adjustRightInd w:val="0"/>
        <w:spacing w:line="360" w:lineRule="auto"/>
        <w:ind w:left="640" w:hanging="640"/>
        <w:rPr>
          <w:rFonts w:ascii="Times New Roman" w:hAnsi="Times New Roman" w:cs="Times New Roman"/>
          <w:noProof/>
          <w:color w:val="000000" w:themeColor="text1"/>
          <w:szCs w:val="22"/>
        </w:rPr>
      </w:pPr>
      <w:r w:rsidRPr="00BE506C">
        <w:rPr>
          <w:rFonts w:ascii="Times New Roman" w:hAnsi="Times New Roman" w:cs="Times New Roman"/>
          <w:noProof/>
          <w:color w:val="000000" w:themeColor="text1"/>
          <w:szCs w:val="22"/>
        </w:rPr>
        <w:t xml:space="preserve"> </w:t>
      </w:r>
      <w:r w:rsidR="00146ACF" w:rsidRPr="00BE506C">
        <w:rPr>
          <w:rFonts w:ascii="Times New Roman" w:hAnsi="Times New Roman" w:cs="Times New Roman"/>
          <w:noProof/>
          <w:color w:val="000000" w:themeColor="text1"/>
          <w:szCs w:val="22"/>
        </w:rPr>
        <w:t>[1</w:t>
      </w:r>
      <w:r>
        <w:rPr>
          <w:rFonts w:ascii="Times New Roman" w:hAnsi="Times New Roman" w:cs="Times New Roman"/>
          <w:noProof/>
          <w:color w:val="000000" w:themeColor="text1"/>
          <w:szCs w:val="22"/>
        </w:rPr>
        <w:t>2</w:t>
      </w:r>
      <w:r w:rsidR="00146ACF" w:rsidRPr="00BE506C">
        <w:rPr>
          <w:rFonts w:ascii="Times New Roman" w:hAnsi="Times New Roman" w:cs="Times New Roman"/>
          <w:noProof/>
          <w:color w:val="000000" w:themeColor="text1"/>
          <w:szCs w:val="22"/>
        </w:rPr>
        <w:t>]</w:t>
      </w:r>
      <w:r w:rsidR="00146ACF" w:rsidRPr="00BE506C">
        <w:rPr>
          <w:rFonts w:ascii="Times New Roman" w:hAnsi="Times New Roman" w:cs="Times New Roman"/>
          <w:noProof/>
          <w:color w:val="000000" w:themeColor="text1"/>
          <w:szCs w:val="22"/>
        </w:rPr>
        <w:tab/>
        <w:t>Li F, Chen J, Zhang D, Fu WF, Chen Y, Wen Z, et al. Heteroporous MoS2/Ni3S2 towards superior electrocatalytic overall urea splitting. Chem Commun 2018;54:5181–4. https://doi.org/10.1039/c8cc01404c.</w:t>
      </w:r>
    </w:p>
    <w:p w14:paraId="4BEF488B" w14:textId="7FE7B59C" w:rsidR="00232E5F" w:rsidRPr="00BE506C" w:rsidRDefault="00696CDD" w:rsidP="00BE506C">
      <w:pPr>
        <w:tabs>
          <w:tab w:val="left" w:pos="1680"/>
        </w:tabs>
        <w:spacing w:line="360" w:lineRule="auto"/>
        <w:rPr>
          <w:rFonts w:ascii="Times New Roman" w:hAnsi="Times New Roman" w:cs="Times New Roman"/>
          <w:b/>
          <w:color w:val="000000" w:themeColor="text1"/>
          <w:szCs w:val="22"/>
        </w:rPr>
      </w:pPr>
      <w:r w:rsidRPr="00BE506C">
        <w:rPr>
          <w:rFonts w:ascii="Times New Roman" w:hAnsi="Times New Roman" w:cs="Times New Roman"/>
          <w:b/>
          <w:color w:val="000000" w:themeColor="text1"/>
          <w:szCs w:val="22"/>
        </w:rPr>
        <w:fldChar w:fldCharType="end"/>
      </w:r>
    </w:p>
    <w:p w14:paraId="772F2B8A" w14:textId="1E08647A" w:rsidR="00232E5F" w:rsidRPr="00BE506C" w:rsidRDefault="00232E5F" w:rsidP="00BE506C">
      <w:pPr>
        <w:spacing w:line="360" w:lineRule="auto"/>
        <w:rPr>
          <w:rFonts w:ascii="Times New Roman" w:hAnsi="Times New Roman" w:cs="Times New Roman"/>
          <w:b/>
          <w:color w:val="000000" w:themeColor="text1"/>
          <w:szCs w:val="22"/>
        </w:rPr>
      </w:pPr>
    </w:p>
    <w:sectPr w:rsidR="00232E5F" w:rsidRPr="00BE506C" w:rsidSect="00D748E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E40FAE" w14:textId="77777777" w:rsidR="00973ED8" w:rsidRDefault="00973ED8" w:rsidP="009923C6">
      <w:pPr>
        <w:spacing w:after="0" w:line="240" w:lineRule="auto"/>
      </w:pPr>
      <w:r>
        <w:separator/>
      </w:r>
    </w:p>
  </w:endnote>
  <w:endnote w:type="continuationSeparator" w:id="0">
    <w:p w14:paraId="2F04D311" w14:textId="77777777" w:rsidR="00973ED8" w:rsidRDefault="00973ED8" w:rsidP="009923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Vrinda">
    <w:altName w:val="Courier New"/>
    <w:panose1 w:val="000004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425EAB" w14:textId="77777777" w:rsidR="00973ED8" w:rsidRDefault="00973ED8" w:rsidP="009923C6">
      <w:pPr>
        <w:spacing w:after="0" w:line="240" w:lineRule="auto"/>
      </w:pPr>
      <w:r>
        <w:separator/>
      </w:r>
    </w:p>
  </w:footnote>
  <w:footnote w:type="continuationSeparator" w:id="0">
    <w:p w14:paraId="55396DD8" w14:textId="77777777" w:rsidR="00973ED8" w:rsidRDefault="00973ED8" w:rsidP="009923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61401"/>
    <w:multiLevelType w:val="hybridMultilevel"/>
    <w:tmpl w:val="EE10859C"/>
    <w:lvl w:ilvl="0" w:tplc="2B98C5A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279667C3"/>
    <w:multiLevelType w:val="hybridMultilevel"/>
    <w:tmpl w:val="1250E6EC"/>
    <w:lvl w:ilvl="0" w:tplc="D7D0BDA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7UEIkMTcxNjM3MzAyUdpeDU4uLM/DyQArNaAJd2xUcsAAAA"/>
  </w:docVars>
  <w:rsids>
    <w:rsidRoot w:val="00A66D08"/>
    <w:rsid w:val="000247DF"/>
    <w:rsid w:val="00030844"/>
    <w:rsid w:val="000334B6"/>
    <w:rsid w:val="000620E7"/>
    <w:rsid w:val="00070804"/>
    <w:rsid w:val="000E4992"/>
    <w:rsid w:val="00110221"/>
    <w:rsid w:val="00115A0B"/>
    <w:rsid w:val="00117819"/>
    <w:rsid w:val="001430BE"/>
    <w:rsid w:val="00146ACF"/>
    <w:rsid w:val="00181D12"/>
    <w:rsid w:val="00183F7F"/>
    <w:rsid w:val="00196890"/>
    <w:rsid w:val="001A0BF6"/>
    <w:rsid w:val="001A47EC"/>
    <w:rsid w:val="001A63A6"/>
    <w:rsid w:val="001D0F5C"/>
    <w:rsid w:val="001D6B06"/>
    <w:rsid w:val="001E2EC6"/>
    <w:rsid w:val="002241CD"/>
    <w:rsid w:val="00226880"/>
    <w:rsid w:val="00232E5F"/>
    <w:rsid w:val="00283DE0"/>
    <w:rsid w:val="002A1825"/>
    <w:rsid w:val="002B2E7B"/>
    <w:rsid w:val="002C1960"/>
    <w:rsid w:val="002E6D74"/>
    <w:rsid w:val="00330838"/>
    <w:rsid w:val="00331CEE"/>
    <w:rsid w:val="00332457"/>
    <w:rsid w:val="00343EEA"/>
    <w:rsid w:val="003536FD"/>
    <w:rsid w:val="00376769"/>
    <w:rsid w:val="00382738"/>
    <w:rsid w:val="003A0C7C"/>
    <w:rsid w:val="003A118C"/>
    <w:rsid w:val="003B2D74"/>
    <w:rsid w:val="003C7EF9"/>
    <w:rsid w:val="003D18E3"/>
    <w:rsid w:val="003D33C4"/>
    <w:rsid w:val="003D4F74"/>
    <w:rsid w:val="003F3DCF"/>
    <w:rsid w:val="003F622C"/>
    <w:rsid w:val="0041639F"/>
    <w:rsid w:val="00447F37"/>
    <w:rsid w:val="0047559C"/>
    <w:rsid w:val="00482EE6"/>
    <w:rsid w:val="004C051E"/>
    <w:rsid w:val="004C215F"/>
    <w:rsid w:val="004C47EC"/>
    <w:rsid w:val="004D6F1A"/>
    <w:rsid w:val="004E45A2"/>
    <w:rsid w:val="004F01C9"/>
    <w:rsid w:val="00513D32"/>
    <w:rsid w:val="00520421"/>
    <w:rsid w:val="005304AD"/>
    <w:rsid w:val="00531ADE"/>
    <w:rsid w:val="00532CC6"/>
    <w:rsid w:val="00536714"/>
    <w:rsid w:val="005401B4"/>
    <w:rsid w:val="005862AB"/>
    <w:rsid w:val="005915DC"/>
    <w:rsid w:val="00595F1B"/>
    <w:rsid w:val="005B29F8"/>
    <w:rsid w:val="005C3CE5"/>
    <w:rsid w:val="005D304C"/>
    <w:rsid w:val="005D3C1A"/>
    <w:rsid w:val="005E2DF5"/>
    <w:rsid w:val="005E4F6E"/>
    <w:rsid w:val="00610F6C"/>
    <w:rsid w:val="00613A82"/>
    <w:rsid w:val="00627D59"/>
    <w:rsid w:val="00632F16"/>
    <w:rsid w:val="00643AE4"/>
    <w:rsid w:val="00643E28"/>
    <w:rsid w:val="0065751C"/>
    <w:rsid w:val="006708BC"/>
    <w:rsid w:val="00675D5C"/>
    <w:rsid w:val="0069529A"/>
    <w:rsid w:val="00696CDD"/>
    <w:rsid w:val="006A2BBD"/>
    <w:rsid w:val="006B42C9"/>
    <w:rsid w:val="007131E6"/>
    <w:rsid w:val="00740CEC"/>
    <w:rsid w:val="00744E7B"/>
    <w:rsid w:val="007451F2"/>
    <w:rsid w:val="00754FA5"/>
    <w:rsid w:val="00767D88"/>
    <w:rsid w:val="00773BDF"/>
    <w:rsid w:val="00780CF7"/>
    <w:rsid w:val="007A50B2"/>
    <w:rsid w:val="007B1166"/>
    <w:rsid w:val="007C2E31"/>
    <w:rsid w:val="007C613F"/>
    <w:rsid w:val="007D6EAF"/>
    <w:rsid w:val="007F6C26"/>
    <w:rsid w:val="00826940"/>
    <w:rsid w:val="008273B9"/>
    <w:rsid w:val="00827999"/>
    <w:rsid w:val="0084496D"/>
    <w:rsid w:val="0085783B"/>
    <w:rsid w:val="00871E18"/>
    <w:rsid w:val="00887639"/>
    <w:rsid w:val="008A6DA4"/>
    <w:rsid w:val="008A7B58"/>
    <w:rsid w:val="008B23D8"/>
    <w:rsid w:val="008F196E"/>
    <w:rsid w:val="008F6017"/>
    <w:rsid w:val="00901747"/>
    <w:rsid w:val="00901FED"/>
    <w:rsid w:val="00902D7F"/>
    <w:rsid w:val="00922EB2"/>
    <w:rsid w:val="00924B96"/>
    <w:rsid w:val="009562BD"/>
    <w:rsid w:val="009738E2"/>
    <w:rsid w:val="00973ED8"/>
    <w:rsid w:val="00982107"/>
    <w:rsid w:val="009923C6"/>
    <w:rsid w:val="009A3FC5"/>
    <w:rsid w:val="009B26CF"/>
    <w:rsid w:val="009B3CB7"/>
    <w:rsid w:val="009C5603"/>
    <w:rsid w:val="009D479C"/>
    <w:rsid w:val="009F6EDE"/>
    <w:rsid w:val="00A33B66"/>
    <w:rsid w:val="00A6190F"/>
    <w:rsid w:val="00A66D08"/>
    <w:rsid w:val="00A70CF7"/>
    <w:rsid w:val="00AA1FE9"/>
    <w:rsid w:val="00AA567C"/>
    <w:rsid w:val="00AC7BAD"/>
    <w:rsid w:val="00AD7477"/>
    <w:rsid w:val="00B039A9"/>
    <w:rsid w:val="00B03E34"/>
    <w:rsid w:val="00B80644"/>
    <w:rsid w:val="00B80F88"/>
    <w:rsid w:val="00B92189"/>
    <w:rsid w:val="00BC0777"/>
    <w:rsid w:val="00BC17D9"/>
    <w:rsid w:val="00BC30EE"/>
    <w:rsid w:val="00BE506C"/>
    <w:rsid w:val="00BF3A80"/>
    <w:rsid w:val="00C00EE1"/>
    <w:rsid w:val="00C2141C"/>
    <w:rsid w:val="00C2499B"/>
    <w:rsid w:val="00C26ABC"/>
    <w:rsid w:val="00C462BE"/>
    <w:rsid w:val="00C62805"/>
    <w:rsid w:val="00C83BE4"/>
    <w:rsid w:val="00CB352B"/>
    <w:rsid w:val="00CC310E"/>
    <w:rsid w:val="00CE1370"/>
    <w:rsid w:val="00CE5B0F"/>
    <w:rsid w:val="00CF1F32"/>
    <w:rsid w:val="00D21FA0"/>
    <w:rsid w:val="00D24366"/>
    <w:rsid w:val="00D2445A"/>
    <w:rsid w:val="00D54B1B"/>
    <w:rsid w:val="00D748EC"/>
    <w:rsid w:val="00D84EBE"/>
    <w:rsid w:val="00DE08F6"/>
    <w:rsid w:val="00DF0C69"/>
    <w:rsid w:val="00DF3A69"/>
    <w:rsid w:val="00DF750C"/>
    <w:rsid w:val="00E2517B"/>
    <w:rsid w:val="00E252B8"/>
    <w:rsid w:val="00E329E3"/>
    <w:rsid w:val="00E462C2"/>
    <w:rsid w:val="00E53204"/>
    <w:rsid w:val="00E73900"/>
    <w:rsid w:val="00E73C6E"/>
    <w:rsid w:val="00E74B44"/>
    <w:rsid w:val="00E75E12"/>
    <w:rsid w:val="00E75F71"/>
    <w:rsid w:val="00E86728"/>
    <w:rsid w:val="00EA1C5E"/>
    <w:rsid w:val="00EA53E8"/>
    <w:rsid w:val="00EC00A8"/>
    <w:rsid w:val="00ED2176"/>
    <w:rsid w:val="00ED3E2F"/>
    <w:rsid w:val="00ED4AF8"/>
    <w:rsid w:val="00EF0B32"/>
    <w:rsid w:val="00EF485E"/>
    <w:rsid w:val="00F04040"/>
    <w:rsid w:val="00F12671"/>
    <w:rsid w:val="00F24E50"/>
    <w:rsid w:val="00F264B3"/>
    <w:rsid w:val="00F26C0B"/>
    <w:rsid w:val="00F63F95"/>
    <w:rsid w:val="00F773E1"/>
    <w:rsid w:val="00F77407"/>
    <w:rsid w:val="00F84ECD"/>
    <w:rsid w:val="00FB18F5"/>
    <w:rsid w:val="00FB7E71"/>
    <w:rsid w:val="00FD02EC"/>
    <w:rsid w:val="00FD0D77"/>
    <w:rsid w:val="00FE0CBD"/>
  </w:rsids>
  <m:mathPr>
    <m:mathFont m:val="Cambria Math"/>
    <m:brkBin m:val="before"/>
    <m:brkBinSub m:val="--"/>
    <m:smallFrac/>
    <m:dispDef/>
    <m:lMargin m:val="0"/>
    <m:rMargin m:val="0"/>
    <m:defJc m:val="centerGroup"/>
    <m:wrapIndent m:val="1440"/>
    <m:intLim m:val="subSup"/>
    <m:naryLim m:val="undOvr"/>
  </m:mathPr>
  <w:themeFontLang w:val="en-US" w:eastAsia="ko-KR" w:bidi="b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0ED089"/>
  <w15:docId w15:val="{FC6364E9-7E10-48F3-9723-2485FA94A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8"/>
        <w:lang w:val="en-US" w:eastAsia="ko-KR" w:bidi="bn-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2EC6"/>
  </w:style>
  <w:style w:type="paragraph" w:styleId="1">
    <w:name w:val="heading 1"/>
    <w:basedOn w:val="a"/>
    <w:link w:val="1Char"/>
    <w:uiPriority w:val="9"/>
    <w:qFormat/>
    <w:rsid w:val="0052042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Char"/>
    <w:uiPriority w:val="9"/>
    <w:semiHidden/>
    <w:unhideWhenUsed/>
    <w:qFormat/>
    <w:rsid w:val="00ED4AF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24366"/>
    <w:pPr>
      <w:spacing w:after="0" w:line="240" w:lineRule="auto"/>
    </w:pPr>
    <w:rPr>
      <w:rFonts w:ascii="Tahoma" w:hAnsi="Tahoma" w:cs="Tahoma"/>
      <w:sz w:val="16"/>
      <w:szCs w:val="16"/>
    </w:rPr>
  </w:style>
  <w:style w:type="character" w:customStyle="1" w:styleId="Char">
    <w:name w:val="풍선 도움말 텍스트 Char"/>
    <w:basedOn w:val="a0"/>
    <w:link w:val="a3"/>
    <w:uiPriority w:val="99"/>
    <w:semiHidden/>
    <w:rsid w:val="00D24366"/>
    <w:rPr>
      <w:rFonts w:ascii="Tahoma" w:hAnsi="Tahoma" w:cs="Tahoma"/>
      <w:sz w:val="16"/>
      <w:szCs w:val="16"/>
    </w:rPr>
  </w:style>
  <w:style w:type="paragraph" w:customStyle="1" w:styleId="RSCH01PaperTitle">
    <w:name w:val="RSC H01 Paper Title"/>
    <w:basedOn w:val="a"/>
    <w:next w:val="a"/>
    <w:link w:val="RSCH01PaperTitleChar"/>
    <w:qFormat/>
    <w:rsid w:val="005E4F6E"/>
    <w:pPr>
      <w:tabs>
        <w:tab w:val="left" w:pos="284"/>
      </w:tabs>
      <w:spacing w:before="400" w:after="160" w:line="240" w:lineRule="auto"/>
    </w:pPr>
    <w:rPr>
      <w:rFonts w:ascii="Calibri" w:eastAsia="맑은 고딕" w:hAnsi="Calibri" w:cs="Times New Roman"/>
      <w:b/>
      <w:sz w:val="29"/>
      <w:szCs w:val="32"/>
      <w:lang w:val="en-GB" w:eastAsia="en-US"/>
    </w:rPr>
  </w:style>
  <w:style w:type="character" w:customStyle="1" w:styleId="RSCH01PaperTitleChar">
    <w:name w:val="RSC H01 Paper Title Char"/>
    <w:basedOn w:val="a0"/>
    <w:link w:val="RSCH01PaperTitle"/>
    <w:rsid w:val="005E4F6E"/>
    <w:rPr>
      <w:rFonts w:ascii="Calibri" w:eastAsia="맑은 고딕" w:hAnsi="Calibri" w:cs="Times New Roman"/>
      <w:b/>
      <w:sz w:val="29"/>
      <w:szCs w:val="32"/>
      <w:lang w:val="en-GB" w:eastAsia="en-US"/>
    </w:rPr>
  </w:style>
  <w:style w:type="character" w:styleId="a4">
    <w:name w:val="Hyperlink"/>
    <w:basedOn w:val="a0"/>
    <w:uiPriority w:val="99"/>
    <w:unhideWhenUsed/>
    <w:rsid w:val="007B1166"/>
    <w:rPr>
      <w:color w:val="0000FF" w:themeColor="hyperlink"/>
      <w:u w:val="single"/>
    </w:rPr>
  </w:style>
  <w:style w:type="table" w:styleId="a5">
    <w:name w:val="Table Grid"/>
    <w:basedOn w:val="a1"/>
    <w:rsid w:val="007C6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7C613F"/>
    <w:rPr>
      <w:sz w:val="16"/>
      <w:szCs w:val="16"/>
    </w:rPr>
  </w:style>
  <w:style w:type="paragraph" w:styleId="a7">
    <w:name w:val="annotation text"/>
    <w:basedOn w:val="a"/>
    <w:link w:val="Char0"/>
    <w:uiPriority w:val="99"/>
    <w:semiHidden/>
    <w:unhideWhenUsed/>
    <w:rsid w:val="007C613F"/>
    <w:pPr>
      <w:spacing w:line="240" w:lineRule="auto"/>
    </w:pPr>
    <w:rPr>
      <w:sz w:val="20"/>
      <w:szCs w:val="20"/>
    </w:rPr>
  </w:style>
  <w:style w:type="character" w:customStyle="1" w:styleId="Char0">
    <w:name w:val="메모 텍스트 Char"/>
    <w:basedOn w:val="a0"/>
    <w:link w:val="a7"/>
    <w:uiPriority w:val="99"/>
    <w:semiHidden/>
    <w:rsid w:val="007C613F"/>
    <w:rPr>
      <w:sz w:val="20"/>
      <w:szCs w:val="20"/>
    </w:rPr>
  </w:style>
  <w:style w:type="paragraph" w:styleId="a8">
    <w:name w:val="annotation subject"/>
    <w:basedOn w:val="a7"/>
    <w:next w:val="a7"/>
    <w:link w:val="Char1"/>
    <w:uiPriority w:val="99"/>
    <w:semiHidden/>
    <w:unhideWhenUsed/>
    <w:rsid w:val="007C613F"/>
    <w:rPr>
      <w:b/>
      <w:bCs/>
    </w:rPr>
  </w:style>
  <w:style w:type="character" w:customStyle="1" w:styleId="Char1">
    <w:name w:val="메모 주제 Char"/>
    <w:basedOn w:val="Char0"/>
    <w:link w:val="a8"/>
    <w:uiPriority w:val="99"/>
    <w:semiHidden/>
    <w:rsid w:val="007C613F"/>
    <w:rPr>
      <w:b/>
      <w:bCs/>
      <w:sz w:val="20"/>
      <w:szCs w:val="20"/>
    </w:rPr>
  </w:style>
  <w:style w:type="character" w:customStyle="1" w:styleId="1Char">
    <w:name w:val="제목 1 Char"/>
    <w:basedOn w:val="a0"/>
    <w:link w:val="1"/>
    <w:uiPriority w:val="9"/>
    <w:rsid w:val="00520421"/>
    <w:rPr>
      <w:rFonts w:ascii="Times New Roman" w:eastAsia="Times New Roman" w:hAnsi="Times New Roman" w:cs="Times New Roman"/>
      <w:b/>
      <w:bCs/>
      <w:kern w:val="36"/>
      <w:sz w:val="48"/>
      <w:szCs w:val="48"/>
      <w:lang w:bidi="bn-IN"/>
    </w:rPr>
  </w:style>
  <w:style w:type="character" w:customStyle="1" w:styleId="title-text">
    <w:name w:val="title-text"/>
    <w:basedOn w:val="a0"/>
    <w:rsid w:val="00ED4AF8"/>
  </w:style>
  <w:style w:type="character" w:customStyle="1" w:styleId="2Char">
    <w:name w:val="제목 2 Char"/>
    <w:basedOn w:val="a0"/>
    <w:link w:val="2"/>
    <w:uiPriority w:val="9"/>
    <w:semiHidden/>
    <w:rsid w:val="00ED4AF8"/>
    <w:rPr>
      <w:rFonts w:asciiTheme="majorHAnsi" w:eastAsiaTheme="majorEastAsia" w:hAnsiTheme="majorHAnsi" w:cstheme="majorBidi"/>
      <w:b/>
      <w:bCs/>
      <w:color w:val="4F81BD" w:themeColor="accent1"/>
      <w:sz w:val="26"/>
      <w:szCs w:val="26"/>
    </w:rPr>
  </w:style>
  <w:style w:type="paragraph" w:styleId="a9">
    <w:name w:val="Revision"/>
    <w:hidden/>
    <w:uiPriority w:val="99"/>
    <w:semiHidden/>
    <w:rsid w:val="00ED2176"/>
    <w:pPr>
      <w:spacing w:after="0" w:line="240" w:lineRule="auto"/>
    </w:pPr>
  </w:style>
  <w:style w:type="character" w:customStyle="1" w:styleId="sr-only">
    <w:name w:val="sr-only"/>
    <w:basedOn w:val="a0"/>
    <w:rsid w:val="001D0F5C"/>
  </w:style>
  <w:style w:type="character" w:customStyle="1" w:styleId="text">
    <w:name w:val="text"/>
    <w:basedOn w:val="a0"/>
    <w:rsid w:val="001D0F5C"/>
  </w:style>
  <w:style w:type="paragraph" w:customStyle="1" w:styleId="MDPI32textnoindent">
    <w:name w:val="MDPI_3.2_text_no_indent"/>
    <w:basedOn w:val="a"/>
    <w:qFormat/>
    <w:rsid w:val="00871E18"/>
    <w:pPr>
      <w:adjustRightInd w:val="0"/>
      <w:snapToGrid w:val="0"/>
      <w:spacing w:after="0" w:line="260" w:lineRule="atLeast"/>
      <w:jc w:val="both"/>
    </w:pPr>
    <w:rPr>
      <w:rFonts w:ascii="Palatino Linotype" w:eastAsia="Times New Roman" w:hAnsi="Palatino Linotype" w:cs="Times New Roman"/>
      <w:snapToGrid w:val="0"/>
      <w:color w:val="000000"/>
      <w:sz w:val="20"/>
      <w:lang w:eastAsia="de-DE" w:bidi="en-US"/>
    </w:rPr>
  </w:style>
  <w:style w:type="paragraph" w:styleId="aa">
    <w:name w:val="List Paragraph"/>
    <w:basedOn w:val="a"/>
    <w:uiPriority w:val="34"/>
    <w:qFormat/>
    <w:rsid w:val="00675D5C"/>
    <w:pPr>
      <w:ind w:leftChars="400" w:left="800"/>
    </w:pPr>
  </w:style>
  <w:style w:type="paragraph" w:styleId="ab">
    <w:name w:val="header"/>
    <w:basedOn w:val="a"/>
    <w:link w:val="Char2"/>
    <w:uiPriority w:val="99"/>
    <w:unhideWhenUsed/>
    <w:rsid w:val="009923C6"/>
    <w:pPr>
      <w:tabs>
        <w:tab w:val="center" w:pos="4513"/>
        <w:tab w:val="right" w:pos="9026"/>
      </w:tabs>
      <w:snapToGrid w:val="0"/>
    </w:pPr>
  </w:style>
  <w:style w:type="character" w:customStyle="1" w:styleId="Char2">
    <w:name w:val="머리글 Char"/>
    <w:basedOn w:val="a0"/>
    <w:link w:val="ab"/>
    <w:uiPriority w:val="99"/>
    <w:rsid w:val="009923C6"/>
  </w:style>
  <w:style w:type="paragraph" w:styleId="ac">
    <w:name w:val="footer"/>
    <w:basedOn w:val="a"/>
    <w:link w:val="Char3"/>
    <w:uiPriority w:val="99"/>
    <w:unhideWhenUsed/>
    <w:rsid w:val="009923C6"/>
    <w:pPr>
      <w:tabs>
        <w:tab w:val="center" w:pos="4513"/>
        <w:tab w:val="right" w:pos="9026"/>
      </w:tabs>
      <w:snapToGrid w:val="0"/>
    </w:pPr>
  </w:style>
  <w:style w:type="character" w:customStyle="1" w:styleId="Char3">
    <w:name w:val="바닥글 Char"/>
    <w:basedOn w:val="a0"/>
    <w:link w:val="ac"/>
    <w:uiPriority w:val="99"/>
    <w:rsid w:val="009923C6"/>
  </w:style>
  <w:style w:type="paragraph" w:styleId="ad">
    <w:name w:val="caption"/>
    <w:basedOn w:val="a"/>
    <w:next w:val="a"/>
    <w:uiPriority w:val="35"/>
    <w:unhideWhenUsed/>
    <w:qFormat/>
    <w:rsid w:val="00A70CF7"/>
    <w:pPr>
      <w:spacing w:line="240" w:lineRule="auto"/>
    </w:pPr>
    <w:rPr>
      <w:i/>
      <w:iCs/>
      <w:color w:val="1F497D" w:themeColor="text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1409">
      <w:bodyDiv w:val="1"/>
      <w:marLeft w:val="0"/>
      <w:marRight w:val="0"/>
      <w:marTop w:val="0"/>
      <w:marBottom w:val="0"/>
      <w:divBdr>
        <w:top w:val="none" w:sz="0" w:space="0" w:color="auto"/>
        <w:left w:val="none" w:sz="0" w:space="0" w:color="auto"/>
        <w:bottom w:val="none" w:sz="0" w:space="0" w:color="auto"/>
        <w:right w:val="none" w:sz="0" w:space="0" w:color="auto"/>
      </w:divBdr>
    </w:div>
    <w:div w:id="139343786">
      <w:bodyDiv w:val="1"/>
      <w:marLeft w:val="0"/>
      <w:marRight w:val="0"/>
      <w:marTop w:val="0"/>
      <w:marBottom w:val="0"/>
      <w:divBdr>
        <w:top w:val="none" w:sz="0" w:space="0" w:color="auto"/>
        <w:left w:val="none" w:sz="0" w:space="0" w:color="auto"/>
        <w:bottom w:val="none" w:sz="0" w:space="0" w:color="auto"/>
        <w:right w:val="none" w:sz="0" w:space="0" w:color="auto"/>
      </w:divBdr>
      <w:divsChild>
        <w:div w:id="1118181568">
          <w:marLeft w:val="0"/>
          <w:marRight w:val="0"/>
          <w:marTop w:val="225"/>
          <w:marBottom w:val="225"/>
          <w:divBdr>
            <w:top w:val="none" w:sz="0" w:space="0" w:color="auto"/>
            <w:left w:val="none" w:sz="0" w:space="0" w:color="auto"/>
            <w:bottom w:val="none" w:sz="0" w:space="0" w:color="auto"/>
            <w:right w:val="none" w:sz="0" w:space="0" w:color="auto"/>
          </w:divBdr>
          <w:divsChild>
            <w:div w:id="342781071">
              <w:marLeft w:val="0"/>
              <w:marRight w:val="0"/>
              <w:marTop w:val="0"/>
              <w:marBottom w:val="0"/>
              <w:divBdr>
                <w:top w:val="none" w:sz="0" w:space="0" w:color="auto"/>
                <w:left w:val="none" w:sz="0" w:space="0" w:color="auto"/>
                <w:bottom w:val="none" w:sz="0" w:space="0" w:color="auto"/>
                <w:right w:val="none" w:sz="0" w:space="0" w:color="auto"/>
              </w:divBdr>
              <w:divsChild>
                <w:div w:id="44915222">
                  <w:marLeft w:val="0"/>
                  <w:marRight w:val="0"/>
                  <w:marTop w:val="0"/>
                  <w:marBottom w:val="0"/>
                  <w:divBdr>
                    <w:top w:val="none" w:sz="0" w:space="0" w:color="auto"/>
                    <w:left w:val="none" w:sz="0" w:space="0" w:color="auto"/>
                    <w:bottom w:val="none" w:sz="0" w:space="0" w:color="auto"/>
                    <w:right w:val="none" w:sz="0" w:space="0" w:color="auto"/>
                  </w:divBdr>
                  <w:divsChild>
                    <w:div w:id="764495408">
                      <w:marLeft w:val="0"/>
                      <w:marRight w:val="0"/>
                      <w:marTop w:val="0"/>
                      <w:marBottom w:val="0"/>
                      <w:divBdr>
                        <w:top w:val="none" w:sz="0" w:space="0" w:color="auto"/>
                        <w:left w:val="none" w:sz="0" w:space="0" w:color="auto"/>
                        <w:bottom w:val="none" w:sz="0" w:space="0" w:color="auto"/>
                        <w:right w:val="none" w:sz="0" w:space="0" w:color="auto"/>
                      </w:divBdr>
                    </w:div>
                    <w:div w:id="712389250">
                      <w:marLeft w:val="0"/>
                      <w:marRight w:val="0"/>
                      <w:marTop w:val="0"/>
                      <w:marBottom w:val="0"/>
                      <w:divBdr>
                        <w:top w:val="none" w:sz="0" w:space="0" w:color="auto"/>
                        <w:left w:val="none" w:sz="0" w:space="0" w:color="auto"/>
                        <w:bottom w:val="none" w:sz="0" w:space="0" w:color="auto"/>
                        <w:right w:val="none" w:sz="0" w:space="0" w:color="auto"/>
                      </w:divBdr>
                    </w:div>
                    <w:div w:id="1245990057">
                      <w:marLeft w:val="0"/>
                      <w:marRight w:val="0"/>
                      <w:marTop w:val="0"/>
                      <w:marBottom w:val="0"/>
                      <w:divBdr>
                        <w:top w:val="none" w:sz="0" w:space="0" w:color="auto"/>
                        <w:left w:val="none" w:sz="0" w:space="0" w:color="auto"/>
                        <w:bottom w:val="none" w:sz="0" w:space="0" w:color="auto"/>
                        <w:right w:val="none" w:sz="0" w:space="0" w:color="auto"/>
                      </w:divBdr>
                    </w:div>
                    <w:div w:id="321545747">
                      <w:marLeft w:val="0"/>
                      <w:marRight w:val="0"/>
                      <w:marTop w:val="0"/>
                      <w:marBottom w:val="0"/>
                      <w:divBdr>
                        <w:top w:val="none" w:sz="0" w:space="0" w:color="auto"/>
                        <w:left w:val="none" w:sz="0" w:space="0" w:color="auto"/>
                        <w:bottom w:val="none" w:sz="0" w:space="0" w:color="auto"/>
                        <w:right w:val="none" w:sz="0" w:space="0" w:color="auto"/>
                      </w:divBdr>
                    </w:div>
                    <w:div w:id="162821232">
                      <w:marLeft w:val="0"/>
                      <w:marRight w:val="0"/>
                      <w:marTop w:val="0"/>
                      <w:marBottom w:val="0"/>
                      <w:divBdr>
                        <w:top w:val="none" w:sz="0" w:space="0" w:color="auto"/>
                        <w:left w:val="none" w:sz="0" w:space="0" w:color="auto"/>
                        <w:bottom w:val="none" w:sz="0" w:space="0" w:color="auto"/>
                        <w:right w:val="none" w:sz="0" w:space="0" w:color="auto"/>
                      </w:divBdr>
                    </w:div>
                    <w:div w:id="708068128">
                      <w:marLeft w:val="0"/>
                      <w:marRight w:val="0"/>
                      <w:marTop w:val="0"/>
                      <w:marBottom w:val="0"/>
                      <w:divBdr>
                        <w:top w:val="none" w:sz="0" w:space="0" w:color="auto"/>
                        <w:left w:val="none" w:sz="0" w:space="0" w:color="auto"/>
                        <w:bottom w:val="none" w:sz="0" w:space="0" w:color="auto"/>
                        <w:right w:val="none" w:sz="0" w:space="0" w:color="auto"/>
                      </w:divBdr>
                    </w:div>
                    <w:div w:id="750393873">
                      <w:marLeft w:val="0"/>
                      <w:marRight w:val="0"/>
                      <w:marTop w:val="0"/>
                      <w:marBottom w:val="0"/>
                      <w:divBdr>
                        <w:top w:val="none" w:sz="0" w:space="0" w:color="auto"/>
                        <w:left w:val="none" w:sz="0" w:space="0" w:color="auto"/>
                        <w:bottom w:val="none" w:sz="0" w:space="0" w:color="auto"/>
                        <w:right w:val="none" w:sz="0" w:space="0" w:color="auto"/>
                      </w:divBdr>
                    </w:div>
                    <w:div w:id="93015220">
                      <w:marLeft w:val="0"/>
                      <w:marRight w:val="0"/>
                      <w:marTop w:val="0"/>
                      <w:marBottom w:val="0"/>
                      <w:divBdr>
                        <w:top w:val="none" w:sz="0" w:space="0" w:color="auto"/>
                        <w:left w:val="none" w:sz="0" w:space="0" w:color="auto"/>
                        <w:bottom w:val="none" w:sz="0" w:space="0" w:color="auto"/>
                        <w:right w:val="none" w:sz="0" w:space="0" w:color="auto"/>
                      </w:divBdr>
                    </w:div>
                    <w:div w:id="1122455336">
                      <w:marLeft w:val="0"/>
                      <w:marRight w:val="0"/>
                      <w:marTop w:val="0"/>
                      <w:marBottom w:val="0"/>
                      <w:divBdr>
                        <w:top w:val="none" w:sz="0" w:space="0" w:color="auto"/>
                        <w:left w:val="none" w:sz="0" w:space="0" w:color="auto"/>
                        <w:bottom w:val="none" w:sz="0" w:space="0" w:color="auto"/>
                        <w:right w:val="none" w:sz="0" w:space="0" w:color="auto"/>
                      </w:divBdr>
                    </w:div>
                    <w:div w:id="1391466366">
                      <w:marLeft w:val="0"/>
                      <w:marRight w:val="0"/>
                      <w:marTop w:val="0"/>
                      <w:marBottom w:val="0"/>
                      <w:divBdr>
                        <w:top w:val="none" w:sz="0" w:space="0" w:color="auto"/>
                        <w:left w:val="none" w:sz="0" w:space="0" w:color="auto"/>
                        <w:bottom w:val="none" w:sz="0" w:space="0" w:color="auto"/>
                        <w:right w:val="none" w:sz="0" w:space="0" w:color="auto"/>
                      </w:divBdr>
                    </w:div>
                    <w:div w:id="1072891790">
                      <w:marLeft w:val="0"/>
                      <w:marRight w:val="0"/>
                      <w:marTop w:val="0"/>
                      <w:marBottom w:val="0"/>
                      <w:divBdr>
                        <w:top w:val="none" w:sz="0" w:space="0" w:color="auto"/>
                        <w:left w:val="none" w:sz="0" w:space="0" w:color="auto"/>
                        <w:bottom w:val="none" w:sz="0" w:space="0" w:color="auto"/>
                        <w:right w:val="none" w:sz="0" w:space="0" w:color="auto"/>
                      </w:divBdr>
                    </w:div>
                    <w:div w:id="175331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6116886">
      <w:bodyDiv w:val="1"/>
      <w:marLeft w:val="0"/>
      <w:marRight w:val="0"/>
      <w:marTop w:val="0"/>
      <w:marBottom w:val="0"/>
      <w:divBdr>
        <w:top w:val="none" w:sz="0" w:space="0" w:color="auto"/>
        <w:left w:val="none" w:sz="0" w:space="0" w:color="auto"/>
        <w:bottom w:val="none" w:sz="0" w:space="0" w:color="auto"/>
        <w:right w:val="none" w:sz="0" w:space="0" w:color="auto"/>
      </w:divBdr>
    </w:div>
    <w:div w:id="608970885">
      <w:bodyDiv w:val="1"/>
      <w:marLeft w:val="0"/>
      <w:marRight w:val="0"/>
      <w:marTop w:val="0"/>
      <w:marBottom w:val="0"/>
      <w:divBdr>
        <w:top w:val="none" w:sz="0" w:space="0" w:color="auto"/>
        <w:left w:val="none" w:sz="0" w:space="0" w:color="auto"/>
        <w:bottom w:val="none" w:sz="0" w:space="0" w:color="auto"/>
        <w:right w:val="none" w:sz="0" w:space="0" w:color="auto"/>
      </w:divBdr>
    </w:div>
    <w:div w:id="729036742">
      <w:bodyDiv w:val="1"/>
      <w:marLeft w:val="0"/>
      <w:marRight w:val="0"/>
      <w:marTop w:val="0"/>
      <w:marBottom w:val="0"/>
      <w:divBdr>
        <w:top w:val="none" w:sz="0" w:space="0" w:color="auto"/>
        <w:left w:val="none" w:sz="0" w:space="0" w:color="auto"/>
        <w:bottom w:val="none" w:sz="0" w:space="0" w:color="auto"/>
        <w:right w:val="none" w:sz="0" w:space="0" w:color="auto"/>
      </w:divBdr>
    </w:div>
    <w:div w:id="1153715714">
      <w:bodyDiv w:val="1"/>
      <w:marLeft w:val="0"/>
      <w:marRight w:val="0"/>
      <w:marTop w:val="0"/>
      <w:marBottom w:val="0"/>
      <w:divBdr>
        <w:top w:val="none" w:sz="0" w:space="0" w:color="auto"/>
        <w:left w:val="none" w:sz="0" w:space="0" w:color="auto"/>
        <w:bottom w:val="none" w:sz="0" w:space="0" w:color="auto"/>
        <w:right w:val="none" w:sz="0" w:space="0" w:color="auto"/>
      </w:divBdr>
    </w:div>
    <w:div w:id="1234391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EB3BD293-3120-43EB-BC8C-AE213D38E1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6</Pages>
  <Words>6942</Words>
  <Characters>39574</Characters>
  <Application>Microsoft Office Word</Application>
  <DocSecurity>0</DocSecurity>
  <Lines>329</Lines>
  <Paragraphs>92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3</cp:revision>
  <dcterms:created xsi:type="dcterms:W3CDTF">2021-08-25T06:28:00Z</dcterms:created>
  <dcterms:modified xsi:type="dcterms:W3CDTF">2021-08-26T04:54:00Z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http://www.zotero.org/styles/angewandte-chemie</vt:lpwstr>
  </property>
  <property fmtid="{D5CDD505-2E9C-101B-9397-08002B2CF9AE}" pid="7" name="Mendeley Recent Style Name 2_1">
    <vt:lpwstr>Angewandte Chemie International Edition</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http://www.zotero.org/styles/electrochimica-acta</vt:lpwstr>
  </property>
  <property fmtid="{D5CDD505-2E9C-101B-9397-08002B2CF9AE}" pid="11" name="Mendeley Recent Style Name 4_1">
    <vt:lpwstr>Electrochimica Acta</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http://www.zotero.org/styles/journal-of-colloid-and-interface-science</vt:lpwstr>
  </property>
  <property fmtid="{D5CDD505-2E9C-101B-9397-08002B2CF9AE}" pid="15" name="Mendeley Recent Style Name 6_1">
    <vt:lpwstr>Journal of Colloid And Interface Science</vt:lpwstr>
  </property>
  <property fmtid="{D5CDD505-2E9C-101B-9397-08002B2CF9AE}" pid="16" name="Mendeley Recent Style Id 7_1">
    <vt:lpwstr>http://www.zotero.org/styles/journal-of-power-sources</vt:lpwstr>
  </property>
  <property fmtid="{D5CDD505-2E9C-101B-9397-08002B2CF9AE}" pid="17" name="Mendeley Recent Style Name 7_1">
    <vt:lpwstr>Journal of Power Sources</vt:lpwstr>
  </property>
  <property fmtid="{D5CDD505-2E9C-101B-9397-08002B2CF9AE}" pid="18" name="Mendeley Recent Style Id 8_1">
    <vt:lpwstr>http://www.zotero.org/styles/national-library-of-medicine</vt:lpwstr>
  </property>
  <property fmtid="{D5CDD505-2E9C-101B-9397-08002B2CF9AE}" pid="19" name="Mendeley Recent Style Name 8_1">
    <vt:lpwstr>National Library of Medicine</vt:lpwstr>
  </property>
  <property fmtid="{D5CDD505-2E9C-101B-9397-08002B2CF9AE}" pid="20" name="Mendeley Recent Style Id 9_1">
    <vt:lpwstr>http://www.zotero.org/styles/wiley-vch-books</vt:lpwstr>
  </property>
  <property fmtid="{D5CDD505-2E9C-101B-9397-08002B2CF9AE}" pid="21" name="Mendeley Recent Style Name 9_1">
    <vt:lpwstr>Wiley-VCH books</vt:lpwstr>
  </property>
  <property fmtid="{D5CDD505-2E9C-101B-9397-08002B2CF9AE}" pid="22" name="Mendeley Document_1">
    <vt:lpwstr>True</vt:lpwstr>
  </property>
  <property fmtid="{D5CDD505-2E9C-101B-9397-08002B2CF9AE}" pid="23" name="Mendeley Unique User Id_1">
    <vt:lpwstr>0ce5cc5a-a1c5-3c15-9e84-ad2caee0c96f</vt:lpwstr>
  </property>
  <property fmtid="{D5CDD505-2E9C-101B-9397-08002B2CF9AE}" pid="24" name="Mendeley Citation Style_1">
    <vt:lpwstr>http://www.zotero.org/styles/international-journal-of-hydrogen-energy</vt:lpwstr>
  </property>
</Properties>
</file>