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97F1E" w14:textId="77777777" w:rsidR="003E6E22" w:rsidRDefault="003E6E22" w:rsidP="003E6E22">
      <w:pPr>
        <w:pStyle w:val="Heading1"/>
        <w:ind w:left="360"/>
      </w:pPr>
      <w:r>
        <w:t>Appendix</w:t>
      </w:r>
      <w:r>
        <w:rPr>
          <w:spacing w:val="-12"/>
        </w:rPr>
        <w:t xml:space="preserve"> </w:t>
      </w:r>
      <w:r>
        <w:t>A: Variable Definitions</w:t>
      </w:r>
    </w:p>
    <w:p w14:paraId="522E6F00" w14:textId="77777777" w:rsidR="003E6E22" w:rsidRDefault="003E6E22" w:rsidP="003E6E22">
      <w:pPr>
        <w:jc w:val="both"/>
        <w:rPr>
          <w:rFonts w:asciiTheme="majorBidi" w:hAnsiTheme="majorBidi" w:cstheme="majorBidi"/>
          <w:sz w:val="24"/>
          <w:szCs w:val="24"/>
        </w:rPr>
      </w:pPr>
      <w:r w:rsidRPr="00FA42D5">
        <w:rPr>
          <w:rFonts w:asciiTheme="majorBidi" w:hAnsiTheme="majorBidi" w:cstheme="majorBidi"/>
          <w:sz w:val="24"/>
          <w:szCs w:val="24"/>
        </w:rPr>
        <w:br/>
      </w:r>
      <w:r w:rsidRPr="00FA42D5">
        <w:rPr>
          <w:rFonts w:asciiTheme="majorBidi" w:hAnsiTheme="majorBidi" w:cstheme="majorBidi"/>
          <w:i/>
          <w:iCs/>
          <w:sz w:val="24"/>
          <w:szCs w:val="24"/>
        </w:rPr>
        <w:t>Table. Definitions of Variables Used in the Study</w:t>
      </w:r>
    </w:p>
    <w:tbl>
      <w:tblPr>
        <w:tblStyle w:val="Ombrageclair1"/>
        <w:tblW w:w="10778" w:type="dxa"/>
        <w:tblInd w:w="-847" w:type="dxa"/>
        <w:tblLayout w:type="fixed"/>
        <w:tblLook w:val="04A0" w:firstRow="1" w:lastRow="0" w:firstColumn="1" w:lastColumn="0" w:noHBand="0" w:noVBand="1"/>
      </w:tblPr>
      <w:tblGrid>
        <w:gridCol w:w="2127"/>
        <w:gridCol w:w="1275"/>
        <w:gridCol w:w="5103"/>
        <w:gridCol w:w="688"/>
        <w:gridCol w:w="1585"/>
      </w:tblGrid>
      <w:tr w:rsidR="003E6E22" w:rsidRPr="00D64BBF" w14:paraId="7CDCE739" w14:textId="77777777" w:rsidTr="00F238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14:paraId="5A652951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bookmarkStart w:id="0" w:name="_Hlk211613922"/>
            <w:r w:rsidRPr="00D64BBF">
              <w:rPr>
                <w:rFonts w:asciiTheme="majorBidi" w:hAnsiTheme="majorBidi" w:cstheme="majorBidi"/>
                <w:sz w:val="20"/>
                <w:szCs w:val="20"/>
              </w:rPr>
              <w:t>Variable</w:t>
            </w:r>
          </w:p>
        </w:tc>
        <w:tc>
          <w:tcPr>
            <w:tcW w:w="1275" w:type="dxa"/>
            <w:hideMark/>
          </w:tcPr>
          <w:p w14:paraId="75EEEBDA" w14:textId="77777777" w:rsidR="003E6E22" w:rsidRPr="00D64BBF" w:rsidRDefault="003E6E22" w:rsidP="00F2383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Symbol</w:t>
            </w:r>
          </w:p>
        </w:tc>
        <w:tc>
          <w:tcPr>
            <w:tcW w:w="5103" w:type="dxa"/>
            <w:hideMark/>
          </w:tcPr>
          <w:p w14:paraId="69DB0BD2" w14:textId="77777777" w:rsidR="003E6E22" w:rsidRPr="00D64BBF" w:rsidRDefault="003E6E22" w:rsidP="00F2383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Definition / Measurement</w:t>
            </w:r>
          </w:p>
        </w:tc>
        <w:tc>
          <w:tcPr>
            <w:tcW w:w="688" w:type="dxa"/>
            <w:hideMark/>
          </w:tcPr>
          <w:p w14:paraId="13615A6C" w14:textId="77777777" w:rsidR="003E6E22" w:rsidRPr="00D64BBF" w:rsidRDefault="003E6E22" w:rsidP="00F2383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Expected Sign</w:t>
            </w:r>
          </w:p>
        </w:tc>
        <w:tc>
          <w:tcPr>
            <w:tcW w:w="1585" w:type="dxa"/>
            <w:hideMark/>
          </w:tcPr>
          <w:p w14:paraId="18D6A0A0" w14:textId="77777777" w:rsidR="003E6E22" w:rsidRPr="00D64BBF" w:rsidRDefault="003E6E22" w:rsidP="00F2383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Source</w:t>
            </w:r>
          </w:p>
        </w:tc>
      </w:tr>
      <w:tr w:rsidR="003E6E22" w:rsidRPr="00D64BBF" w14:paraId="3B2AF11C" w14:textId="77777777" w:rsidTr="00F2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hideMark/>
          </w:tcPr>
          <w:p w14:paraId="419F7263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Dependent Variables</w:t>
            </w:r>
          </w:p>
        </w:tc>
        <w:tc>
          <w:tcPr>
            <w:tcW w:w="1275" w:type="dxa"/>
            <w:shd w:val="clear" w:color="auto" w:fill="auto"/>
            <w:hideMark/>
          </w:tcPr>
          <w:p w14:paraId="1CF42366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  <w:hideMark/>
          </w:tcPr>
          <w:p w14:paraId="5CFEB4F4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8" w:type="dxa"/>
            <w:shd w:val="clear" w:color="auto" w:fill="auto"/>
            <w:hideMark/>
          </w:tcPr>
          <w:p w14:paraId="3270D79F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85" w:type="dxa"/>
            <w:shd w:val="clear" w:color="auto" w:fill="auto"/>
            <w:hideMark/>
          </w:tcPr>
          <w:p w14:paraId="2E0CC694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E6E22" w:rsidRPr="00D64BBF" w14:paraId="10D28515" w14:textId="77777777" w:rsidTr="00F2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14:paraId="797094BD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Investment Efficiency</w:t>
            </w:r>
          </w:p>
        </w:tc>
        <w:tc>
          <w:tcPr>
            <w:tcW w:w="1275" w:type="dxa"/>
            <w:hideMark/>
          </w:tcPr>
          <w:p w14:paraId="6F070121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Effi</w:t>
            </w:r>
          </w:p>
        </w:tc>
        <w:tc>
          <w:tcPr>
            <w:tcW w:w="5103" w:type="dxa"/>
            <w:hideMark/>
          </w:tcPr>
          <w:p w14:paraId="7AC35388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A42D5">
              <w:rPr>
                <w:rFonts w:asciiTheme="majorBidi" w:hAnsiTheme="majorBidi" w:cstheme="majorBidi"/>
                <w:sz w:val="20"/>
                <w:szCs w:val="20"/>
              </w:rPr>
              <w:t xml:space="preserve">Absolute value of residuals from the investment model (Biddle et al., 2009; Gomariz &amp; Ballesta, 2014). </w:t>
            </w:r>
            <w:r w:rsidRPr="00D64BBF">
              <w:rPr>
                <w:rFonts w:asciiTheme="majorBidi" w:hAnsiTheme="majorBidi" w:cstheme="majorBidi"/>
                <w:sz w:val="20"/>
                <w:szCs w:val="20"/>
              </w:rPr>
              <w:t>Lower residuals indicate higher efficiency.</w:t>
            </w:r>
          </w:p>
        </w:tc>
        <w:tc>
          <w:tcPr>
            <w:tcW w:w="688" w:type="dxa"/>
            <w:hideMark/>
          </w:tcPr>
          <w:p w14:paraId="3268950C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—</w:t>
            </w:r>
          </w:p>
        </w:tc>
        <w:tc>
          <w:tcPr>
            <w:tcW w:w="1585" w:type="dxa"/>
            <w:hideMark/>
          </w:tcPr>
          <w:p w14:paraId="712AC4F3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Biddle et al. (2009)</w:t>
            </w:r>
          </w:p>
        </w:tc>
      </w:tr>
      <w:tr w:rsidR="003E6E22" w:rsidRPr="00D64BBF" w14:paraId="552D9E4D" w14:textId="77777777" w:rsidTr="00F2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hideMark/>
          </w:tcPr>
          <w:p w14:paraId="77483232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Over-Investment</w:t>
            </w:r>
          </w:p>
        </w:tc>
        <w:tc>
          <w:tcPr>
            <w:tcW w:w="1275" w:type="dxa"/>
            <w:shd w:val="clear" w:color="auto" w:fill="auto"/>
            <w:hideMark/>
          </w:tcPr>
          <w:p w14:paraId="27BA9184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OverI</w:t>
            </w:r>
          </w:p>
        </w:tc>
        <w:tc>
          <w:tcPr>
            <w:tcW w:w="5103" w:type="dxa"/>
            <w:shd w:val="clear" w:color="auto" w:fill="auto"/>
            <w:hideMark/>
          </w:tcPr>
          <w:p w14:paraId="3B6D376A" w14:textId="77777777" w:rsidR="003E6E22" w:rsidRPr="00FA42D5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A42D5">
              <w:rPr>
                <w:rFonts w:asciiTheme="majorBidi" w:hAnsiTheme="majorBidi" w:cstheme="majorBidi"/>
                <w:sz w:val="20"/>
                <w:szCs w:val="20"/>
              </w:rPr>
              <w:t>Positive residuals from investment model → actual investment &gt; expected investment.</w:t>
            </w:r>
          </w:p>
        </w:tc>
        <w:tc>
          <w:tcPr>
            <w:tcW w:w="688" w:type="dxa"/>
            <w:shd w:val="clear" w:color="auto" w:fill="auto"/>
            <w:hideMark/>
          </w:tcPr>
          <w:p w14:paraId="67F3BBC4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+</w:t>
            </w:r>
          </w:p>
        </w:tc>
        <w:tc>
          <w:tcPr>
            <w:tcW w:w="1585" w:type="dxa"/>
            <w:shd w:val="clear" w:color="auto" w:fill="auto"/>
            <w:hideMark/>
          </w:tcPr>
          <w:p w14:paraId="0C773B61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Chen et al. (2011)</w:t>
            </w:r>
          </w:p>
        </w:tc>
      </w:tr>
      <w:tr w:rsidR="003E6E22" w:rsidRPr="00D64BBF" w14:paraId="135E2179" w14:textId="77777777" w:rsidTr="00F2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14:paraId="521ED44D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Under-Investment</w:t>
            </w:r>
          </w:p>
        </w:tc>
        <w:tc>
          <w:tcPr>
            <w:tcW w:w="1275" w:type="dxa"/>
            <w:hideMark/>
          </w:tcPr>
          <w:p w14:paraId="03C37022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UnderI</w:t>
            </w:r>
          </w:p>
        </w:tc>
        <w:tc>
          <w:tcPr>
            <w:tcW w:w="5103" w:type="dxa"/>
            <w:hideMark/>
          </w:tcPr>
          <w:p w14:paraId="7BB179E0" w14:textId="77777777" w:rsidR="003E6E22" w:rsidRPr="00FA42D5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A42D5">
              <w:rPr>
                <w:rFonts w:asciiTheme="majorBidi" w:hAnsiTheme="majorBidi" w:cstheme="majorBidi"/>
                <w:sz w:val="20"/>
                <w:szCs w:val="20"/>
              </w:rPr>
              <w:t>Negative residuals from investment model → actual investment &lt; expected investment.</w:t>
            </w:r>
          </w:p>
        </w:tc>
        <w:tc>
          <w:tcPr>
            <w:tcW w:w="688" w:type="dxa"/>
            <w:hideMark/>
          </w:tcPr>
          <w:p w14:paraId="629D890C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–</w:t>
            </w:r>
          </w:p>
        </w:tc>
        <w:tc>
          <w:tcPr>
            <w:tcW w:w="1585" w:type="dxa"/>
            <w:hideMark/>
          </w:tcPr>
          <w:p w14:paraId="509F892B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Chen et al. (2011)</w:t>
            </w:r>
          </w:p>
        </w:tc>
      </w:tr>
      <w:tr w:rsidR="003E6E22" w:rsidRPr="00D64BBF" w14:paraId="3616E6D6" w14:textId="77777777" w:rsidTr="00F2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hideMark/>
          </w:tcPr>
          <w:p w14:paraId="1D36D32F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Independent Variable</w:t>
            </w:r>
          </w:p>
        </w:tc>
        <w:tc>
          <w:tcPr>
            <w:tcW w:w="1275" w:type="dxa"/>
            <w:shd w:val="clear" w:color="auto" w:fill="auto"/>
            <w:hideMark/>
          </w:tcPr>
          <w:p w14:paraId="5B507CB4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  <w:hideMark/>
          </w:tcPr>
          <w:p w14:paraId="39CCDBEF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8" w:type="dxa"/>
            <w:shd w:val="clear" w:color="auto" w:fill="auto"/>
            <w:hideMark/>
          </w:tcPr>
          <w:p w14:paraId="031E31CD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85" w:type="dxa"/>
            <w:shd w:val="clear" w:color="auto" w:fill="auto"/>
            <w:hideMark/>
          </w:tcPr>
          <w:p w14:paraId="38692E02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E6E22" w:rsidRPr="00D64BBF" w14:paraId="5B5673FE" w14:textId="77777777" w:rsidTr="00F2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14:paraId="27A25DA3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Accounting Conservatism</w:t>
            </w:r>
          </w:p>
        </w:tc>
        <w:tc>
          <w:tcPr>
            <w:tcW w:w="1275" w:type="dxa"/>
            <w:hideMark/>
          </w:tcPr>
          <w:p w14:paraId="1AEEEB0B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CONSER</w:t>
            </w:r>
          </w:p>
        </w:tc>
        <w:tc>
          <w:tcPr>
            <w:tcW w:w="5103" w:type="dxa"/>
            <w:hideMark/>
          </w:tcPr>
          <w:p w14:paraId="5ABBBAA5" w14:textId="77777777" w:rsidR="003E6E22" w:rsidRPr="00FA42D5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A42D5">
              <w:rPr>
                <w:rFonts w:asciiTheme="majorBidi" w:hAnsiTheme="majorBidi" w:cstheme="majorBidi"/>
                <w:sz w:val="20"/>
                <w:szCs w:val="20"/>
              </w:rPr>
              <w:t>C-Score (Khan &amp; Watts, 2009) based on firm-year sensitivity of earnings to bad news; higher score = stronger conditional conservatism.</w:t>
            </w:r>
          </w:p>
        </w:tc>
        <w:tc>
          <w:tcPr>
            <w:tcW w:w="688" w:type="dxa"/>
            <w:hideMark/>
          </w:tcPr>
          <w:p w14:paraId="6EF427E0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– / +</w:t>
            </w:r>
          </w:p>
        </w:tc>
        <w:tc>
          <w:tcPr>
            <w:tcW w:w="1585" w:type="dxa"/>
            <w:hideMark/>
          </w:tcPr>
          <w:p w14:paraId="27AAB7B5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Khan &amp; Watts (2009)</w:t>
            </w:r>
          </w:p>
        </w:tc>
      </w:tr>
      <w:tr w:rsidR="003E6E22" w:rsidRPr="00D64BBF" w14:paraId="3051E9DB" w14:textId="77777777" w:rsidTr="00F2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hideMark/>
          </w:tcPr>
          <w:p w14:paraId="1EACBDED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Moderating Variable</w:t>
            </w:r>
          </w:p>
        </w:tc>
        <w:tc>
          <w:tcPr>
            <w:tcW w:w="1275" w:type="dxa"/>
            <w:shd w:val="clear" w:color="auto" w:fill="auto"/>
            <w:hideMark/>
          </w:tcPr>
          <w:p w14:paraId="63FF0117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  <w:hideMark/>
          </w:tcPr>
          <w:p w14:paraId="48D9C0F2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8" w:type="dxa"/>
            <w:shd w:val="clear" w:color="auto" w:fill="auto"/>
            <w:hideMark/>
          </w:tcPr>
          <w:p w14:paraId="64CBEBD6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85" w:type="dxa"/>
            <w:shd w:val="clear" w:color="auto" w:fill="auto"/>
            <w:hideMark/>
          </w:tcPr>
          <w:p w14:paraId="7E236E78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E6E22" w:rsidRPr="00D64BBF" w14:paraId="675A8197" w14:textId="77777777" w:rsidTr="00F2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14:paraId="51853E90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Audit Quality</w:t>
            </w:r>
          </w:p>
        </w:tc>
        <w:tc>
          <w:tcPr>
            <w:tcW w:w="1275" w:type="dxa"/>
            <w:hideMark/>
          </w:tcPr>
          <w:p w14:paraId="7FBE0981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AQ</w:t>
            </w:r>
          </w:p>
        </w:tc>
        <w:tc>
          <w:tcPr>
            <w:tcW w:w="5103" w:type="dxa"/>
            <w:hideMark/>
          </w:tcPr>
          <w:p w14:paraId="387F88FC" w14:textId="77777777" w:rsidR="003E6E22" w:rsidRPr="00FA42D5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A42D5">
              <w:rPr>
                <w:rFonts w:asciiTheme="majorBidi" w:hAnsiTheme="majorBidi" w:cstheme="majorBidi"/>
                <w:sz w:val="20"/>
                <w:szCs w:val="20"/>
              </w:rPr>
              <w:t>Main proxy: Big 4 auditor = 1 if PwC, Deloitte, EY, or KPMG; 0 otherwise.</w:t>
            </w:r>
          </w:p>
        </w:tc>
        <w:tc>
          <w:tcPr>
            <w:tcW w:w="688" w:type="dxa"/>
            <w:hideMark/>
          </w:tcPr>
          <w:p w14:paraId="0FB6ED6A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+</w:t>
            </w:r>
          </w:p>
        </w:tc>
        <w:tc>
          <w:tcPr>
            <w:tcW w:w="1585" w:type="dxa"/>
            <w:hideMark/>
          </w:tcPr>
          <w:p w14:paraId="77BEA205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DeAngelo (1981); Francis (2004)</w:t>
            </w:r>
          </w:p>
        </w:tc>
      </w:tr>
      <w:tr w:rsidR="003E6E22" w:rsidRPr="00D64BBF" w14:paraId="5BA91D2D" w14:textId="77777777" w:rsidTr="00F2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hideMark/>
          </w:tcPr>
          <w:p w14:paraId="162A6DBA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hideMark/>
          </w:tcPr>
          <w:p w14:paraId="74C03350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AQ_Fees</w:t>
            </w:r>
          </w:p>
        </w:tc>
        <w:tc>
          <w:tcPr>
            <w:tcW w:w="5103" w:type="dxa"/>
            <w:shd w:val="clear" w:color="auto" w:fill="auto"/>
            <w:hideMark/>
          </w:tcPr>
          <w:p w14:paraId="0C7D6D7D" w14:textId="77777777" w:rsidR="003E6E22" w:rsidRPr="00FA42D5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A42D5">
              <w:rPr>
                <w:rFonts w:asciiTheme="majorBidi" w:hAnsiTheme="majorBidi" w:cstheme="majorBidi"/>
                <w:sz w:val="20"/>
                <w:szCs w:val="20"/>
              </w:rPr>
              <w:t>Total audit fees scaled by total assets (robustness).</w:t>
            </w:r>
          </w:p>
        </w:tc>
        <w:tc>
          <w:tcPr>
            <w:tcW w:w="688" w:type="dxa"/>
            <w:shd w:val="clear" w:color="auto" w:fill="auto"/>
            <w:hideMark/>
          </w:tcPr>
          <w:p w14:paraId="42DE1DC4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+</w:t>
            </w:r>
          </w:p>
        </w:tc>
        <w:tc>
          <w:tcPr>
            <w:tcW w:w="1585" w:type="dxa"/>
            <w:shd w:val="clear" w:color="auto" w:fill="auto"/>
            <w:hideMark/>
          </w:tcPr>
          <w:p w14:paraId="5E28BB5F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Lennox et al. (2013)</w:t>
            </w:r>
          </w:p>
        </w:tc>
      </w:tr>
      <w:tr w:rsidR="003E6E22" w:rsidRPr="00D64BBF" w14:paraId="15A75BAA" w14:textId="77777777" w:rsidTr="00F2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14:paraId="01D1363F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75" w:type="dxa"/>
            <w:hideMark/>
          </w:tcPr>
          <w:p w14:paraId="521ABBC5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AQ_Tenure</w:t>
            </w:r>
          </w:p>
        </w:tc>
        <w:tc>
          <w:tcPr>
            <w:tcW w:w="5103" w:type="dxa"/>
            <w:hideMark/>
          </w:tcPr>
          <w:p w14:paraId="66A246D7" w14:textId="77777777" w:rsidR="003E6E22" w:rsidRPr="00FA42D5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A42D5">
              <w:rPr>
                <w:rFonts w:asciiTheme="majorBidi" w:hAnsiTheme="majorBidi" w:cstheme="majorBidi"/>
                <w:sz w:val="20"/>
                <w:szCs w:val="20"/>
              </w:rPr>
              <w:t>Number of consecutive years with the same auditor (robustness).</w:t>
            </w:r>
          </w:p>
        </w:tc>
        <w:tc>
          <w:tcPr>
            <w:tcW w:w="688" w:type="dxa"/>
            <w:hideMark/>
          </w:tcPr>
          <w:p w14:paraId="7A848184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+ / –</w:t>
            </w:r>
          </w:p>
        </w:tc>
        <w:tc>
          <w:tcPr>
            <w:tcW w:w="1585" w:type="dxa"/>
            <w:hideMark/>
          </w:tcPr>
          <w:p w14:paraId="486995DF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Elaoud &amp; Jarboui (2021)</w:t>
            </w:r>
          </w:p>
        </w:tc>
      </w:tr>
      <w:tr w:rsidR="003E6E22" w:rsidRPr="00D64BBF" w14:paraId="0B2BE567" w14:textId="77777777" w:rsidTr="00F2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hideMark/>
          </w:tcPr>
          <w:p w14:paraId="50743F74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Control Variables</w:t>
            </w:r>
          </w:p>
        </w:tc>
        <w:tc>
          <w:tcPr>
            <w:tcW w:w="1275" w:type="dxa"/>
            <w:shd w:val="clear" w:color="auto" w:fill="auto"/>
            <w:hideMark/>
          </w:tcPr>
          <w:p w14:paraId="16B335E9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  <w:hideMark/>
          </w:tcPr>
          <w:p w14:paraId="7427ED47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8" w:type="dxa"/>
            <w:shd w:val="clear" w:color="auto" w:fill="auto"/>
            <w:hideMark/>
          </w:tcPr>
          <w:p w14:paraId="3AC6C17E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85" w:type="dxa"/>
            <w:shd w:val="clear" w:color="auto" w:fill="auto"/>
            <w:hideMark/>
          </w:tcPr>
          <w:p w14:paraId="75F9CC9F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E6E22" w:rsidRPr="00D64BBF" w14:paraId="3BC7D77A" w14:textId="77777777" w:rsidTr="00F2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14:paraId="2E0C5ACA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Leverage</w:t>
            </w:r>
          </w:p>
        </w:tc>
        <w:tc>
          <w:tcPr>
            <w:tcW w:w="1275" w:type="dxa"/>
            <w:hideMark/>
          </w:tcPr>
          <w:p w14:paraId="2B03BDF8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Lev</w:t>
            </w:r>
          </w:p>
        </w:tc>
        <w:tc>
          <w:tcPr>
            <w:tcW w:w="5103" w:type="dxa"/>
            <w:hideMark/>
          </w:tcPr>
          <w:p w14:paraId="499B8A9E" w14:textId="77777777" w:rsidR="003E6E22" w:rsidRPr="00FA42D5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A42D5">
              <w:rPr>
                <w:rFonts w:asciiTheme="majorBidi" w:hAnsiTheme="majorBidi" w:cstheme="majorBidi"/>
                <w:sz w:val="20"/>
                <w:szCs w:val="20"/>
              </w:rPr>
              <w:t>Total debt / total assets. Captures financial constraints and monitoring by creditors.</w:t>
            </w:r>
          </w:p>
        </w:tc>
        <w:tc>
          <w:tcPr>
            <w:tcW w:w="688" w:type="dxa"/>
            <w:hideMark/>
          </w:tcPr>
          <w:p w14:paraId="6F2199BA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–</w:t>
            </w:r>
          </w:p>
        </w:tc>
        <w:tc>
          <w:tcPr>
            <w:tcW w:w="1585" w:type="dxa"/>
            <w:hideMark/>
          </w:tcPr>
          <w:p w14:paraId="77135599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Prior studies</w:t>
            </w:r>
          </w:p>
        </w:tc>
      </w:tr>
      <w:tr w:rsidR="003E6E22" w:rsidRPr="00D64BBF" w14:paraId="7772E924" w14:textId="77777777" w:rsidTr="00F2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hideMark/>
          </w:tcPr>
          <w:p w14:paraId="7CA237C3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Return on Assets</w:t>
            </w:r>
          </w:p>
        </w:tc>
        <w:tc>
          <w:tcPr>
            <w:tcW w:w="1275" w:type="dxa"/>
            <w:shd w:val="clear" w:color="auto" w:fill="auto"/>
            <w:hideMark/>
          </w:tcPr>
          <w:p w14:paraId="764228E0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ROA</w:t>
            </w:r>
          </w:p>
        </w:tc>
        <w:tc>
          <w:tcPr>
            <w:tcW w:w="5103" w:type="dxa"/>
            <w:shd w:val="clear" w:color="auto" w:fill="auto"/>
            <w:hideMark/>
          </w:tcPr>
          <w:p w14:paraId="63270F16" w14:textId="77777777" w:rsidR="003E6E22" w:rsidRPr="00FA42D5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A42D5">
              <w:rPr>
                <w:rFonts w:asciiTheme="majorBidi" w:hAnsiTheme="majorBidi" w:cstheme="majorBidi"/>
                <w:sz w:val="20"/>
                <w:szCs w:val="20"/>
              </w:rPr>
              <w:t>Net income / total assets. Controls for firm profitability.</w:t>
            </w:r>
          </w:p>
        </w:tc>
        <w:tc>
          <w:tcPr>
            <w:tcW w:w="688" w:type="dxa"/>
            <w:shd w:val="clear" w:color="auto" w:fill="auto"/>
            <w:hideMark/>
          </w:tcPr>
          <w:p w14:paraId="6C7AA69E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+</w:t>
            </w:r>
          </w:p>
        </w:tc>
        <w:tc>
          <w:tcPr>
            <w:tcW w:w="1585" w:type="dxa"/>
            <w:shd w:val="clear" w:color="auto" w:fill="auto"/>
            <w:hideMark/>
          </w:tcPr>
          <w:p w14:paraId="3856DD41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Prior studies</w:t>
            </w:r>
          </w:p>
        </w:tc>
      </w:tr>
      <w:tr w:rsidR="003E6E22" w:rsidRPr="00D64BBF" w14:paraId="0B55F43B" w14:textId="77777777" w:rsidTr="00F2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14:paraId="0E6704D0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Firm Size</w:t>
            </w:r>
          </w:p>
        </w:tc>
        <w:tc>
          <w:tcPr>
            <w:tcW w:w="1275" w:type="dxa"/>
            <w:hideMark/>
          </w:tcPr>
          <w:p w14:paraId="2130676C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Size</w:t>
            </w:r>
          </w:p>
        </w:tc>
        <w:tc>
          <w:tcPr>
            <w:tcW w:w="5103" w:type="dxa"/>
            <w:hideMark/>
          </w:tcPr>
          <w:p w14:paraId="58FC5520" w14:textId="77777777" w:rsidR="003E6E22" w:rsidRPr="00FA42D5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A42D5">
              <w:rPr>
                <w:rFonts w:asciiTheme="majorBidi" w:hAnsiTheme="majorBidi" w:cstheme="majorBidi"/>
                <w:sz w:val="20"/>
                <w:szCs w:val="20"/>
              </w:rPr>
              <w:t>Natural logarithm of total assets.</w:t>
            </w:r>
          </w:p>
        </w:tc>
        <w:tc>
          <w:tcPr>
            <w:tcW w:w="688" w:type="dxa"/>
            <w:hideMark/>
          </w:tcPr>
          <w:p w14:paraId="635AA3FC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+</w:t>
            </w:r>
          </w:p>
        </w:tc>
        <w:tc>
          <w:tcPr>
            <w:tcW w:w="1585" w:type="dxa"/>
            <w:hideMark/>
          </w:tcPr>
          <w:p w14:paraId="2751E1F3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Prior studies</w:t>
            </w:r>
          </w:p>
        </w:tc>
      </w:tr>
      <w:tr w:rsidR="003E6E22" w:rsidRPr="00D64BBF" w14:paraId="7612B9CF" w14:textId="77777777" w:rsidTr="00F2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hideMark/>
          </w:tcPr>
          <w:p w14:paraId="7B8743D0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Sales Growth</w:t>
            </w:r>
          </w:p>
        </w:tc>
        <w:tc>
          <w:tcPr>
            <w:tcW w:w="1275" w:type="dxa"/>
            <w:shd w:val="clear" w:color="auto" w:fill="auto"/>
            <w:hideMark/>
          </w:tcPr>
          <w:p w14:paraId="0F416E3D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SalesG</w:t>
            </w:r>
          </w:p>
        </w:tc>
        <w:tc>
          <w:tcPr>
            <w:tcW w:w="5103" w:type="dxa"/>
            <w:shd w:val="clear" w:color="auto" w:fill="auto"/>
            <w:hideMark/>
          </w:tcPr>
          <w:p w14:paraId="5C2ECE62" w14:textId="77777777" w:rsidR="003E6E22" w:rsidRPr="00FA42D5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A42D5">
              <w:rPr>
                <w:rFonts w:asciiTheme="majorBidi" w:hAnsiTheme="majorBidi" w:cstheme="majorBidi"/>
                <w:sz w:val="20"/>
                <w:szCs w:val="20"/>
              </w:rPr>
              <w:t>(Salesₜ – Salesₜ₋₁) / Salesₜ₋₁. Measures growth opportunities.</w:t>
            </w:r>
          </w:p>
        </w:tc>
        <w:tc>
          <w:tcPr>
            <w:tcW w:w="688" w:type="dxa"/>
            <w:shd w:val="clear" w:color="auto" w:fill="auto"/>
            <w:hideMark/>
          </w:tcPr>
          <w:p w14:paraId="0AB07699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+</w:t>
            </w:r>
          </w:p>
        </w:tc>
        <w:tc>
          <w:tcPr>
            <w:tcW w:w="1585" w:type="dxa"/>
            <w:shd w:val="clear" w:color="auto" w:fill="auto"/>
            <w:hideMark/>
          </w:tcPr>
          <w:p w14:paraId="2EC27BC3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Prior studies</w:t>
            </w:r>
          </w:p>
        </w:tc>
      </w:tr>
      <w:bookmarkEnd w:id="0"/>
      <w:tr w:rsidR="003E6E22" w:rsidRPr="00D64BBF" w14:paraId="43895964" w14:textId="77777777" w:rsidTr="00F2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14:paraId="476F2F76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Tangibility</w:t>
            </w:r>
          </w:p>
        </w:tc>
        <w:tc>
          <w:tcPr>
            <w:tcW w:w="1275" w:type="dxa"/>
            <w:hideMark/>
          </w:tcPr>
          <w:p w14:paraId="0F7CA60D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Tang</w:t>
            </w:r>
          </w:p>
        </w:tc>
        <w:tc>
          <w:tcPr>
            <w:tcW w:w="5103" w:type="dxa"/>
            <w:hideMark/>
          </w:tcPr>
          <w:p w14:paraId="3BFAEE94" w14:textId="77777777" w:rsidR="003E6E22" w:rsidRPr="00FA42D5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A42D5">
              <w:rPr>
                <w:rFonts w:asciiTheme="majorBidi" w:hAnsiTheme="majorBidi" w:cstheme="majorBidi"/>
                <w:sz w:val="20"/>
                <w:szCs w:val="20"/>
              </w:rPr>
              <w:t>Net property, plant, and equipment / total assets.</w:t>
            </w:r>
          </w:p>
        </w:tc>
        <w:tc>
          <w:tcPr>
            <w:tcW w:w="688" w:type="dxa"/>
            <w:hideMark/>
          </w:tcPr>
          <w:p w14:paraId="249F83E7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+</w:t>
            </w:r>
          </w:p>
        </w:tc>
        <w:tc>
          <w:tcPr>
            <w:tcW w:w="1585" w:type="dxa"/>
            <w:hideMark/>
          </w:tcPr>
          <w:p w14:paraId="1693EA1F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Prior studies</w:t>
            </w:r>
          </w:p>
        </w:tc>
      </w:tr>
      <w:tr w:rsidR="003E6E22" w:rsidRPr="00D64BBF" w14:paraId="76B1F1EB" w14:textId="77777777" w:rsidTr="00F2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hideMark/>
          </w:tcPr>
          <w:p w14:paraId="073718AA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Firm Age</w:t>
            </w:r>
          </w:p>
        </w:tc>
        <w:tc>
          <w:tcPr>
            <w:tcW w:w="1275" w:type="dxa"/>
            <w:shd w:val="clear" w:color="auto" w:fill="auto"/>
            <w:hideMark/>
          </w:tcPr>
          <w:p w14:paraId="67B9E23C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LnAge</w:t>
            </w:r>
          </w:p>
        </w:tc>
        <w:tc>
          <w:tcPr>
            <w:tcW w:w="5103" w:type="dxa"/>
            <w:shd w:val="clear" w:color="auto" w:fill="auto"/>
            <w:hideMark/>
          </w:tcPr>
          <w:p w14:paraId="612905A4" w14:textId="77777777" w:rsidR="003E6E22" w:rsidRPr="00FA42D5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A42D5">
              <w:rPr>
                <w:rFonts w:asciiTheme="majorBidi" w:hAnsiTheme="majorBidi" w:cstheme="majorBidi"/>
                <w:sz w:val="20"/>
                <w:szCs w:val="20"/>
              </w:rPr>
              <w:t>Natural logarithm of firm age since incorporation.</w:t>
            </w:r>
          </w:p>
        </w:tc>
        <w:tc>
          <w:tcPr>
            <w:tcW w:w="688" w:type="dxa"/>
            <w:shd w:val="clear" w:color="auto" w:fill="auto"/>
            <w:hideMark/>
          </w:tcPr>
          <w:p w14:paraId="7DCA495A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±</w:t>
            </w:r>
          </w:p>
        </w:tc>
        <w:tc>
          <w:tcPr>
            <w:tcW w:w="1585" w:type="dxa"/>
            <w:shd w:val="clear" w:color="auto" w:fill="auto"/>
            <w:hideMark/>
          </w:tcPr>
          <w:p w14:paraId="546D0DA9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Prior studies</w:t>
            </w:r>
          </w:p>
        </w:tc>
      </w:tr>
      <w:tr w:rsidR="003E6E22" w:rsidRPr="00D64BBF" w14:paraId="49560AF0" w14:textId="77777777" w:rsidTr="00F2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14:paraId="239AC94C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Alternative Measures (Robustness)</w:t>
            </w:r>
          </w:p>
        </w:tc>
        <w:tc>
          <w:tcPr>
            <w:tcW w:w="1275" w:type="dxa"/>
            <w:hideMark/>
          </w:tcPr>
          <w:p w14:paraId="04292515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103" w:type="dxa"/>
            <w:hideMark/>
          </w:tcPr>
          <w:p w14:paraId="39803A25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8" w:type="dxa"/>
            <w:hideMark/>
          </w:tcPr>
          <w:p w14:paraId="07437B08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85" w:type="dxa"/>
            <w:hideMark/>
          </w:tcPr>
          <w:p w14:paraId="42D3905D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E6E22" w:rsidRPr="00D64BBF" w14:paraId="5E4A6A98" w14:textId="77777777" w:rsidTr="00F2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hideMark/>
          </w:tcPr>
          <w:p w14:paraId="04EE7A26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Conservatism – Basu Measure</w:t>
            </w:r>
          </w:p>
        </w:tc>
        <w:tc>
          <w:tcPr>
            <w:tcW w:w="1275" w:type="dxa"/>
            <w:shd w:val="clear" w:color="auto" w:fill="auto"/>
            <w:hideMark/>
          </w:tcPr>
          <w:p w14:paraId="4BD0B8EE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BASU</w:t>
            </w:r>
          </w:p>
        </w:tc>
        <w:tc>
          <w:tcPr>
            <w:tcW w:w="5103" w:type="dxa"/>
            <w:shd w:val="clear" w:color="auto" w:fill="auto"/>
            <w:hideMark/>
          </w:tcPr>
          <w:p w14:paraId="215353FC" w14:textId="77777777" w:rsidR="003E6E22" w:rsidRPr="00FA42D5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A42D5">
              <w:rPr>
                <w:rFonts w:asciiTheme="majorBidi" w:hAnsiTheme="majorBidi" w:cstheme="majorBidi"/>
                <w:sz w:val="20"/>
                <w:szCs w:val="20"/>
              </w:rPr>
              <w:t>Asymmetric timeliness of earnings to bad vs. good news (Basu, 1997).</w:t>
            </w:r>
          </w:p>
        </w:tc>
        <w:tc>
          <w:tcPr>
            <w:tcW w:w="688" w:type="dxa"/>
            <w:shd w:val="clear" w:color="auto" w:fill="auto"/>
            <w:hideMark/>
          </w:tcPr>
          <w:p w14:paraId="14C9B601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–</w:t>
            </w:r>
          </w:p>
        </w:tc>
        <w:tc>
          <w:tcPr>
            <w:tcW w:w="1585" w:type="dxa"/>
            <w:shd w:val="clear" w:color="auto" w:fill="auto"/>
            <w:hideMark/>
          </w:tcPr>
          <w:p w14:paraId="1957F478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Basu (1997)</w:t>
            </w:r>
          </w:p>
        </w:tc>
      </w:tr>
      <w:tr w:rsidR="003E6E22" w:rsidRPr="00D64BBF" w14:paraId="3C617581" w14:textId="77777777" w:rsidTr="00F2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14:paraId="67E8429A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Conservatism – Accrual-Based</w:t>
            </w:r>
          </w:p>
        </w:tc>
        <w:tc>
          <w:tcPr>
            <w:tcW w:w="1275" w:type="dxa"/>
            <w:hideMark/>
          </w:tcPr>
          <w:p w14:paraId="544FF1AD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GH</w:t>
            </w:r>
          </w:p>
        </w:tc>
        <w:tc>
          <w:tcPr>
            <w:tcW w:w="5103" w:type="dxa"/>
            <w:hideMark/>
          </w:tcPr>
          <w:p w14:paraId="19F74A9F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750943">
              <w:rPr>
                <w:rFonts w:asciiTheme="majorBidi" w:hAnsiTheme="majorBidi" w:cstheme="majorBidi"/>
                <w:sz w:val="20"/>
                <w:szCs w:val="20"/>
              </w:rPr>
              <w:t xml:space="preserve">–(Total Accruals / Lagged Total Assets). </w:t>
            </w:r>
            <w:r w:rsidRPr="00D64BBF">
              <w:rPr>
                <w:rFonts w:asciiTheme="majorBidi" w:hAnsiTheme="majorBidi" w:cstheme="majorBidi"/>
                <w:sz w:val="20"/>
                <w:szCs w:val="20"/>
              </w:rPr>
              <w:t>Captures unconditional conservatism.</w:t>
            </w:r>
          </w:p>
        </w:tc>
        <w:tc>
          <w:tcPr>
            <w:tcW w:w="688" w:type="dxa"/>
            <w:hideMark/>
          </w:tcPr>
          <w:p w14:paraId="3EF68842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–</w:t>
            </w:r>
          </w:p>
        </w:tc>
        <w:tc>
          <w:tcPr>
            <w:tcW w:w="1585" w:type="dxa"/>
            <w:hideMark/>
          </w:tcPr>
          <w:p w14:paraId="12D6254B" w14:textId="77777777" w:rsidR="003E6E22" w:rsidRPr="00D64BBF" w:rsidRDefault="003E6E22" w:rsidP="00F2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Givoly &amp; Hayn (2000)</w:t>
            </w:r>
          </w:p>
        </w:tc>
      </w:tr>
      <w:tr w:rsidR="003E6E22" w:rsidRPr="00D64BBF" w14:paraId="0DB00887" w14:textId="77777777" w:rsidTr="00F2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hideMark/>
          </w:tcPr>
          <w:p w14:paraId="01E5A5BE" w14:textId="77777777" w:rsidR="003E6E22" w:rsidRPr="00D64BBF" w:rsidRDefault="003E6E22" w:rsidP="00F23837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Alternative Investment Efficiency</w:t>
            </w:r>
          </w:p>
        </w:tc>
        <w:tc>
          <w:tcPr>
            <w:tcW w:w="1275" w:type="dxa"/>
            <w:shd w:val="clear" w:color="auto" w:fill="auto"/>
            <w:hideMark/>
          </w:tcPr>
          <w:p w14:paraId="62140F43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Effi_Alt</w:t>
            </w:r>
          </w:p>
        </w:tc>
        <w:tc>
          <w:tcPr>
            <w:tcW w:w="5103" w:type="dxa"/>
            <w:shd w:val="clear" w:color="auto" w:fill="auto"/>
            <w:hideMark/>
          </w:tcPr>
          <w:p w14:paraId="369A61BF" w14:textId="77777777" w:rsidR="003E6E22" w:rsidRPr="00FA42D5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A42D5">
              <w:rPr>
                <w:rFonts w:asciiTheme="majorBidi" w:hAnsiTheme="majorBidi" w:cstheme="majorBidi"/>
                <w:sz w:val="20"/>
                <w:szCs w:val="20"/>
              </w:rPr>
              <w:t xml:space="preserve">Based on Chen et al. (2011): ( Investment = </w:t>
            </w:r>
            <w:r w:rsidRPr="00D64BBF">
              <w:rPr>
                <w:rFonts w:asciiTheme="majorBidi" w:hAnsiTheme="majorBidi" w:cstheme="majorBidi"/>
                <w:sz w:val="20"/>
                <w:szCs w:val="20"/>
              </w:rPr>
              <w:t>β</w:t>
            </w:r>
            <w:r w:rsidRPr="00FA42D5">
              <w:rPr>
                <w:rFonts w:asciiTheme="majorBidi" w:hAnsiTheme="majorBidi" w:cstheme="majorBidi"/>
                <w:sz w:val="20"/>
                <w:szCs w:val="20"/>
              </w:rPr>
              <w:t xml:space="preserve">₀ + </w:t>
            </w:r>
            <w:r w:rsidRPr="00D64BBF">
              <w:rPr>
                <w:rFonts w:asciiTheme="majorBidi" w:hAnsiTheme="majorBidi" w:cstheme="majorBidi"/>
                <w:sz w:val="20"/>
                <w:szCs w:val="20"/>
              </w:rPr>
              <w:t>β</w:t>
            </w:r>
            <w:r w:rsidRPr="00FA42D5">
              <w:rPr>
                <w:rFonts w:asciiTheme="majorBidi" w:hAnsiTheme="majorBidi" w:cstheme="majorBidi"/>
                <w:sz w:val="20"/>
                <w:szCs w:val="20"/>
              </w:rPr>
              <w:t xml:space="preserve">₁NEG + </w:t>
            </w:r>
            <w:r w:rsidRPr="00D64BBF">
              <w:rPr>
                <w:rFonts w:asciiTheme="majorBidi" w:hAnsiTheme="majorBidi" w:cstheme="majorBidi"/>
                <w:sz w:val="20"/>
                <w:szCs w:val="20"/>
              </w:rPr>
              <w:t>β</w:t>
            </w:r>
            <w:r w:rsidRPr="00FA42D5">
              <w:rPr>
                <w:rFonts w:asciiTheme="majorBidi" w:hAnsiTheme="majorBidi" w:cstheme="majorBidi"/>
                <w:sz w:val="20"/>
                <w:szCs w:val="20"/>
              </w:rPr>
              <w:t xml:space="preserve">₂SalesGrowth + </w:t>
            </w:r>
            <w:r w:rsidRPr="00D64BBF">
              <w:rPr>
                <w:rFonts w:asciiTheme="majorBidi" w:hAnsiTheme="majorBidi" w:cstheme="majorBidi"/>
                <w:sz w:val="20"/>
                <w:szCs w:val="20"/>
              </w:rPr>
              <w:t>β</w:t>
            </w:r>
            <w:r w:rsidRPr="00FA42D5">
              <w:rPr>
                <w:rFonts w:asciiTheme="majorBidi" w:hAnsiTheme="majorBidi" w:cstheme="majorBidi"/>
                <w:sz w:val="20"/>
                <w:szCs w:val="20"/>
              </w:rPr>
              <w:t xml:space="preserve">₃(NEG×SalesGrowth) + </w:t>
            </w:r>
            <w:r w:rsidRPr="00D64BBF">
              <w:rPr>
                <w:rFonts w:asciiTheme="majorBidi" w:hAnsiTheme="majorBidi" w:cstheme="majorBidi"/>
                <w:sz w:val="20"/>
                <w:szCs w:val="20"/>
              </w:rPr>
              <w:t>ε</w:t>
            </w:r>
            <w:r w:rsidRPr="00FA42D5">
              <w:rPr>
                <w:rFonts w:asciiTheme="majorBidi" w:hAnsiTheme="majorBidi" w:cstheme="majorBidi"/>
                <w:sz w:val="20"/>
                <w:szCs w:val="20"/>
              </w:rPr>
              <w:t xml:space="preserve"> )</w:t>
            </w:r>
          </w:p>
        </w:tc>
        <w:tc>
          <w:tcPr>
            <w:tcW w:w="688" w:type="dxa"/>
            <w:shd w:val="clear" w:color="auto" w:fill="auto"/>
            <w:hideMark/>
          </w:tcPr>
          <w:p w14:paraId="5BA4B626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—</w:t>
            </w:r>
          </w:p>
        </w:tc>
        <w:tc>
          <w:tcPr>
            <w:tcW w:w="1585" w:type="dxa"/>
            <w:shd w:val="clear" w:color="auto" w:fill="auto"/>
            <w:hideMark/>
          </w:tcPr>
          <w:p w14:paraId="58ECC0DF" w14:textId="77777777" w:rsidR="003E6E22" w:rsidRPr="00D64BBF" w:rsidRDefault="003E6E22" w:rsidP="00F2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64BBF">
              <w:rPr>
                <w:rFonts w:asciiTheme="majorBidi" w:hAnsiTheme="majorBidi" w:cstheme="majorBidi"/>
                <w:sz w:val="20"/>
                <w:szCs w:val="20"/>
              </w:rPr>
              <w:t>Chen et al. (2011)</w:t>
            </w:r>
          </w:p>
        </w:tc>
      </w:tr>
    </w:tbl>
    <w:p w14:paraId="3543CA88" w14:textId="77777777" w:rsidR="003E6E22" w:rsidRDefault="003E6E22" w:rsidP="003E6E22"/>
    <w:p w14:paraId="04BD92AF" w14:textId="77777777" w:rsidR="003E6E22" w:rsidRDefault="003E6E22" w:rsidP="003E6E22"/>
    <w:p w14:paraId="77B0FDCA" w14:textId="77777777" w:rsidR="003E6E22" w:rsidRDefault="003E6E22" w:rsidP="003E6E22"/>
    <w:p w14:paraId="5C0533C1" w14:textId="77777777" w:rsidR="003E6E22" w:rsidRDefault="003E6E22" w:rsidP="003E6E22"/>
    <w:p w14:paraId="4E9F593D" w14:textId="77777777" w:rsidR="003E6E22" w:rsidRDefault="003E6E22" w:rsidP="003E6E22"/>
    <w:p w14:paraId="522F691A" w14:textId="77777777" w:rsidR="003E6E22" w:rsidRDefault="003E6E22" w:rsidP="003E6E22"/>
    <w:p w14:paraId="7FDFF284" w14:textId="77777777" w:rsidR="003E6E22" w:rsidRDefault="003E6E22" w:rsidP="003E6E22"/>
    <w:p w14:paraId="4D67BD9E" w14:textId="77777777" w:rsidR="003E6E22" w:rsidRDefault="003E6E22" w:rsidP="003E6E22"/>
    <w:p w14:paraId="1FE2466B" w14:textId="77777777" w:rsidR="003E6E22" w:rsidRDefault="003E6E22" w:rsidP="003E6E22"/>
    <w:p w14:paraId="46B43F8D" w14:textId="77777777" w:rsidR="003E6E22" w:rsidRDefault="003E6E22" w:rsidP="003E6E22"/>
    <w:p w14:paraId="0BF6E568" w14:textId="77777777" w:rsidR="003E6E22" w:rsidRDefault="003E6E22" w:rsidP="003E6E22"/>
    <w:p w14:paraId="19CB90D0" w14:textId="77777777" w:rsidR="003E6E22" w:rsidRDefault="003E6E22" w:rsidP="003E6E22"/>
    <w:p w14:paraId="79E2C5C8" w14:textId="77777777" w:rsidR="003E6E22" w:rsidRDefault="003E6E22" w:rsidP="003E6E22"/>
    <w:sectPr w:rsidR="003E6E22" w:rsidSect="003E6E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E22"/>
    <w:rsid w:val="003C2EF4"/>
    <w:rsid w:val="003E6E22"/>
    <w:rsid w:val="00446799"/>
    <w:rsid w:val="006A7E07"/>
    <w:rsid w:val="00701021"/>
    <w:rsid w:val="007829F5"/>
    <w:rsid w:val="00B74216"/>
    <w:rsid w:val="00D30AA0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0E224"/>
  <w15:chartTrackingRefBased/>
  <w15:docId w15:val="{BD208BC8-3E1A-41E4-A242-913CD887A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E22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6E22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6E22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6E22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6E22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6E22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6E22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6E22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6E22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6E22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6E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6E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6E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6E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6E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6E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6E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6E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6E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6E22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E6E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6E22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E6E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6E22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E6E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6E22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E6E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6E2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6E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6E22"/>
    <w:rPr>
      <w:b/>
      <w:bCs/>
      <w:smallCaps/>
      <w:color w:val="0F4761" w:themeColor="accent1" w:themeShade="BF"/>
      <w:spacing w:val="5"/>
    </w:rPr>
  </w:style>
  <w:style w:type="table" w:customStyle="1" w:styleId="Ombrageclair1">
    <w:name w:val="Ombrage clair1"/>
    <w:basedOn w:val="TableNormal"/>
    <w:uiPriority w:val="60"/>
    <w:rsid w:val="003E6E22"/>
    <w:pPr>
      <w:spacing w:after="0" w:line="240" w:lineRule="auto"/>
    </w:pPr>
    <w:rPr>
      <w:color w:val="000000" w:themeColor="text1" w:themeShade="BF"/>
      <w:kern w:val="0"/>
      <w:sz w:val="22"/>
      <w:szCs w:val="22"/>
      <w:lang w:val="fr-FR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299</Words>
  <Characters>1932</Characters>
  <Application>Microsoft Office Word</Application>
  <DocSecurity>0</DocSecurity>
  <Lines>56</Lines>
  <Paragraphs>30</Paragraphs>
  <ScaleCrop>false</ScaleCrop>
  <Company>Springer Nature</Company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2026-01-06T12:14:00Z</dcterms:created>
  <dcterms:modified xsi:type="dcterms:W3CDTF">2026-01-06T12:18:00Z</dcterms:modified>
</cp:coreProperties>
</file>