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18C85" w14:textId="77777777" w:rsidR="008F616A" w:rsidRPr="00754FAD" w:rsidRDefault="008F616A" w:rsidP="008F616A">
      <w:pPr>
        <w:suppressAutoHyphens w:val="0"/>
        <w:autoSpaceDN/>
        <w:spacing w:line="360" w:lineRule="auto"/>
        <w:jc w:val="both"/>
        <w:rPr>
          <w:rFonts w:asciiTheme="majorBidi" w:hAnsiTheme="majorBidi" w:cstheme="majorBidi"/>
          <w:b/>
          <w:bCs/>
          <w:sz w:val="24"/>
          <w:szCs w:val="24"/>
          <w:rtl/>
        </w:rPr>
      </w:pPr>
      <w:r w:rsidRPr="00754FAD">
        <w:rPr>
          <w:rFonts w:asciiTheme="majorBidi" w:hAnsiTheme="majorBidi" w:cstheme="majorBidi"/>
          <w:b/>
          <w:bCs/>
          <w:sz w:val="24"/>
          <w:szCs w:val="24"/>
        </w:rPr>
        <w:t>Table 2: Challenges, propositions</w:t>
      </w:r>
      <w:r w:rsidRPr="00754FAD">
        <w:rPr>
          <w:rFonts w:asciiTheme="majorBidi" w:hAnsiTheme="majorBidi" w:cstheme="majorBidi"/>
          <w:b/>
          <w:sz w:val="24"/>
          <w:szCs w:val="24"/>
        </w:rPr>
        <w:t xml:space="preserve"> and research agenda</w:t>
      </w:r>
    </w:p>
    <w:tbl>
      <w:tblPr>
        <w:tblStyle w:val="GridTable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1454"/>
        <w:gridCol w:w="1930"/>
        <w:gridCol w:w="3238"/>
      </w:tblGrid>
      <w:tr w:rsidR="008F616A" w:rsidRPr="00754FAD" w14:paraId="4CEEFC59" w14:textId="77777777" w:rsidTr="00743C8F">
        <w:trPr>
          <w:cnfStyle w:val="100000000000" w:firstRow="1" w:lastRow="0" w:firstColumn="0" w:lastColumn="0" w:oddVBand="0" w:evenVBand="0" w:oddHBand="0"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2485" w:type="dxa"/>
            <w:tcBorders>
              <w:top w:val="none" w:sz="0" w:space="0" w:color="auto"/>
              <w:bottom w:val="none" w:sz="0" w:space="0" w:color="auto"/>
              <w:right w:val="none" w:sz="0" w:space="0" w:color="auto"/>
            </w:tcBorders>
          </w:tcPr>
          <w:p w14:paraId="76F88249" w14:textId="77777777" w:rsidR="008F616A" w:rsidRPr="00754FAD" w:rsidRDefault="008F616A" w:rsidP="00743C8F">
            <w:pPr>
              <w:suppressAutoHyphens w:val="0"/>
              <w:autoSpaceDN/>
              <w:spacing w:line="240" w:lineRule="auto"/>
              <w:rPr>
                <w:rFonts w:asciiTheme="majorBidi" w:eastAsia="Times New Roman" w:hAnsiTheme="majorBidi" w:cstheme="majorBidi"/>
                <w:b w:val="0"/>
                <w:bCs w:val="0"/>
                <w:sz w:val="20"/>
                <w:szCs w:val="20"/>
                <w:lang w:val="en-GB" w:eastAsia="ca-ES"/>
              </w:rPr>
            </w:pPr>
            <w:r w:rsidRPr="00754FAD">
              <w:rPr>
                <w:rFonts w:asciiTheme="majorBidi" w:eastAsia="Times New Roman" w:hAnsiTheme="majorBidi" w:cstheme="majorBidi"/>
                <w:sz w:val="20"/>
                <w:szCs w:val="20"/>
                <w:lang w:val="en-GB" w:eastAsia="ca-ES"/>
              </w:rPr>
              <w:t xml:space="preserve">Data-related risk </w:t>
            </w:r>
          </w:p>
        </w:tc>
        <w:tc>
          <w:tcPr>
            <w:tcW w:w="1479" w:type="dxa"/>
            <w:tcBorders>
              <w:top w:val="none" w:sz="0" w:space="0" w:color="auto"/>
              <w:left w:val="none" w:sz="0" w:space="0" w:color="auto"/>
              <w:bottom w:val="none" w:sz="0" w:space="0" w:color="auto"/>
              <w:right w:val="none" w:sz="0" w:space="0" w:color="auto"/>
            </w:tcBorders>
          </w:tcPr>
          <w:p w14:paraId="36AB1EA9"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Focus area</w:t>
            </w:r>
          </w:p>
        </w:tc>
        <w:tc>
          <w:tcPr>
            <w:tcW w:w="1985" w:type="dxa"/>
            <w:tcBorders>
              <w:top w:val="none" w:sz="0" w:space="0" w:color="auto"/>
              <w:left w:val="none" w:sz="0" w:space="0" w:color="auto"/>
              <w:bottom w:val="none" w:sz="0" w:space="0" w:color="auto"/>
              <w:right w:val="none" w:sz="0" w:space="0" w:color="auto"/>
            </w:tcBorders>
          </w:tcPr>
          <w:p w14:paraId="5DC401D9"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 xml:space="preserve"> Key Stakeholders</w:t>
            </w:r>
          </w:p>
        </w:tc>
        <w:tc>
          <w:tcPr>
            <w:tcW w:w="3401" w:type="dxa"/>
            <w:tcBorders>
              <w:top w:val="none" w:sz="0" w:space="0" w:color="auto"/>
              <w:left w:val="none" w:sz="0" w:space="0" w:color="auto"/>
              <w:bottom w:val="none" w:sz="0" w:space="0" w:color="auto"/>
            </w:tcBorders>
            <w:hideMark/>
          </w:tcPr>
          <w:p w14:paraId="4387D479"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sz w:val="20"/>
                <w:szCs w:val="20"/>
                <w:lang w:val="en-GB" w:eastAsia="ca-ES"/>
              </w:rPr>
            </w:pPr>
            <w:r w:rsidRPr="00754FAD">
              <w:rPr>
                <w:rFonts w:asciiTheme="majorBidi" w:eastAsia="Times New Roman" w:hAnsiTheme="majorBidi" w:cstheme="majorBidi"/>
                <w:sz w:val="20"/>
                <w:szCs w:val="20"/>
                <w:lang w:val="en-GB" w:eastAsia="ca-ES"/>
              </w:rPr>
              <w:t>Research agenda</w:t>
            </w:r>
          </w:p>
        </w:tc>
      </w:tr>
      <w:tr w:rsidR="008F616A" w:rsidRPr="00754FAD" w14:paraId="40C08F2B" w14:textId="77777777" w:rsidTr="00743C8F">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2485" w:type="dxa"/>
            <w:shd w:val="clear" w:color="auto" w:fill="FFFFFF" w:themeFill="background1"/>
          </w:tcPr>
          <w:p w14:paraId="0753CCBC" w14:textId="77777777" w:rsidR="008F616A" w:rsidRPr="00754FAD" w:rsidRDefault="008F616A" w:rsidP="00743C8F">
            <w:pPr>
              <w:spacing w:line="240" w:lineRule="auto"/>
              <w:jc w:val="both"/>
              <w:rPr>
                <w:rFonts w:asciiTheme="majorBidi" w:eastAsia="Times New Roman" w:hAnsiTheme="majorBidi" w:cstheme="majorBidi"/>
                <w:b w:val="0"/>
                <w:bCs w:val="0"/>
                <w:sz w:val="20"/>
                <w:szCs w:val="20"/>
                <w:lang w:val="en-GB" w:eastAsia="ca-ES"/>
              </w:rPr>
            </w:pPr>
            <w:r w:rsidRPr="00754FAD">
              <w:rPr>
                <w:rFonts w:asciiTheme="majorBidi" w:eastAsia="Times New Roman" w:hAnsiTheme="majorBidi" w:cstheme="majorBidi"/>
                <w:b w:val="0"/>
                <w:bCs w:val="0"/>
                <w:sz w:val="20"/>
                <w:szCs w:val="20"/>
                <w:lang w:val="en-GB" w:eastAsia="ca-ES"/>
              </w:rPr>
              <w:t>P1. In the MENA financial sector, incorporating privacy-preserving and security controls into analytics pipelines, alongside enhanced ethical transparency and consent mechanisms aligned with Islamic values, strengthens customer trust and facilitates the adoption of BDA-enabled servitization models.</w:t>
            </w:r>
          </w:p>
        </w:tc>
        <w:tc>
          <w:tcPr>
            <w:tcW w:w="1479" w:type="dxa"/>
            <w:shd w:val="clear" w:color="auto" w:fill="D9D9D9" w:themeFill="background1" w:themeFillShade="D9"/>
          </w:tcPr>
          <w:p w14:paraId="34E1F914" w14:textId="77777777" w:rsidR="008F616A" w:rsidRPr="00754FAD" w:rsidRDefault="008F616A" w:rsidP="00743C8F">
            <w:pPr>
              <w:suppressAutoHyphens w:val="0"/>
              <w:autoSpaceDN/>
              <w:spacing w:line="240" w:lineRule="auto"/>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Privacy and ethics</w:t>
            </w:r>
          </w:p>
        </w:tc>
        <w:tc>
          <w:tcPr>
            <w:tcW w:w="1985" w:type="dxa"/>
            <w:shd w:val="clear" w:color="auto" w:fill="D9D9D9" w:themeFill="background1" w:themeFillShade="D9"/>
          </w:tcPr>
          <w:p w14:paraId="5C1D3142" w14:textId="77777777" w:rsidR="008F616A" w:rsidRPr="00754FAD" w:rsidRDefault="008F616A" w:rsidP="00743C8F">
            <w:pPr>
              <w:suppressAutoHyphens w:val="0"/>
              <w:autoSpaceDN/>
              <w:spacing w:line="240" w:lineRule="auto"/>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Customers</w:t>
            </w:r>
          </w:p>
        </w:tc>
        <w:tc>
          <w:tcPr>
            <w:tcW w:w="3401" w:type="dxa"/>
            <w:shd w:val="clear" w:color="auto" w:fill="D9D9D9" w:themeFill="background1" w:themeFillShade="D9"/>
            <w:hideMark/>
          </w:tcPr>
          <w:p w14:paraId="66F78545" w14:textId="77777777" w:rsidR="008F616A" w:rsidRPr="00754FAD" w:rsidRDefault="008F616A" w:rsidP="00743C8F">
            <w:pPr>
              <w:suppressAutoHyphens w:val="0"/>
              <w:autoSpaceDN/>
              <w:spacing w:line="240" w:lineRule="auto"/>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bCs/>
                <w:sz w:val="20"/>
                <w:szCs w:val="20"/>
                <w:lang w:val="en-GB" w:eastAsia="ca-ES"/>
              </w:rPr>
              <w:t>Future research should investigate how privacy and security controls can be operationalized in a manner that aligns with Islamic ethical principles, such as justice, trust, and protection from harm, within financial institutions. This includes investigating the effectiveness of culturally attuned data consent mechanisms, the role of Shari’ah advisory boards in data governance, and customer perceptions of ethical data use in BDA-enabled services across diverse MENA banking environments.</w:t>
            </w:r>
          </w:p>
        </w:tc>
      </w:tr>
      <w:tr w:rsidR="008F616A" w:rsidRPr="00754FAD" w14:paraId="7161BB18" w14:textId="77777777" w:rsidTr="00743C8F">
        <w:trPr>
          <w:trHeight w:val="2550"/>
        </w:trPr>
        <w:tc>
          <w:tcPr>
            <w:cnfStyle w:val="001000000000" w:firstRow="0" w:lastRow="0" w:firstColumn="1" w:lastColumn="0" w:oddVBand="0" w:evenVBand="0" w:oddHBand="0" w:evenHBand="0" w:firstRowFirstColumn="0" w:firstRowLastColumn="0" w:lastRowFirstColumn="0" w:lastRowLastColumn="0"/>
            <w:tcW w:w="2485" w:type="dxa"/>
            <w:shd w:val="clear" w:color="auto" w:fill="FFFFFF" w:themeFill="background1"/>
          </w:tcPr>
          <w:p w14:paraId="36413C10" w14:textId="77777777" w:rsidR="008F616A" w:rsidRPr="00754FAD" w:rsidRDefault="008F616A" w:rsidP="00743C8F">
            <w:pPr>
              <w:suppressAutoHyphens w:val="0"/>
              <w:autoSpaceDN/>
              <w:spacing w:line="240" w:lineRule="auto"/>
              <w:jc w:val="both"/>
              <w:rPr>
                <w:rFonts w:asciiTheme="majorBidi" w:eastAsia="Times New Roman" w:hAnsiTheme="majorBidi" w:cstheme="majorBidi"/>
                <w:b w:val="0"/>
                <w:bCs w:val="0"/>
                <w:sz w:val="20"/>
                <w:szCs w:val="20"/>
                <w:lang w:val="en-GB" w:eastAsia="ca-ES"/>
              </w:rPr>
            </w:pPr>
            <w:r w:rsidRPr="00754FAD">
              <w:rPr>
                <w:rFonts w:asciiTheme="majorBidi" w:eastAsia="Times New Roman" w:hAnsiTheme="majorBidi" w:cstheme="majorBidi"/>
                <w:b w:val="0"/>
                <w:bCs w:val="0"/>
                <w:sz w:val="20"/>
                <w:szCs w:val="20"/>
                <w:lang w:val="en-GB" w:eastAsia="ca-ES"/>
              </w:rPr>
              <w:t>P2. Holistic data and AI governance— encompassing data quality, model transparency, accountability, and ethical oversight —offers a more robust foundation for BDA-servitization models in financial institutions than approaches focused solely on regulatory compliance.</w:t>
            </w:r>
          </w:p>
        </w:tc>
        <w:tc>
          <w:tcPr>
            <w:tcW w:w="1479" w:type="dxa"/>
            <w:shd w:val="clear" w:color="auto" w:fill="D9D9D9" w:themeFill="background1" w:themeFillShade="D9"/>
          </w:tcPr>
          <w:p w14:paraId="7FAA0AAD"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Governance systems</w:t>
            </w:r>
          </w:p>
        </w:tc>
        <w:tc>
          <w:tcPr>
            <w:tcW w:w="1985" w:type="dxa"/>
            <w:shd w:val="clear" w:color="auto" w:fill="D9D9D9" w:themeFill="background1" w:themeFillShade="D9"/>
          </w:tcPr>
          <w:p w14:paraId="39687906"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Institutions and regulators</w:t>
            </w:r>
          </w:p>
        </w:tc>
        <w:tc>
          <w:tcPr>
            <w:tcW w:w="3401" w:type="dxa"/>
            <w:shd w:val="clear" w:color="auto" w:fill="D9D9D9" w:themeFill="background1" w:themeFillShade="D9"/>
          </w:tcPr>
          <w:p w14:paraId="77F79D7D"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Future research should examine how comprehensive governance frameworks—integrating data quality, transparency, accountability, and Shari’ah-based oversight, can be effectively implemented in MENA financial institutions, and how they compare to compliance-only approaches.</w:t>
            </w:r>
          </w:p>
        </w:tc>
      </w:tr>
      <w:tr w:rsidR="008F616A" w:rsidRPr="00754FAD" w14:paraId="39896570" w14:textId="77777777" w:rsidTr="00743C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5" w:type="dxa"/>
            <w:shd w:val="clear" w:color="auto" w:fill="FFFFFF" w:themeFill="background1"/>
          </w:tcPr>
          <w:p w14:paraId="4D537D22" w14:textId="77777777" w:rsidR="008F616A" w:rsidRPr="00754FAD" w:rsidRDefault="008F616A" w:rsidP="00743C8F">
            <w:pPr>
              <w:suppressAutoHyphens w:val="0"/>
              <w:autoSpaceDN/>
              <w:spacing w:line="240" w:lineRule="auto"/>
              <w:jc w:val="both"/>
              <w:rPr>
                <w:rFonts w:asciiTheme="majorBidi" w:eastAsia="Times New Roman" w:hAnsiTheme="majorBidi" w:cstheme="majorBidi"/>
                <w:b w:val="0"/>
                <w:bCs w:val="0"/>
                <w:sz w:val="20"/>
                <w:szCs w:val="20"/>
                <w:lang w:val="en-GB" w:eastAsia="ca-ES"/>
              </w:rPr>
            </w:pPr>
            <w:r w:rsidRPr="00754FAD">
              <w:rPr>
                <w:rFonts w:asciiTheme="majorBidi" w:eastAsia="Times New Roman" w:hAnsiTheme="majorBidi" w:cstheme="majorBidi"/>
                <w:b w:val="0"/>
                <w:bCs w:val="0"/>
                <w:sz w:val="20"/>
                <w:szCs w:val="20"/>
                <w:lang w:val="en-GB" w:eastAsia="ca-ES"/>
              </w:rPr>
              <w:t xml:space="preserve">P3. Technical safeguards contribute meaningfully to BDA-servitization only when they actively build stakeholder trust, allowing financial institutions to position BDA as a value-generating service enabler rather than a compliance-driven cost center. </w:t>
            </w:r>
          </w:p>
        </w:tc>
        <w:tc>
          <w:tcPr>
            <w:tcW w:w="1479" w:type="dxa"/>
            <w:shd w:val="clear" w:color="auto" w:fill="D9D9D9" w:themeFill="background1" w:themeFillShade="D9"/>
          </w:tcPr>
          <w:p w14:paraId="16F44D1B"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Strategic framing</w:t>
            </w:r>
          </w:p>
        </w:tc>
        <w:tc>
          <w:tcPr>
            <w:tcW w:w="1985" w:type="dxa"/>
            <w:shd w:val="clear" w:color="auto" w:fill="D9D9D9" w:themeFill="background1" w:themeFillShade="D9"/>
          </w:tcPr>
          <w:p w14:paraId="353ED0C9"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Stakeholders (internal and external)</w:t>
            </w:r>
          </w:p>
        </w:tc>
        <w:tc>
          <w:tcPr>
            <w:tcW w:w="3401" w:type="dxa"/>
            <w:shd w:val="clear" w:color="auto" w:fill="D9D9D9" w:themeFill="background1" w:themeFillShade="D9"/>
          </w:tcPr>
          <w:p w14:paraId="45DC8FE7"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Future research should explore how trust-building practices can transform BDA from a compliance function into a strategic asset, focusing on stakeholder engagement, transparent safeguards, and the long-term relationship between trust, adoption, and service innovation.</w:t>
            </w:r>
          </w:p>
        </w:tc>
      </w:tr>
    </w:tbl>
    <w:tbl>
      <w:tblPr>
        <w:tblStyle w:val="GridTable3"/>
        <w:tblW w:w="93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2"/>
        <w:gridCol w:w="1417"/>
        <w:gridCol w:w="1985"/>
        <w:gridCol w:w="3402"/>
      </w:tblGrid>
      <w:tr w:rsidR="008F616A" w:rsidRPr="00754FAD" w14:paraId="4979B440" w14:textId="77777777" w:rsidTr="00743C8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42" w:type="dxa"/>
            <w:tcBorders>
              <w:top w:val="none" w:sz="0" w:space="0" w:color="auto"/>
              <w:left w:val="none" w:sz="0" w:space="0" w:color="auto"/>
              <w:bottom w:val="none" w:sz="0" w:space="0" w:color="auto"/>
              <w:right w:val="none" w:sz="0" w:space="0" w:color="auto"/>
            </w:tcBorders>
            <w:hideMark/>
          </w:tcPr>
          <w:p w14:paraId="67054F54" w14:textId="77777777" w:rsidR="008F616A" w:rsidRPr="00754FAD" w:rsidRDefault="008F616A" w:rsidP="00743C8F">
            <w:pPr>
              <w:suppressAutoHyphens w:val="0"/>
              <w:autoSpaceDN/>
              <w:spacing w:line="240" w:lineRule="auto"/>
              <w:jc w:val="center"/>
              <w:rPr>
                <w:rFonts w:asciiTheme="majorBidi" w:eastAsia="Times New Roman" w:hAnsiTheme="majorBidi" w:cstheme="majorBidi"/>
                <w:bCs w:val="0"/>
                <w:sz w:val="24"/>
                <w:szCs w:val="24"/>
                <w:lang w:val="en-GB" w:eastAsia="ca-ES"/>
              </w:rPr>
            </w:pPr>
            <w:r w:rsidRPr="00754FAD">
              <w:rPr>
                <w:rFonts w:asciiTheme="majorBidi" w:eastAsia="Times New Roman" w:hAnsiTheme="majorBidi" w:cstheme="majorBidi"/>
                <w:sz w:val="20"/>
                <w:szCs w:val="20"/>
                <w:lang w:val="en-GB" w:eastAsia="ca-ES"/>
              </w:rPr>
              <w:t xml:space="preserve">Resource intensity </w:t>
            </w:r>
          </w:p>
        </w:tc>
        <w:tc>
          <w:tcPr>
            <w:tcW w:w="1417" w:type="dxa"/>
            <w:tcBorders>
              <w:top w:val="none" w:sz="0" w:space="0" w:color="auto"/>
              <w:left w:val="none" w:sz="0" w:space="0" w:color="auto"/>
              <w:right w:val="none" w:sz="0" w:space="0" w:color="auto"/>
            </w:tcBorders>
          </w:tcPr>
          <w:p w14:paraId="51C13AF5"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Cs w:val="0"/>
                <w:sz w:val="24"/>
                <w:szCs w:val="24"/>
                <w:lang w:val="en-GB" w:eastAsia="ca-ES"/>
              </w:rPr>
            </w:pPr>
            <w:r w:rsidRPr="00754FAD">
              <w:rPr>
                <w:rFonts w:asciiTheme="majorBidi" w:eastAsia="Times New Roman" w:hAnsiTheme="majorBidi" w:cstheme="majorBidi"/>
                <w:sz w:val="20"/>
                <w:szCs w:val="20"/>
                <w:lang w:val="en-GB" w:eastAsia="ca-ES"/>
              </w:rPr>
              <w:t>Focus area</w:t>
            </w:r>
          </w:p>
        </w:tc>
        <w:tc>
          <w:tcPr>
            <w:tcW w:w="1985" w:type="dxa"/>
            <w:tcBorders>
              <w:top w:val="none" w:sz="0" w:space="0" w:color="auto"/>
              <w:left w:val="none" w:sz="0" w:space="0" w:color="auto"/>
              <w:right w:val="none" w:sz="0" w:space="0" w:color="auto"/>
            </w:tcBorders>
          </w:tcPr>
          <w:p w14:paraId="7CFFA2FD"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Cs w:val="0"/>
                <w:sz w:val="24"/>
                <w:szCs w:val="24"/>
                <w:lang w:val="en-GB" w:eastAsia="ca-ES"/>
              </w:rPr>
            </w:pPr>
            <w:r w:rsidRPr="00754FAD">
              <w:rPr>
                <w:rFonts w:asciiTheme="majorBidi" w:eastAsia="Times New Roman" w:hAnsiTheme="majorBidi" w:cstheme="majorBidi"/>
                <w:sz w:val="20"/>
                <w:szCs w:val="20"/>
                <w:lang w:val="en-GB" w:eastAsia="ca-ES"/>
              </w:rPr>
              <w:t xml:space="preserve"> Key Stakeholders</w:t>
            </w:r>
          </w:p>
        </w:tc>
        <w:tc>
          <w:tcPr>
            <w:tcW w:w="3402" w:type="dxa"/>
            <w:tcBorders>
              <w:top w:val="none" w:sz="0" w:space="0" w:color="auto"/>
              <w:left w:val="none" w:sz="0" w:space="0" w:color="auto"/>
              <w:right w:val="none" w:sz="0" w:space="0" w:color="auto"/>
            </w:tcBorders>
            <w:hideMark/>
          </w:tcPr>
          <w:p w14:paraId="761CC9E1"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Cs w:val="0"/>
                <w:sz w:val="24"/>
                <w:szCs w:val="24"/>
                <w:lang w:val="en-GB" w:eastAsia="ca-ES"/>
              </w:rPr>
            </w:pPr>
            <w:r w:rsidRPr="00754FAD">
              <w:rPr>
                <w:rFonts w:asciiTheme="majorBidi" w:eastAsia="Times New Roman" w:hAnsiTheme="majorBidi" w:cstheme="majorBidi"/>
                <w:sz w:val="20"/>
                <w:szCs w:val="20"/>
                <w:lang w:val="en-GB" w:eastAsia="ca-ES"/>
              </w:rPr>
              <w:t>Research agenda</w:t>
            </w:r>
          </w:p>
        </w:tc>
      </w:tr>
      <w:tr w:rsidR="008F616A" w:rsidRPr="00754FAD" w14:paraId="1EE96258" w14:textId="77777777" w:rsidTr="00743C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2" w:type="dxa"/>
            <w:tcBorders>
              <w:top w:val="none" w:sz="0" w:space="0" w:color="auto"/>
              <w:left w:val="none" w:sz="0" w:space="0" w:color="auto"/>
              <w:bottom w:val="none" w:sz="0" w:space="0" w:color="auto"/>
            </w:tcBorders>
            <w:hideMark/>
          </w:tcPr>
          <w:p w14:paraId="5D04CA4C" w14:textId="77777777" w:rsidR="008F616A" w:rsidRPr="00754FAD" w:rsidRDefault="008F616A" w:rsidP="00743C8F">
            <w:pPr>
              <w:suppressAutoHyphens w:val="0"/>
              <w:autoSpaceDN/>
              <w:spacing w:line="240" w:lineRule="auto"/>
              <w:jc w:val="both"/>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P4. Strategic partnerships with fintechs, cloud providers, or reg-tech firms enhance BDA-servitization models in financial institutions by accelerating capability development—particularly when such collaborations embed safeguards aligned with Islamic principles and responsible data-sharing practices.</w:t>
            </w:r>
          </w:p>
        </w:tc>
        <w:tc>
          <w:tcPr>
            <w:tcW w:w="1417" w:type="dxa"/>
            <w:shd w:val="clear" w:color="auto" w:fill="D9D9D9" w:themeFill="background1" w:themeFillShade="D9"/>
          </w:tcPr>
          <w:p w14:paraId="1BD1B7A7"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Ethical alignment</w:t>
            </w:r>
          </w:p>
        </w:tc>
        <w:tc>
          <w:tcPr>
            <w:tcW w:w="1985" w:type="dxa"/>
            <w:shd w:val="clear" w:color="auto" w:fill="D9D9D9" w:themeFill="background1" w:themeFillShade="D9"/>
          </w:tcPr>
          <w:p w14:paraId="577F46AD"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Shari’ah boards</w:t>
            </w:r>
          </w:p>
        </w:tc>
        <w:tc>
          <w:tcPr>
            <w:tcW w:w="3402" w:type="dxa"/>
            <w:shd w:val="clear" w:color="auto" w:fill="D9D9D9" w:themeFill="background1" w:themeFillShade="D9"/>
            <w:hideMark/>
          </w:tcPr>
          <w:p w14:paraId="48C73FDA"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Investigate how Islamic financial institutions manage ethical alignment and data-sharing risks in partnerships; examine governance mechanisms like Shari’ah-compliant contracts and joint oversight; assess the impact of partnerships on trust, innovation adoption, and customer perceptions in the MENA context.</w:t>
            </w:r>
          </w:p>
        </w:tc>
      </w:tr>
      <w:tr w:rsidR="008F616A" w:rsidRPr="00754FAD" w14:paraId="52E34E48" w14:textId="77777777" w:rsidTr="00743C8F">
        <w:tc>
          <w:tcPr>
            <w:cnfStyle w:val="001000000000" w:firstRow="0" w:lastRow="0" w:firstColumn="1" w:lastColumn="0" w:oddVBand="0" w:evenVBand="0" w:oddHBand="0" w:evenHBand="0" w:firstRowFirstColumn="0" w:firstRowLastColumn="0" w:lastRowFirstColumn="0" w:lastRowLastColumn="0"/>
            <w:tcW w:w="2542" w:type="dxa"/>
            <w:tcBorders>
              <w:top w:val="none" w:sz="0" w:space="0" w:color="auto"/>
              <w:left w:val="none" w:sz="0" w:space="0" w:color="auto"/>
              <w:bottom w:val="none" w:sz="0" w:space="0" w:color="auto"/>
            </w:tcBorders>
            <w:hideMark/>
          </w:tcPr>
          <w:p w14:paraId="7A6E7CC4" w14:textId="77777777" w:rsidR="008F616A" w:rsidRPr="00754FAD" w:rsidRDefault="008F616A" w:rsidP="00743C8F">
            <w:pPr>
              <w:suppressAutoHyphens w:val="0"/>
              <w:autoSpaceDN/>
              <w:spacing w:line="240" w:lineRule="auto"/>
              <w:jc w:val="center"/>
              <w:rPr>
                <w:rFonts w:asciiTheme="majorBidi" w:eastAsia="Times New Roman" w:hAnsiTheme="majorBidi" w:cstheme="majorBidi"/>
                <w:b/>
                <w:bCs/>
                <w:sz w:val="20"/>
                <w:szCs w:val="20"/>
                <w:lang w:val="en-GB" w:eastAsia="ca-ES"/>
              </w:rPr>
            </w:pPr>
            <w:r w:rsidRPr="00754FAD">
              <w:rPr>
                <w:rFonts w:asciiTheme="majorBidi" w:eastAsia="Times New Roman" w:hAnsiTheme="majorBidi" w:cstheme="majorBidi"/>
                <w:b/>
                <w:sz w:val="20"/>
                <w:szCs w:val="20"/>
                <w:lang w:val="en-GB" w:eastAsia="ca-ES"/>
              </w:rPr>
              <w:t>Governance gaps propositions</w:t>
            </w:r>
          </w:p>
        </w:tc>
        <w:tc>
          <w:tcPr>
            <w:tcW w:w="1417" w:type="dxa"/>
          </w:tcPr>
          <w:p w14:paraId="7BB5713F" w14:textId="77777777" w:rsidR="008F616A" w:rsidRPr="00754FAD" w:rsidRDefault="008F616A" w:rsidP="00743C8F">
            <w:pPr>
              <w:suppressAutoHyphens w:val="0"/>
              <w:autoSpaceDN/>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sz w:val="20"/>
                <w:szCs w:val="20"/>
                <w:lang w:val="en-GB" w:eastAsia="ca-ES"/>
              </w:rPr>
            </w:pPr>
            <w:r w:rsidRPr="00754FAD">
              <w:rPr>
                <w:rFonts w:asciiTheme="majorBidi" w:eastAsia="Times New Roman" w:hAnsiTheme="majorBidi" w:cstheme="majorBidi"/>
                <w:b/>
                <w:sz w:val="20"/>
                <w:szCs w:val="20"/>
                <w:lang w:val="en-GB" w:eastAsia="ca-ES"/>
              </w:rPr>
              <w:t>Focus area</w:t>
            </w:r>
          </w:p>
        </w:tc>
        <w:tc>
          <w:tcPr>
            <w:tcW w:w="1985" w:type="dxa"/>
          </w:tcPr>
          <w:p w14:paraId="7AC67C70" w14:textId="77777777" w:rsidR="008F616A" w:rsidRPr="00754FAD" w:rsidRDefault="008F616A" w:rsidP="00743C8F">
            <w:pPr>
              <w:suppressAutoHyphens w:val="0"/>
              <w:autoSpaceDN/>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sz w:val="20"/>
                <w:szCs w:val="20"/>
                <w:lang w:val="en-GB" w:eastAsia="ca-ES"/>
              </w:rPr>
            </w:pPr>
            <w:r w:rsidRPr="00754FAD">
              <w:rPr>
                <w:rFonts w:asciiTheme="majorBidi" w:eastAsia="Times New Roman" w:hAnsiTheme="majorBidi" w:cstheme="majorBidi"/>
                <w:b/>
                <w:sz w:val="20"/>
                <w:szCs w:val="20"/>
                <w:lang w:val="en-GB" w:eastAsia="ca-ES"/>
              </w:rPr>
              <w:t xml:space="preserve"> Key Stakeholders</w:t>
            </w:r>
          </w:p>
        </w:tc>
        <w:tc>
          <w:tcPr>
            <w:tcW w:w="3402" w:type="dxa"/>
            <w:hideMark/>
          </w:tcPr>
          <w:p w14:paraId="2BA0CCF3" w14:textId="77777777" w:rsidR="008F616A" w:rsidRPr="00754FAD" w:rsidRDefault="008F616A" w:rsidP="00743C8F">
            <w:pPr>
              <w:suppressAutoHyphens w:val="0"/>
              <w:autoSpaceDN/>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sz w:val="20"/>
                <w:szCs w:val="20"/>
                <w:lang w:val="en-GB" w:eastAsia="ca-ES"/>
              </w:rPr>
            </w:pPr>
            <w:r w:rsidRPr="00754FAD">
              <w:rPr>
                <w:rFonts w:asciiTheme="majorBidi" w:eastAsia="Times New Roman" w:hAnsiTheme="majorBidi" w:cstheme="majorBidi"/>
                <w:b/>
                <w:sz w:val="20"/>
                <w:szCs w:val="20"/>
                <w:lang w:val="en-GB" w:eastAsia="ca-ES"/>
              </w:rPr>
              <w:t>Research agenda</w:t>
            </w:r>
          </w:p>
        </w:tc>
      </w:tr>
      <w:tr w:rsidR="008F616A" w:rsidRPr="00754FAD" w14:paraId="260A2EF0" w14:textId="77777777" w:rsidTr="00743C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2" w:type="dxa"/>
            <w:tcBorders>
              <w:top w:val="none" w:sz="0" w:space="0" w:color="auto"/>
              <w:left w:val="none" w:sz="0" w:space="0" w:color="auto"/>
              <w:bottom w:val="none" w:sz="0" w:space="0" w:color="auto"/>
            </w:tcBorders>
            <w:hideMark/>
          </w:tcPr>
          <w:p w14:paraId="753F0F59" w14:textId="77777777" w:rsidR="008F616A" w:rsidRPr="00754FAD" w:rsidRDefault="008F616A" w:rsidP="00743C8F">
            <w:pPr>
              <w:suppressAutoHyphens w:val="0"/>
              <w:autoSpaceDN/>
              <w:spacing w:line="240" w:lineRule="auto"/>
              <w:jc w:val="both"/>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 xml:space="preserve">P5. Proactive engagement with regulators and the </w:t>
            </w:r>
            <w:r w:rsidRPr="00754FAD">
              <w:rPr>
                <w:rFonts w:asciiTheme="majorBidi" w:eastAsia="Times New Roman" w:hAnsiTheme="majorBidi" w:cstheme="majorBidi"/>
                <w:bCs/>
                <w:sz w:val="20"/>
                <w:szCs w:val="20"/>
                <w:lang w:val="en-GB" w:eastAsia="ca-ES"/>
              </w:rPr>
              <w:lastRenderedPageBreak/>
              <w:t>establishment of collaborative oversight mechanisms strengthen BDA-servitization models in financial institutions by reducing governance gaps, accelerating approval processes, and shortening time-to-market for BDA-enabled services.</w:t>
            </w:r>
          </w:p>
        </w:tc>
        <w:tc>
          <w:tcPr>
            <w:tcW w:w="1417" w:type="dxa"/>
            <w:shd w:val="clear" w:color="auto" w:fill="D9D9D9" w:themeFill="background1" w:themeFillShade="D9"/>
          </w:tcPr>
          <w:p w14:paraId="0F3CB874"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lastRenderedPageBreak/>
              <w:t>Regulatory engagement</w:t>
            </w:r>
          </w:p>
        </w:tc>
        <w:tc>
          <w:tcPr>
            <w:tcW w:w="1985" w:type="dxa"/>
            <w:shd w:val="clear" w:color="auto" w:fill="D9D9D9" w:themeFill="background1" w:themeFillShade="D9"/>
          </w:tcPr>
          <w:p w14:paraId="277CFC01"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Regulatory body</w:t>
            </w:r>
          </w:p>
        </w:tc>
        <w:tc>
          <w:tcPr>
            <w:tcW w:w="3402" w:type="dxa"/>
            <w:shd w:val="clear" w:color="auto" w:fill="D9D9D9" w:themeFill="background1" w:themeFillShade="D9"/>
          </w:tcPr>
          <w:p w14:paraId="00DC7F3E"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 xml:space="preserve">Future research should explore how regulatory collaboration and joint </w:t>
            </w:r>
            <w:r w:rsidRPr="00754FAD">
              <w:rPr>
                <w:rFonts w:asciiTheme="majorBidi" w:eastAsia="Times New Roman" w:hAnsiTheme="majorBidi" w:cstheme="majorBidi"/>
                <w:bCs/>
                <w:sz w:val="20"/>
                <w:szCs w:val="20"/>
                <w:lang w:val="en-GB" w:eastAsia="ca-ES"/>
              </w:rPr>
              <w:lastRenderedPageBreak/>
              <w:t>oversight mechanisms can accelerate BDA-servitization while ensuring compliance with legal and Shari’ah principles in the MENA financial sector.</w:t>
            </w:r>
          </w:p>
        </w:tc>
      </w:tr>
      <w:tr w:rsidR="008F616A" w:rsidRPr="00754FAD" w14:paraId="6CF3B46E" w14:textId="77777777" w:rsidTr="00743C8F">
        <w:tc>
          <w:tcPr>
            <w:cnfStyle w:val="001000000000" w:firstRow="0" w:lastRow="0" w:firstColumn="1" w:lastColumn="0" w:oddVBand="0" w:evenVBand="0" w:oddHBand="0" w:evenHBand="0" w:firstRowFirstColumn="0" w:firstRowLastColumn="0" w:lastRowFirstColumn="0" w:lastRowLastColumn="0"/>
            <w:tcW w:w="2542" w:type="dxa"/>
            <w:tcBorders>
              <w:top w:val="none" w:sz="0" w:space="0" w:color="auto"/>
              <w:left w:val="none" w:sz="0" w:space="0" w:color="auto"/>
              <w:bottom w:val="none" w:sz="0" w:space="0" w:color="auto"/>
            </w:tcBorders>
            <w:hideMark/>
          </w:tcPr>
          <w:p w14:paraId="6FB7769E" w14:textId="77777777" w:rsidR="008F616A" w:rsidRPr="00754FAD" w:rsidRDefault="008F616A" w:rsidP="00743C8F">
            <w:pPr>
              <w:suppressAutoHyphens w:val="0"/>
              <w:autoSpaceDN/>
              <w:spacing w:line="240" w:lineRule="auto"/>
              <w:jc w:val="both"/>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lastRenderedPageBreak/>
              <w:t>P6. Embedding Shari’ah-aligned principles of fairness and transparency into the design of BDA-enabled services enhances customer trust and strengthens BDA-servitization models in financial institutions, particularly by increasing adoption intent among underserved or ethically sensitive customer segments.</w:t>
            </w:r>
          </w:p>
        </w:tc>
        <w:tc>
          <w:tcPr>
            <w:tcW w:w="1417" w:type="dxa"/>
            <w:shd w:val="clear" w:color="auto" w:fill="D9D9D9" w:themeFill="background1" w:themeFillShade="D9"/>
          </w:tcPr>
          <w:p w14:paraId="6C4E7109"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 xml:space="preserve">Ethical service design  </w:t>
            </w:r>
          </w:p>
        </w:tc>
        <w:tc>
          <w:tcPr>
            <w:tcW w:w="1985" w:type="dxa"/>
            <w:shd w:val="clear" w:color="auto" w:fill="D9D9D9" w:themeFill="background1" w:themeFillShade="D9"/>
          </w:tcPr>
          <w:p w14:paraId="18536294"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Customers</w:t>
            </w:r>
          </w:p>
        </w:tc>
        <w:tc>
          <w:tcPr>
            <w:tcW w:w="3402" w:type="dxa"/>
            <w:shd w:val="clear" w:color="auto" w:fill="D9D9D9" w:themeFill="background1" w:themeFillShade="D9"/>
            <w:hideMark/>
          </w:tcPr>
          <w:p w14:paraId="51F9886E"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Future research should examine how Shari’ah-aligned principles of fairness and transparency can be embedded in BDA-enabled service design to enhance trust and adoption, particularly among underserved segments in the MENA region</w:t>
            </w:r>
          </w:p>
        </w:tc>
      </w:tr>
    </w:tbl>
    <w:tbl>
      <w:tblPr>
        <w:tblStyle w:val="GridTable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416"/>
        <w:gridCol w:w="1944"/>
        <w:gridCol w:w="3209"/>
      </w:tblGrid>
      <w:tr w:rsidR="008F616A" w:rsidRPr="00754FAD" w14:paraId="7218DCAF" w14:textId="77777777" w:rsidTr="00743C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right w:val="single" w:sz="4" w:space="0" w:color="auto"/>
            </w:tcBorders>
            <w:hideMark/>
          </w:tcPr>
          <w:p w14:paraId="5C5DE34F" w14:textId="77777777" w:rsidR="008F616A" w:rsidRPr="00754FAD" w:rsidRDefault="008F616A" w:rsidP="00743C8F">
            <w:pPr>
              <w:suppressAutoHyphens w:val="0"/>
              <w:autoSpaceDN/>
              <w:spacing w:line="240" w:lineRule="auto"/>
              <w:jc w:val="center"/>
              <w:rPr>
                <w:rFonts w:asciiTheme="majorBidi" w:eastAsia="Times New Roman" w:hAnsiTheme="majorBidi" w:cstheme="majorBidi"/>
                <w:b w:val="0"/>
                <w:bCs w:val="0"/>
                <w:sz w:val="24"/>
                <w:szCs w:val="24"/>
                <w:lang w:val="ca-ES" w:eastAsia="ca-ES"/>
              </w:rPr>
            </w:pPr>
            <w:r w:rsidRPr="00754FAD">
              <w:rPr>
                <w:rFonts w:asciiTheme="majorBidi" w:eastAsia="Times New Roman" w:hAnsiTheme="majorBidi" w:cstheme="majorBidi"/>
                <w:sz w:val="20"/>
                <w:szCs w:val="20"/>
                <w:lang w:val="en-GB" w:eastAsia="ca-ES"/>
              </w:rPr>
              <w:t>Organizational inertia propositions</w:t>
            </w:r>
          </w:p>
        </w:tc>
        <w:tc>
          <w:tcPr>
            <w:tcW w:w="1417" w:type="dxa"/>
            <w:tcBorders>
              <w:top w:val="single" w:sz="4" w:space="0" w:color="auto"/>
              <w:left w:val="single" w:sz="4" w:space="0" w:color="auto"/>
              <w:bottom w:val="single" w:sz="4" w:space="0" w:color="auto"/>
              <w:right w:val="single" w:sz="4" w:space="0" w:color="auto"/>
            </w:tcBorders>
          </w:tcPr>
          <w:p w14:paraId="18E63793"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Focus area</w:t>
            </w:r>
          </w:p>
        </w:tc>
        <w:tc>
          <w:tcPr>
            <w:tcW w:w="1985" w:type="dxa"/>
            <w:tcBorders>
              <w:top w:val="single" w:sz="4" w:space="0" w:color="auto"/>
              <w:left w:val="single" w:sz="4" w:space="0" w:color="auto"/>
              <w:bottom w:val="single" w:sz="4" w:space="0" w:color="auto"/>
              <w:right w:val="single" w:sz="4" w:space="0" w:color="auto"/>
            </w:tcBorders>
          </w:tcPr>
          <w:p w14:paraId="52EECF21"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eastAsia="ca-ES"/>
              </w:rPr>
            </w:pPr>
            <w:r w:rsidRPr="00754FAD">
              <w:rPr>
                <w:rFonts w:asciiTheme="majorBidi" w:eastAsia="Times New Roman" w:hAnsiTheme="majorBidi" w:cstheme="majorBidi"/>
                <w:sz w:val="20"/>
                <w:szCs w:val="20"/>
                <w:lang w:val="en-GB" w:eastAsia="ca-ES"/>
              </w:rPr>
              <w:t xml:space="preserve"> Key Stakeholders</w:t>
            </w:r>
          </w:p>
        </w:tc>
        <w:tc>
          <w:tcPr>
            <w:tcW w:w="3401" w:type="dxa"/>
            <w:tcBorders>
              <w:top w:val="single" w:sz="4" w:space="0" w:color="auto"/>
              <w:left w:val="single" w:sz="4" w:space="0" w:color="auto"/>
              <w:bottom w:val="single" w:sz="4" w:space="0" w:color="auto"/>
              <w:right w:val="single" w:sz="4" w:space="0" w:color="auto"/>
            </w:tcBorders>
            <w:hideMark/>
          </w:tcPr>
          <w:p w14:paraId="2E8CFED4" w14:textId="77777777" w:rsidR="008F616A" w:rsidRPr="00754FAD" w:rsidRDefault="008F616A" w:rsidP="00743C8F">
            <w:pPr>
              <w:suppressAutoHyphens w:val="0"/>
              <w:autoSpaceDN/>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Cs w:val="0"/>
                <w:sz w:val="24"/>
                <w:szCs w:val="24"/>
                <w:lang w:val="ca-ES" w:eastAsia="ca-ES"/>
              </w:rPr>
            </w:pPr>
            <w:r w:rsidRPr="00754FAD">
              <w:rPr>
                <w:rFonts w:asciiTheme="majorBidi" w:eastAsia="Times New Roman" w:hAnsiTheme="majorBidi" w:cstheme="majorBidi"/>
                <w:sz w:val="20"/>
                <w:szCs w:val="20"/>
                <w:lang w:val="en-GB" w:eastAsia="ca-ES"/>
              </w:rPr>
              <w:t>Future research</w:t>
            </w:r>
          </w:p>
        </w:tc>
      </w:tr>
      <w:tr w:rsidR="008F616A" w:rsidRPr="00754FAD" w14:paraId="1E147B28" w14:textId="77777777" w:rsidTr="00743C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shd w:val="clear" w:color="auto" w:fill="FFFFFF" w:themeFill="background1"/>
            <w:hideMark/>
          </w:tcPr>
          <w:p w14:paraId="3ED72554" w14:textId="77777777" w:rsidR="008F616A" w:rsidRPr="00754FAD" w:rsidRDefault="008F616A" w:rsidP="00743C8F">
            <w:pPr>
              <w:suppressAutoHyphens w:val="0"/>
              <w:autoSpaceDN/>
              <w:spacing w:line="240" w:lineRule="auto"/>
              <w:jc w:val="both"/>
              <w:rPr>
                <w:rFonts w:asciiTheme="majorBidi" w:eastAsia="Times New Roman" w:hAnsiTheme="majorBidi" w:cstheme="majorBidi"/>
                <w:b w:val="0"/>
                <w:i/>
                <w:iCs/>
                <w:sz w:val="20"/>
                <w:szCs w:val="20"/>
                <w:lang w:val="en-GB" w:eastAsia="ca-ES"/>
              </w:rPr>
            </w:pPr>
            <w:r w:rsidRPr="00754FAD">
              <w:rPr>
                <w:rFonts w:asciiTheme="majorBidi" w:eastAsia="Times New Roman" w:hAnsiTheme="majorBidi" w:cstheme="majorBidi"/>
                <w:b w:val="0"/>
                <w:i/>
                <w:iCs/>
                <w:sz w:val="20"/>
                <w:szCs w:val="20"/>
                <w:lang w:val="en-GB" w:eastAsia="ca-ES"/>
              </w:rPr>
              <w:t>P7. Executive sponsorship, when combined with value-based key performance indicators (KPIs), enhances BDA-servitization models in financial institutions by reducing organizational inertia and redirecting resources toward service-oriented innovation and delivery.</w:t>
            </w:r>
          </w:p>
        </w:tc>
        <w:tc>
          <w:tcPr>
            <w:tcW w:w="1417" w:type="dxa"/>
            <w:shd w:val="clear" w:color="auto" w:fill="D9D9D9" w:themeFill="background1" w:themeFillShade="D9"/>
          </w:tcPr>
          <w:p w14:paraId="5EBFD5D0"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Strategic leadership</w:t>
            </w:r>
          </w:p>
        </w:tc>
        <w:tc>
          <w:tcPr>
            <w:tcW w:w="1985" w:type="dxa"/>
            <w:shd w:val="clear" w:color="auto" w:fill="D9D9D9" w:themeFill="background1" w:themeFillShade="D9"/>
          </w:tcPr>
          <w:p w14:paraId="007A85A7"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Executive/senior management</w:t>
            </w:r>
          </w:p>
        </w:tc>
        <w:tc>
          <w:tcPr>
            <w:tcW w:w="3401" w:type="dxa"/>
            <w:shd w:val="clear" w:color="auto" w:fill="D9D9D9" w:themeFill="background1" w:themeFillShade="D9"/>
            <w:hideMark/>
          </w:tcPr>
          <w:p w14:paraId="7765F928" w14:textId="77777777" w:rsidR="008F616A" w:rsidRPr="00754FAD" w:rsidRDefault="008F616A" w:rsidP="00743C8F">
            <w:pPr>
              <w:suppressAutoHyphens w:val="0"/>
              <w:autoSpaceDN/>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Future research should explore how executive leadership and value-based KPIs influence the prioritization and resourcing of BDA-servitization initiatives. This includes examining how strategic alignment with ethical and performance goals can reduce inertia and support long-term digital transformation in Islamic financial institutions.</w:t>
            </w:r>
          </w:p>
        </w:tc>
      </w:tr>
      <w:tr w:rsidR="008F616A" w:rsidRPr="00754FAD" w14:paraId="1D5E989E" w14:textId="77777777" w:rsidTr="00743C8F">
        <w:tc>
          <w:tcPr>
            <w:cnfStyle w:val="001000000000" w:firstRow="0" w:lastRow="0" w:firstColumn="1" w:lastColumn="0" w:oddVBand="0" w:evenVBand="0" w:oddHBand="0" w:evenHBand="0" w:firstRowFirstColumn="0" w:firstRowLastColumn="0" w:lastRowFirstColumn="0" w:lastRowLastColumn="0"/>
            <w:tcW w:w="2547" w:type="dxa"/>
            <w:shd w:val="clear" w:color="auto" w:fill="FFFFFF" w:themeFill="background1"/>
            <w:hideMark/>
          </w:tcPr>
          <w:p w14:paraId="12C563B5" w14:textId="77777777" w:rsidR="008F616A" w:rsidRPr="00754FAD" w:rsidRDefault="008F616A" w:rsidP="00743C8F">
            <w:pPr>
              <w:suppressAutoHyphens w:val="0"/>
              <w:autoSpaceDN/>
              <w:spacing w:line="240" w:lineRule="auto"/>
              <w:jc w:val="both"/>
              <w:rPr>
                <w:rFonts w:asciiTheme="majorBidi" w:eastAsia="Times New Roman" w:hAnsiTheme="majorBidi" w:cstheme="majorBidi"/>
                <w:b w:val="0"/>
                <w:i/>
                <w:iCs/>
                <w:sz w:val="20"/>
                <w:szCs w:val="20"/>
                <w:lang w:val="en-GB" w:eastAsia="ca-ES"/>
              </w:rPr>
            </w:pPr>
            <w:r w:rsidRPr="00754FAD">
              <w:rPr>
                <w:rFonts w:asciiTheme="majorBidi" w:eastAsia="Times New Roman" w:hAnsiTheme="majorBidi" w:cstheme="majorBidi"/>
                <w:b w:val="0"/>
                <w:i/>
                <w:iCs/>
                <w:sz w:val="20"/>
                <w:szCs w:val="20"/>
                <w:lang w:val="en-GB" w:eastAsia="ca-ES"/>
              </w:rPr>
              <w:t>P8. Integrating data ethics and Shari’ah literacy training into organizational development enhances BDA-servitization models in financial institutions by increasing employee readiness and reducing resistance to change, particularly in culturally and ethically sensitive environments.</w:t>
            </w:r>
          </w:p>
        </w:tc>
        <w:tc>
          <w:tcPr>
            <w:tcW w:w="1417" w:type="dxa"/>
            <w:shd w:val="clear" w:color="auto" w:fill="D9D9D9" w:themeFill="background1" w:themeFillShade="D9"/>
          </w:tcPr>
          <w:p w14:paraId="398ED6BE"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Organizational learning</w:t>
            </w:r>
          </w:p>
        </w:tc>
        <w:tc>
          <w:tcPr>
            <w:tcW w:w="1985" w:type="dxa"/>
            <w:shd w:val="clear" w:color="auto" w:fill="D9D9D9" w:themeFill="background1" w:themeFillShade="D9"/>
          </w:tcPr>
          <w:p w14:paraId="37D11582"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Employees</w:t>
            </w:r>
          </w:p>
        </w:tc>
        <w:tc>
          <w:tcPr>
            <w:tcW w:w="3401" w:type="dxa"/>
            <w:shd w:val="clear" w:color="auto" w:fill="D9D9D9" w:themeFill="background1" w:themeFillShade="D9"/>
            <w:hideMark/>
          </w:tcPr>
          <w:p w14:paraId="6B32F7F0" w14:textId="77777777" w:rsidR="008F616A" w:rsidRPr="00754FAD" w:rsidRDefault="008F616A" w:rsidP="00743C8F">
            <w:pPr>
              <w:suppressAutoHyphens w:val="0"/>
              <w:autoSpaceDN/>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Cs/>
                <w:sz w:val="20"/>
                <w:szCs w:val="20"/>
                <w:lang w:val="en-GB" w:eastAsia="ca-ES"/>
              </w:rPr>
            </w:pPr>
            <w:r w:rsidRPr="00754FAD">
              <w:rPr>
                <w:rFonts w:asciiTheme="majorBidi" w:eastAsia="Times New Roman" w:hAnsiTheme="majorBidi" w:cstheme="majorBidi"/>
                <w:bCs/>
                <w:sz w:val="20"/>
                <w:szCs w:val="20"/>
                <w:lang w:val="en-GB" w:eastAsia="ca-ES"/>
              </w:rPr>
              <w:t>Future research should investigate the role of organizational training in shaping employee readiness for BDA-servitization. Key areas include the effectiveness of culturally grounded training programs, the impact of Shari’ah literacy on ethical decision-making, and the relationship between internal awareness and resistance to technological change.</w:t>
            </w:r>
          </w:p>
        </w:tc>
      </w:tr>
    </w:tbl>
    <w:p w14:paraId="5CA7D29D"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16A"/>
    <w:rsid w:val="000C4033"/>
    <w:rsid w:val="004B42CB"/>
    <w:rsid w:val="008F616A"/>
    <w:rsid w:val="00B85331"/>
    <w:rsid w:val="00E023F9"/>
    <w:rsid w:val="00E472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F9C8A"/>
  <w15:chartTrackingRefBased/>
  <w15:docId w15:val="{4652DCFE-620F-404A-AA63-A866E018E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16A"/>
    <w:pPr>
      <w:suppressAutoHyphens/>
      <w:autoSpaceDN w:val="0"/>
      <w:spacing w:line="256" w:lineRule="auto"/>
    </w:pPr>
    <w:rPr>
      <w:rFonts w:ascii="Calibri" w:eastAsia="Calibri" w:hAnsi="Calibri" w:cs="Arial"/>
      <w:kern w:val="0"/>
      <w:sz w:val="22"/>
      <w:szCs w:val="22"/>
      <w:lang w:val="en-US"/>
      <w14:ligatures w14:val="none"/>
    </w:rPr>
  </w:style>
  <w:style w:type="paragraph" w:styleId="Heading1">
    <w:name w:val="heading 1"/>
    <w:basedOn w:val="Normal"/>
    <w:next w:val="Normal"/>
    <w:link w:val="Heading1Char"/>
    <w:uiPriority w:val="9"/>
    <w:qFormat/>
    <w:rsid w:val="008F616A"/>
    <w:pPr>
      <w:keepNext/>
      <w:keepLines/>
      <w:suppressAutoHyphens w:val="0"/>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8F616A"/>
    <w:pPr>
      <w:keepNext/>
      <w:keepLines/>
      <w:suppressAutoHyphens w:val="0"/>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8F616A"/>
    <w:pPr>
      <w:keepNext/>
      <w:keepLines/>
      <w:suppressAutoHyphens w:val="0"/>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8F616A"/>
    <w:pPr>
      <w:keepNext/>
      <w:keepLines/>
      <w:suppressAutoHyphens w:val="0"/>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8F616A"/>
    <w:pPr>
      <w:keepNext/>
      <w:keepLines/>
      <w:suppressAutoHyphens w:val="0"/>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8F616A"/>
    <w:pPr>
      <w:keepNext/>
      <w:keepLines/>
      <w:suppressAutoHyphens w:val="0"/>
      <w:autoSpaceDN/>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8F616A"/>
    <w:pPr>
      <w:keepNext/>
      <w:keepLines/>
      <w:suppressAutoHyphens w:val="0"/>
      <w:autoSpaceDN/>
      <w:spacing w:before="40" w:after="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8F616A"/>
    <w:pPr>
      <w:keepNext/>
      <w:keepLines/>
      <w:suppressAutoHyphens w:val="0"/>
      <w:autoSpaceDN/>
      <w:spacing w:after="0"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8F616A"/>
    <w:pPr>
      <w:keepNext/>
      <w:keepLines/>
      <w:suppressAutoHyphens w:val="0"/>
      <w:autoSpaceDN/>
      <w:spacing w:after="0"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1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61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61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61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61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61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1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1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16A"/>
    <w:rPr>
      <w:rFonts w:eastAsiaTheme="majorEastAsia" w:cstheme="majorBidi"/>
      <w:color w:val="272727" w:themeColor="text1" w:themeTint="D8"/>
    </w:rPr>
  </w:style>
  <w:style w:type="paragraph" w:styleId="Title">
    <w:name w:val="Title"/>
    <w:basedOn w:val="Normal"/>
    <w:next w:val="Normal"/>
    <w:link w:val="TitleChar"/>
    <w:uiPriority w:val="10"/>
    <w:qFormat/>
    <w:rsid w:val="008F616A"/>
    <w:pPr>
      <w:suppressAutoHyphens w:val="0"/>
      <w:autoSpaceDN/>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8F61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16A"/>
    <w:pPr>
      <w:numPr>
        <w:ilvl w:val="1"/>
      </w:numPr>
      <w:suppressAutoHyphens w:val="0"/>
      <w:autoSpaceDN/>
      <w:spacing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8F61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16A"/>
    <w:pPr>
      <w:suppressAutoHyphens w:val="0"/>
      <w:autoSpaceDN/>
      <w:spacing w:before="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8F616A"/>
    <w:rPr>
      <w:i/>
      <w:iCs/>
      <w:color w:val="404040" w:themeColor="text1" w:themeTint="BF"/>
    </w:rPr>
  </w:style>
  <w:style w:type="paragraph" w:styleId="ListParagraph">
    <w:name w:val="List Paragraph"/>
    <w:basedOn w:val="Normal"/>
    <w:uiPriority w:val="34"/>
    <w:qFormat/>
    <w:rsid w:val="008F616A"/>
    <w:pPr>
      <w:suppressAutoHyphens w:val="0"/>
      <w:autoSpaceDN/>
      <w:spacing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8F616A"/>
    <w:rPr>
      <w:i/>
      <w:iCs/>
      <w:color w:val="0F4761" w:themeColor="accent1" w:themeShade="BF"/>
    </w:rPr>
  </w:style>
  <w:style w:type="paragraph" w:styleId="IntenseQuote">
    <w:name w:val="Intense Quote"/>
    <w:basedOn w:val="Normal"/>
    <w:next w:val="Normal"/>
    <w:link w:val="IntenseQuoteChar"/>
    <w:uiPriority w:val="30"/>
    <w:qFormat/>
    <w:rsid w:val="008F616A"/>
    <w:pPr>
      <w:pBdr>
        <w:top w:val="single" w:sz="4" w:space="10" w:color="0F4761" w:themeColor="accent1" w:themeShade="BF"/>
        <w:bottom w:val="single" w:sz="4" w:space="10" w:color="0F4761" w:themeColor="accent1" w:themeShade="BF"/>
      </w:pBdr>
      <w:suppressAutoHyphens w:val="0"/>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8F616A"/>
    <w:rPr>
      <w:i/>
      <w:iCs/>
      <w:color w:val="0F4761" w:themeColor="accent1" w:themeShade="BF"/>
    </w:rPr>
  </w:style>
  <w:style w:type="character" w:styleId="IntenseReference">
    <w:name w:val="Intense Reference"/>
    <w:basedOn w:val="DefaultParagraphFont"/>
    <w:uiPriority w:val="32"/>
    <w:qFormat/>
    <w:rsid w:val="008F616A"/>
    <w:rPr>
      <w:b/>
      <w:bCs/>
      <w:smallCaps/>
      <w:color w:val="0F4761" w:themeColor="accent1" w:themeShade="BF"/>
      <w:spacing w:val="5"/>
    </w:rPr>
  </w:style>
  <w:style w:type="table" w:styleId="GridTable2">
    <w:name w:val="Grid Table 2"/>
    <w:basedOn w:val="TableNormal"/>
    <w:uiPriority w:val="47"/>
    <w:rsid w:val="008F616A"/>
    <w:pPr>
      <w:spacing w:after="0" w:line="240" w:lineRule="auto"/>
    </w:pPr>
    <w:rPr>
      <w:sz w:val="22"/>
      <w:szCs w:val="22"/>
      <w:lang w:val="es-E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uiPriority w:val="48"/>
    <w:rsid w:val="008F616A"/>
    <w:pPr>
      <w:spacing w:after="0" w:line="240" w:lineRule="auto"/>
    </w:pPr>
    <w:rPr>
      <w:sz w:val="22"/>
      <w:szCs w:val="22"/>
      <w:lang w:val="es-E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703</Words>
  <Characters>4693</Characters>
  <Application>Microsoft Office Word</Application>
  <DocSecurity>0</DocSecurity>
  <Lines>82</Lines>
  <Paragraphs>22</Paragraphs>
  <ScaleCrop>false</ScaleCrop>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2025-12-30T06:31:00Z</dcterms:created>
  <dcterms:modified xsi:type="dcterms:W3CDTF">2025-12-30T06:31:00Z</dcterms:modified>
</cp:coreProperties>
</file>