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r>
              <w:t>1</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r>
              <w:t>1</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r>
              <w:t>1 (Abstract), 5 (Methods)</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r>
              <w:t>Available upon request from corresponding author</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r>
              <w:t>N/A - No individual participant data sharing planned</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r>
              <w:t>19</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r>
              <w:t>19</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r>
              <w:t>3-4</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r>
              <w:t>4</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r>
              <w:t>N/A - No patient/public involvement</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r>
              <w:t>5</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r>
              <w:t>N/A - No changes after commencement</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r>
              <w:t>5</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r>
              <w:t>5</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r>
              <w:t>N/A - No site-level eligibility criteria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r>
              <w:t>6-7</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r>
              <w:t>7-8</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r>
              <w:t>8</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r>
              <w:t>8</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r>
              <w:t>N/A - No interim analyses</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r>
              <w:t>6</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r>
              <w:t>6</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r>
              <w:t>6</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r>
              <w:t>6</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r>
              <w:t>6</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r>
              <w:t>6, 17-18 (Discussion)</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r>
              <w:t>8-9</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r>
              <w:t>8-9</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r>
              <w:t>9</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r>
              <w:t>9</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r>
              <w:t>10, Figure 1</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r>
              <w:t>10, Figure 1</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r>
              <w:t>10</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r>
              <w:t>N/A - Trial completed as planned</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Intervention and comparator as they were </w:t>
            </w:r>
            <w:proofErr w:type="gramStart"/>
            <w:r w:rsidRPr="009C6FD6">
              <w:rPr>
                <w:rFonts w:ascii="Calibri" w:eastAsia="Calibri" w:hAnsi="Calibri" w:cs="Calibri"/>
                <w:color w:val="000000"/>
                <w:sz w:val="22"/>
                <w:szCs w:val="22"/>
                <w:lang w:val="en-GB"/>
              </w:rPr>
              <w:t>actually administered</w:t>
            </w:r>
            <w:proofErr w:type="gramEnd"/>
            <w:r w:rsidRPr="009C6FD6">
              <w:rPr>
                <w:rFonts w:ascii="Calibri" w:eastAsia="Calibri" w:hAnsi="Calibri" w:cs="Calibri"/>
                <w:color w:val="000000"/>
                <w:sz w:val="22"/>
                <w:szCs w:val="22"/>
                <w:lang w:val="en-GB"/>
              </w:rPr>
              <w:t xml:space="preserve">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r>
              <w:t>10</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r>
              <w:t>10</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r>
              <w:t>Table 1, Page 11</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r>
              <w:t>Tables 2-3, Pages 11-14</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r>
              <w:t>14</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r>
              <w:t>13-14</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r>
              <w:t>16-18</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r>
              <w:t>17-18</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r>
        <w:rPr>
          <w:b/>
        </w:rPr>
        <w:t xml:space="preserve">Study Title: </w:t>
      </w:r>
      <w:r>
        <w:t>Brachial Plexus Block Versus General Anesthesia for Upper-Extremity Orthopedic Surgery: Effect on Preoperative Anxiety and Recovery Outcomes – A Randomized Controlled Trial</w:t>
      </w:r>
    </w:p>
    <w:p>
      <w:r>
        <w:rPr>
          <w:b/>
        </w:rPr>
        <w:t xml:space="preserve">Trial Registration: </w:t>
      </w:r>
      <w:r>
        <w:t>ClinicalTrials.gov NCT07332839 (Retrospectively registered January 13, 2026)</w:t>
      </w:r>
    </w:p>
    <w:p>
      <w:r>
        <w:rPr>
          <w:b/>
        </w:rPr>
        <w:t xml:space="preserve">Principal Investigator: </w:t>
      </w:r>
      <w:r>
        <w:t>Dr. Dilek Uçak, University of Health Sciences Adana City Hospital, Turkey</w:t>
      </w:r>
    </w:p>
    <w:p>
      <w:r>
        <w:rPr>
          <w:b/>
        </w:rPr>
        <w:t xml:space="preserve">Date Completed: </w:t>
      </w:r>
      <w:r>
        <w:t>January 13, 2026</w:t>
      </w:r>
    </w:p>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94AC" w14:textId="77777777" w:rsidR="006942F5" w:rsidRDefault="006942F5" w:rsidP="00B70CED">
      <w:pPr>
        <w:spacing w:line="240" w:lineRule="auto"/>
      </w:pPr>
      <w:r>
        <w:separator/>
      </w:r>
    </w:p>
  </w:endnote>
  <w:endnote w:type="continuationSeparator" w:id="0">
    <w:p w14:paraId="50D604A4" w14:textId="77777777" w:rsidR="006942F5" w:rsidRDefault="006942F5"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2490" w14:textId="77777777" w:rsidR="006942F5" w:rsidRDefault="006942F5" w:rsidP="00B70CED">
      <w:pPr>
        <w:spacing w:line="240" w:lineRule="auto"/>
      </w:pPr>
      <w:r>
        <w:separator/>
      </w:r>
    </w:p>
  </w:footnote>
  <w:footnote w:type="continuationSeparator" w:id="0">
    <w:p w14:paraId="1691CF5B" w14:textId="77777777" w:rsidR="006942F5" w:rsidRDefault="006942F5"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Sally Hopewell</cp:lastModifiedBy>
  <cp:revision>70</cp:revision>
  <cp:lastPrinted>2024-03-26T08:52:00Z</cp:lastPrinted>
  <dcterms:created xsi:type="dcterms:W3CDTF">2024-10-08T14:14:00Z</dcterms:created>
  <dcterms:modified xsi:type="dcterms:W3CDTF">2026-01-12T10:47:00Z</dcterms:modified>
</cp:coreProperties>
</file>