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92D7A" w14:textId="5644D7C8" w:rsidR="00562B10" w:rsidRPr="00BB746C" w:rsidRDefault="00562B10" w:rsidP="00562B10">
      <w:pPr>
        <w:jc w:val="center"/>
        <w:rPr>
          <w:rFonts w:ascii="Times New Roman" w:hAnsi="Times New Roman" w:cs="Times New Roman"/>
          <w:b/>
          <w:bCs/>
          <w:sz w:val="28"/>
          <w:szCs w:val="28"/>
        </w:rPr>
      </w:pPr>
      <w:r w:rsidRPr="00BB746C">
        <w:rPr>
          <w:rFonts w:ascii="Times New Roman" w:hAnsi="Times New Roman" w:cs="Times New Roman"/>
          <w:b/>
          <w:bCs/>
          <w:sz w:val="28"/>
          <w:szCs w:val="28"/>
        </w:rPr>
        <w:t>Supplementary Materials for</w:t>
      </w:r>
    </w:p>
    <w:p w14:paraId="38CD3898" w14:textId="77777777" w:rsidR="00742928" w:rsidRDefault="00742928" w:rsidP="00742928">
      <w:pPr>
        <w:spacing w:after="102" w:line="397" w:lineRule="auto"/>
        <w:jc w:val="center"/>
        <w:rPr>
          <w:rFonts w:ascii="Times New Roman" w:hAnsi="Times New Roman" w:cs="Times New Roman"/>
        </w:rPr>
      </w:pPr>
      <w:r w:rsidRPr="00A83CCC">
        <w:rPr>
          <w:rFonts w:ascii="Times New Roman" w:hAnsi="Times New Roman" w:cs="Times New Roman"/>
          <w:b/>
          <w:sz w:val="29"/>
        </w:rPr>
        <w:t xml:space="preserve">Magnon </w:t>
      </w:r>
      <w:r>
        <w:rPr>
          <w:rFonts w:ascii="Times New Roman" w:hAnsi="Times New Roman" w:cs="Times New Roman" w:hint="eastAsia"/>
          <w:b/>
          <w:sz w:val="29"/>
        </w:rPr>
        <w:t>Gap Formation</w:t>
      </w:r>
      <w:r w:rsidRPr="00A83CCC">
        <w:rPr>
          <w:rFonts w:ascii="Times New Roman" w:hAnsi="Times New Roman" w:cs="Times New Roman"/>
          <w:b/>
          <w:sz w:val="29"/>
        </w:rPr>
        <w:t xml:space="preserve"> of Antiferromagnetic </w:t>
      </w:r>
      <w:r>
        <w:rPr>
          <w:rFonts w:ascii="Times New Roman" w:hAnsi="Times New Roman" w:cs="Times New Roman" w:hint="eastAsia"/>
          <w:b/>
          <w:sz w:val="29"/>
        </w:rPr>
        <w:t>T</w:t>
      </w:r>
      <w:r w:rsidRPr="00A83CCC">
        <w:rPr>
          <w:rFonts w:ascii="Times New Roman" w:hAnsi="Times New Roman" w:cs="Times New Roman"/>
          <w:b/>
          <w:sz w:val="29"/>
        </w:rPr>
        <w:t xml:space="preserve">opological Weyl semimetal in </w:t>
      </w:r>
      <w:r>
        <w:rPr>
          <w:rFonts w:ascii="Times New Roman" w:hAnsi="Times New Roman" w:cs="Times New Roman" w:hint="eastAsia"/>
          <w:b/>
          <w:sz w:val="29"/>
        </w:rPr>
        <w:t>La</w:t>
      </w:r>
      <w:r w:rsidRPr="00B256EB">
        <w:rPr>
          <w:rFonts w:ascii="Times New Roman" w:hAnsi="Times New Roman" w:cs="Times New Roman" w:hint="eastAsia"/>
          <w:b/>
          <w:sz w:val="29"/>
          <w:vertAlign w:val="subscript"/>
        </w:rPr>
        <w:t>0.1</w:t>
      </w:r>
      <w:r>
        <w:rPr>
          <w:rFonts w:ascii="Times New Roman" w:hAnsi="Times New Roman" w:cs="Times New Roman"/>
          <w:b/>
          <w:sz w:val="29"/>
        </w:rPr>
        <w:t>Eu</w:t>
      </w:r>
      <w:r w:rsidRPr="00B256EB">
        <w:rPr>
          <w:rFonts w:ascii="Times New Roman" w:hAnsi="Times New Roman" w:cs="Times New Roman" w:hint="eastAsia"/>
          <w:b/>
          <w:sz w:val="29"/>
          <w:vertAlign w:val="subscript"/>
        </w:rPr>
        <w:t>0.9</w:t>
      </w:r>
      <w:r>
        <w:rPr>
          <w:rFonts w:ascii="Times New Roman" w:hAnsi="Times New Roman" w:cs="Times New Roman"/>
          <w:b/>
          <w:sz w:val="29"/>
        </w:rPr>
        <w:t>BiTe</w:t>
      </w:r>
      <w:r>
        <w:rPr>
          <w:rFonts w:ascii="Times New Roman" w:hAnsi="Times New Roman" w:cs="Times New Roman"/>
          <w:b/>
          <w:sz w:val="29"/>
          <w:vertAlign w:val="subscript"/>
        </w:rPr>
        <w:t>3</w:t>
      </w:r>
    </w:p>
    <w:p w14:paraId="3400F277" w14:textId="77777777" w:rsidR="00742928" w:rsidRDefault="00742928" w:rsidP="00742928">
      <w:pPr>
        <w:pStyle w:val="MsDefault"/>
        <w:spacing w:line="240" w:lineRule="auto"/>
        <w:jc w:val="center"/>
        <w:rPr>
          <w:rFonts w:ascii="Times New Roman" w:eastAsia="바탕" w:hAnsi="Times New Roman" w:cs="Times New Roman"/>
          <w:bCs/>
          <w:sz w:val="24"/>
          <w:szCs w:val="24"/>
        </w:rPr>
      </w:pPr>
      <w:r>
        <w:rPr>
          <w:rFonts w:ascii="Times New Roman" w:eastAsia="바탕" w:hAnsi="Times New Roman" w:cs="Times New Roman"/>
          <w:bCs/>
          <w:sz w:val="24"/>
          <w:szCs w:val="24"/>
        </w:rPr>
        <w:t>Kwan-Young Lee</w:t>
      </w:r>
      <w:r>
        <w:rPr>
          <w:rFonts w:ascii="Times New Roman" w:eastAsia="바탕" w:hAnsi="Times New Roman" w:cs="Times New Roman"/>
          <w:bCs/>
          <w:sz w:val="24"/>
          <w:szCs w:val="24"/>
          <w:vertAlign w:val="superscript"/>
        </w:rPr>
        <w:t>1</w:t>
      </w:r>
      <w:r>
        <w:rPr>
          <w:rFonts w:ascii="Times New Roman" w:eastAsia="바탕" w:hAnsi="Times New Roman" w:cs="Times New Roman"/>
          <w:bCs/>
          <w:sz w:val="24"/>
          <w:szCs w:val="24"/>
        </w:rPr>
        <w:t>, Kornelius Nielsch</w:t>
      </w:r>
      <w:r>
        <w:rPr>
          <w:rFonts w:ascii="Times New Roman" w:eastAsia="바탕" w:hAnsi="Times New Roman" w:cs="Times New Roman"/>
          <w:bCs/>
          <w:sz w:val="24"/>
          <w:szCs w:val="24"/>
          <w:vertAlign w:val="superscript"/>
        </w:rPr>
        <w:t>2</w:t>
      </w:r>
      <w:r>
        <w:rPr>
          <w:rFonts w:ascii="Times New Roman" w:eastAsia="바탕" w:hAnsi="Times New Roman" w:cs="Times New Roman"/>
          <w:bCs/>
          <w:sz w:val="24"/>
          <w:szCs w:val="24"/>
        </w:rPr>
        <w:t>, Nicolas Perez</w:t>
      </w:r>
      <w:r>
        <w:rPr>
          <w:rFonts w:ascii="Times New Roman" w:eastAsia="바탕" w:hAnsi="Times New Roman" w:cs="Times New Roman"/>
          <w:bCs/>
          <w:sz w:val="24"/>
          <w:szCs w:val="24"/>
          <w:vertAlign w:val="superscript"/>
        </w:rPr>
        <w:t>2,</w:t>
      </w:r>
      <w:r>
        <w:rPr>
          <w:rFonts w:ascii="Times New Roman" w:eastAsia="바탕" w:hAnsi="Times New Roman" w:cs="Times New Roman"/>
          <w:bCs/>
          <w:sz w:val="24"/>
          <w:szCs w:val="24"/>
        </w:rPr>
        <w:t>*, Jinwoong Hwang</w:t>
      </w:r>
      <w:r>
        <w:rPr>
          <w:rFonts w:ascii="Times New Roman" w:eastAsia="바탕" w:hAnsi="Times New Roman" w:cs="Times New Roman"/>
          <w:bCs/>
          <w:sz w:val="24"/>
          <w:szCs w:val="24"/>
          <w:vertAlign w:val="superscript"/>
        </w:rPr>
        <w:t>3</w:t>
      </w:r>
      <w:r>
        <w:rPr>
          <w:rFonts w:ascii="Times New Roman" w:eastAsia="바탕" w:hAnsi="Times New Roman" w:cs="Times New Roman"/>
          <w:bCs/>
          <w:sz w:val="24"/>
          <w:szCs w:val="24"/>
        </w:rPr>
        <w:t>, Ramatul Hidayati</w:t>
      </w:r>
      <w:r>
        <w:rPr>
          <w:rFonts w:ascii="Times New Roman" w:eastAsia="바탕" w:hAnsi="Times New Roman" w:cs="Times New Roman" w:hint="eastAsia"/>
          <w:bCs/>
          <w:sz w:val="24"/>
          <w:szCs w:val="24"/>
          <w:vertAlign w:val="superscript"/>
        </w:rPr>
        <w:t>1,4</w:t>
      </w:r>
      <w:r>
        <w:rPr>
          <w:rFonts w:ascii="Times New Roman" w:eastAsia="바탕" w:hAnsi="Times New Roman" w:cs="Times New Roman"/>
          <w:bCs/>
          <w:sz w:val="24"/>
          <w:szCs w:val="24"/>
        </w:rPr>
        <w:t>, Byeongki Cho</w:t>
      </w:r>
      <w:r>
        <w:rPr>
          <w:rFonts w:ascii="Times New Roman" w:eastAsia="바탕" w:hAnsi="Times New Roman" w:cs="Times New Roman"/>
          <w:bCs/>
          <w:sz w:val="24"/>
          <w:szCs w:val="24"/>
          <w:vertAlign w:val="superscript"/>
        </w:rPr>
        <w:t>4</w:t>
      </w:r>
      <w:r>
        <w:rPr>
          <w:rFonts w:ascii="Times New Roman" w:eastAsia="바탕" w:hAnsi="Times New Roman" w:cs="Times New Roman"/>
          <w:bCs/>
          <w:sz w:val="24"/>
          <w:szCs w:val="24"/>
        </w:rPr>
        <w:t>, Jong-Soo Rhyee</w:t>
      </w:r>
      <w:r>
        <w:rPr>
          <w:rFonts w:ascii="Times New Roman" w:eastAsia="바탕" w:hAnsi="Times New Roman" w:cs="Times New Roman"/>
          <w:bCs/>
          <w:sz w:val="24"/>
          <w:szCs w:val="24"/>
          <w:vertAlign w:val="superscript"/>
        </w:rPr>
        <w:t>1,</w:t>
      </w:r>
      <w:r>
        <w:rPr>
          <w:rFonts w:ascii="Times New Roman" w:eastAsia="바탕" w:hAnsi="Times New Roman" w:cs="Times New Roman"/>
          <w:bCs/>
          <w:sz w:val="24"/>
          <w:szCs w:val="24"/>
        </w:rPr>
        <w:t xml:space="preserve">* </w:t>
      </w:r>
    </w:p>
    <w:p w14:paraId="23629181" w14:textId="77777777" w:rsidR="00742928" w:rsidRDefault="00742928" w:rsidP="00742928">
      <w:pPr>
        <w:pStyle w:val="MsDefault"/>
        <w:spacing w:line="240" w:lineRule="auto"/>
        <w:jc w:val="center"/>
        <w:rPr>
          <w:rFonts w:ascii="Times New Roman" w:eastAsia="바탕" w:hAnsi="Times New Roman" w:cs="Times New Roman"/>
          <w:sz w:val="24"/>
          <w:szCs w:val="24"/>
        </w:rPr>
      </w:pPr>
    </w:p>
    <w:p w14:paraId="1774C647" w14:textId="77777777" w:rsidR="00742928" w:rsidRDefault="00742928" w:rsidP="00742928">
      <w:pPr>
        <w:pStyle w:val="MsDefault"/>
        <w:jc w:val="center"/>
        <w:rPr>
          <w:rFonts w:ascii="Times New Roman" w:eastAsia="바탕" w:hAnsi="Times New Roman" w:cs="Times New Roman"/>
          <w:i/>
          <w:iCs/>
        </w:rPr>
      </w:pPr>
      <w:r>
        <w:rPr>
          <w:rFonts w:ascii="Times New Roman" w:eastAsia="바탕" w:hAnsi="Times New Roman" w:cs="Times New Roman"/>
          <w:i/>
          <w:iCs/>
          <w:vertAlign w:val="superscript"/>
        </w:rPr>
        <w:t>1</w:t>
      </w:r>
      <w:r>
        <w:rPr>
          <w:rFonts w:ascii="Times New Roman" w:hAnsi="Times New Roman" w:cs="Times New Roman"/>
        </w:rPr>
        <w:t xml:space="preserve"> </w:t>
      </w:r>
      <w:r>
        <w:rPr>
          <w:rFonts w:ascii="Times New Roman" w:eastAsia="바탕" w:hAnsi="Times New Roman" w:cs="Times New Roman"/>
          <w:i/>
          <w:iCs/>
        </w:rPr>
        <w:t>Department of Applied Physics</w:t>
      </w:r>
      <w:r>
        <w:rPr>
          <w:rFonts w:ascii="Times New Roman" w:eastAsia="바탕" w:hAnsi="Times New Roman" w:cs="Times New Roman" w:hint="eastAsia"/>
          <w:i/>
          <w:iCs/>
        </w:rPr>
        <w:t xml:space="preserve"> and</w:t>
      </w:r>
      <w:r>
        <w:rPr>
          <w:rFonts w:ascii="Times New Roman" w:eastAsia="바탕" w:hAnsi="Times New Roman" w:cs="Times New Roman"/>
          <w:i/>
          <w:iCs/>
        </w:rPr>
        <w:t xml:space="preserve"> </w:t>
      </w:r>
      <w:r w:rsidRPr="00784863">
        <w:rPr>
          <w:rFonts w:ascii="Times New Roman" w:eastAsia="바탕" w:hAnsi="Times New Roman" w:cs="Times New Roman"/>
          <w:i/>
          <w:iCs/>
        </w:rPr>
        <w:t>G-LAMP NEXUS Institute</w:t>
      </w:r>
      <w:r>
        <w:rPr>
          <w:rFonts w:ascii="Times New Roman" w:eastAsia="바탕" w:hAnsi="Times New Roman" w:cs="Times New Roman"/>
          <w:i/>
          <w:iCs/>
        </w:rPr>
        <w:t>, Kyung Hee University, Yongin 17104, Republic of Korea</w:t>
      </w:r>
    </w:p>
    <w:p w14:paraId="75E73F0C" w14:textId="77777777" w:rsidR="00742928" w:rsidRDefault="00742928" w:rsidP="00742928">
      <w:pPr>
        <w:pStyle w:val="MsDefault"/>
        <w:spacing w:line="240" w:lineRule="auto"/>
        <w:jc w:val="center"/>
        <w:rPr>
          <w:rFonts w:ascii="Times New Roman" w:eastAsia="바탕" w:hAnsi="Times New Roman" w:cs="Times New Roman"/>
          <w:i/>
          <w:iCs/>
        </w:rPr>
      </w:pPr>
      <w:r>
        <w:rPr>
          <w:rFonts w:ascii="Times New Roman" w:hAnsi="Times New Roman" w:cs="Times New Roman"/>
          <w:i/>
          <w:iCs/>
          <w:vertAlign w:val="superscript"/>
        </w:rPr>
        <w:t>2</w:t>
      </w:r>
      <w:r>
        <w:rPr>
          <w:rFonts w:ascii="Times New Roman" w:eastAsia="MS Mincho" w:hAnsi="Times New Roman" w:cs="Times New Roman"/>
          <w:i/>
          <w:iCs/>
          <w:lang w:eastAsia="ja-JP"/>
        </w:rPr>
        <w:t xml:space="preserve"> Leibniz Institute for Solid State and Materials Research IFW Dresden, 01069 Dresden, Germany.</w:t>
      </w:r>
    </w:p>
    <w:p w14:paraId="436AA479" w14:textId="77777777" w:rsidR="00742928" w:rsidRDefault="00742928" w:rsidP="00742928">
      <w:pPr>
        <w:pStyle w:val="MsDefault"/>
        <w:spacing w:line="240" w:lineRule="auto"/>
        <w:ind w:firstLineChars="100" w:firstLine="200"/>
        <w:jc w:val="center"/>
        <w:rPr>
          <w:rFonts w:ascii="Times New Roman" w:eastAsia="MS Mincho" w:hAnsi="Times New Roman" w:cs="Times New Roman"/>
          <w:i/>
          <w:iCs/>
          <w:color w:val="auto"/>
          <w:lang w:eastAsia="ja-JP"/>
        </w:rPr>
      </w:pPr>
      <w:r>
        <w:rPr>
          <w:rFonts w:ascii="Times New Roman" w:hAnsi="Times New Roman" w:cs="Times New Roman"/>
          <w:i/>
          <w:iCs/>
          <w:color w:val="auto"/>
          <w:vertAlign w:val="superscript"/>
        </w:rPr>
        <w:t>3</w:t>
      </w:r>
      <w:r>
        <w:rPr>
          <w:rFonts w:ascii="Times New Roman" w:eastAsia="MS Mincho" w:hAnsi="Times New Roman" w:cs="Times New Roman"/>
          <w:i/>
          <w:iCs/>
          <w:color w:val="auto"/>
          <w:lang w:eastAsia="ja-JP"/>
        </w:rPr>
        <w:t xml:space="preserve"> Department of Physics and Institute of Quantum Convergence Technology, Kangwon National University, Chuncheon, Republic of Korea.</w:t>
      </w:r>
    </w:p>
    <w:p w14:paraId="6D348C32" w14:textId="77777777" w:rsidR="00742928" w:rsidRDefault="00742928" w:rsidP="00742928">
      <w:pPr>
        <w:pStyle w:val="MsDefault"/>
        <w:spacing w:line="240" w:lineRule="auto"/>
        <w:ind w:firstLineChars="100" w:firstLine="200"/>
        <w:jc w:val="center"/>
        <w:rPr>
          <w:rFonts w:ascii="Times New Roman" w:eastAsia="MS Mincho" w:hAnsi="Times New Roman" w:cs="Times New Roman"/>
          <w:i/>
          <w:iCs/>
          <w:color w:val="auto"/>
          <w:lang w:eastAsia="ja-JP"/>
        </w:rPr>
      </w:pPr>
      <w:r>
        <w:rPr>
          <w:rFonts w:ascii="Times New Roman" w:eastAsia="MS Mincho" w:hAnsi="Times New Roman" w:cs="Times New Roman"/>
          <w:i/>
          <w:iCs/>
          <w:color w:val="auto"/>
          <w:vertAlign w:val="superscript"/>
          <w:lang w:eastAsia="ja-JP"/>
        </w:rPr>
        <w:t>4</w:t>
      </w:r>
      <w:r>
        <w:rPr>
          <w:rFonts w:ascii="Times New Roman" w:eastAsia="MS Mincho" w:hAnsi="Times New Roman" w:cs="Times New Roman"/>
          <w:i/>
          <w:iCs/>
          <w:color w:val="auto"/>
          <w:lang w:eastAsia="ja-JP"/>
        </w:rPr>
        <w:t>School of Materials Science and Engineering, Gwangju Institute of Science and Technology, Gwangju 61005, Republic of Korea</w:t>
      </w:r>
    </w:p>
    <w:p w14:paraId="6076DC19" w14:textId="77777777" w:rsidR="00562B10" w:rsidRDefault="00562B10" w:rsidP="00562B10">
      <w:pPr>
        <w:rPr>
          <w:rFonts w:ascii="Times New Roman" w:hAnsi="Times New Roman" w:cs="Times New Roman"/>
          <w:sz w:val="24"/>
          <w:szCs w:val="24"/>
        </w:rPr>
      </w:pPr>
    </w:p>
    <w:p w14:paraId="4FC4D61C" w14:textId="77777777" w:rsidR="00742928" w:rsidRPr="00514C75" w:rsidRDefault="00742928" w:rsidP="00742928">
      <w:pPr>
        <w:spacing w:after="204" w:line="360" w:lineRule="auto"/>
        <w:ind w:left="-15"/>
        <w:rPr>
          <w:rFonts w:ascii="Times New Roman" w:hAnsi="Times New Roman" w:cs="Times New Roman"/>
        </w:rPr>
      </w:pPr>
      <w:r>
        <w:rPr>
          <w:rFonts w:ascii="Cambria Math" w:hAnsi="Cambria Math" w:cs="Cambria Math"/>
          <w:sz w:val="22"/>
          <w:vertAlign w:val="superscript"/>
        </w:rPr>
        <w:t>∗</w:t>
      </w:r>
      <w:r>
        <w:rPr>
          <w:rFonts w:ascii="Times New Roman" w:hAnsi="Times New Roman" w:cs="Times New Roman"/>
          <w:sz w:val="22"/>
        </w:rPr>
        <w:t>Corresponding author</w:t>
      </w:r>
      <w:r>
        <w:rPr>
          <w:rFonts w:ascii="Times New Roman" w:hAnsi="Times New Roman" w:cs="Times New Roman" w:hint="eastAsia"/>
          <w:sz w:val="22"/>
        </w:rPr>
        <w:t>s</w:t>
      </w:r>
      <w:r>
        <w:rPr>
          <w:rFonts w:ascii="Times New Roman" w:hAnsi="Times New Roman" w:cs="Times New Roman"/>
          <w:sz w:val="22"/>
        </w:rPr>
        <w:t xml:space="preserve"> email address</w:t>
      </w:r>
      <w:r>
        <w:rPr>
          <w:rFonts w:ascii="Times New Roman" w:hAnsi="Times New Roman" w:cs="Times New Roman" w:hint="eastAsia"/>
          <w:sz w:val="22"/>
        </w:rPr>
        <w:t>es</w:t>
      </w:r>
      <w:r>
        <w:rPr>
          <w:rFonts w:ascii="Times New Roman" w:hAnsi="Times New Roman" w:cs="Times New Roman"/>
          <w:sz w:val="22"/>
        </w:rPr>
        <w:t xml:space="preserve">: </w:t>
      </w:r>
      <w:hyperlink r:id="rId8" w:history="1">
        <w:r>
          <w:rPr>
            <w:rStyle w:val="ad"/>
            <w:rFonts w:ascii="Times New Roman" w:hAnsi="Times New Roman" w:cs="Times New Roman"/>
            <w:sz w:val="22"/>
          </w:rPr>
          <w:t>n.perez.rodriguez@ifw-dresden.de</w:t>
        </w:r>
      </w:hyperlink>
      <w:r>
        <w:rPr>
          <w:rFonts w:ascii="Times New Roman" w:hAnsi="Times New Roman" w:cs="Times New Roman"/>
          <w:sz w:val="22"/>
        </w:rPr>
        <w:t xml:space="preserve"> </w:t>
      </w:r>
      <w:r>
        <w:rPr>
          <w:rFonts w:ascii="Times New Roman" w:hAnsi="Times New Roman" w:cs="Times New Roman" w:hint="eastAsia"/>
          <w:sz w:val="22"/>
        </w:rPr>
        <w:t>(N.P.)</w:t>
      </w:r>
      <w:r>
        <w:rPr>
          <w:rFonts w:ascii="Times New Roman" w:hAnsi="Times New Roman" w:cs="Times New Roman"/>
          <w:sz w:val="22"/>
        </w:rPr>
        <w:t xml:space="preserve">, </w:t>
      </w:r>
      <w:hyperlink r:id="rId9" w:history="1">
        <w:r>
          <w:rPr>
            <w:rStyle w:val="ad"/>
            <w:rFonts w:ascii="Times New Roman" w:hAnsi="Times New Roman" w:cs="Times New Roman"/>
            <w:sz w:val="22"/>
          </w:rPr>
          <w:t>jsrhyee@khu.ac.kr</w:t>
        </w:r>
      </w:hyperlink>
      <w:r>
        <w:rPr>
          <w:rFonts w:ascii="Times New Roman" w:hAnsi="Times New Roman" w:cs="Times New Roman"/>
          <w:sz w:val="22"/>
        </w:rPr>
        <w:t xml:space="preserve"> </w:t>
      </w:r>
      <w:r>
        <w:rPr>
          <w:rFonts w:ascii="Times New Roman" w:hAnsi="Times New Roman" w:cs="Times New Roman" w:hint="eastAsia"/>
          <w:sz w:val="22"/>
        </w:rPr>
        <w:t>(J.-S.R.)</w:t>
      </w:r>
    </w:p>
    <w:p w14:paraId="1B70C1BB" w14:textId="77777777" w:rsidR="00742928" w:rsidRPr="00742928" w:rsidRDefault="00742928" w:rsidP="00562B10">
      <w:pPr>
        <w:rPr>
          <w:rFonts w:ascii="Times New Roman" w:hAnsi="Times New Roman" w:cs="Times New Roman" w:hint="eastAsia"/>
          <w:sz w:val="24"/>
          <w:szCs w:val="24"/>
        </w:rPr>
      </w:pPr>
    </w:p>
    <w:p w14:paraId="10F84C89" w14:textId="4C5CC73D" w:rsidR="008A0287" w:rsidRPr="00BB746C" w:rsidRDefault="008A0287" w:rsidP="008A0287">
      <w:pPr>
        <w:rPr>
          <w:rFonts w:ascii="Times New Roman" w:hAnsi="Times New Roman" w:cs="Times New Roman"/>
          <w:b/>
          <w:bCs/>
          <w:sz w:val="24"/>
          <w:szCs w:val="24"/>
        </w:rPr>
      </w:pPr>
      <w:r w:rsidRPr="00BB746C">
        <w:rPr>
          <w:rFonts w:ascii="Times New Roman" w:hAnsi="Times New Roman" w:cs="Times New Roman"/>
          <w:b/>
          <w:bCs/>
          <w:sz w:val="24"/>
          <w:szCs w:val="24"/>
        </w:rPr>
        <w:t xml:space="preserve">Materials and Methods </w:t>
      </w:r>
    </w:p>
    <w:p w14:paraId="209CCB69" w14:textId="70C6833E" w:rsidR="008A0287" w:rsidRPr="00495B45" w:rsidRDefault="00922902" w:rsidP="008A0287">
      <w:pPr>
        <w:rPr>
          <w:rFonts w:ascii="Times New Roman" w:hAnsi="Times New Roman" w:cs="Times New Roman"/>
          <w:color w:val="000000" w:themeColor="text1"/>
          <w:sz w:val="24"/>
          <w:szCs w:val="24"/>
          <w:u w:val="single"/>
        </w:rPr>
      </w:pPr>
      <w:r w:rsidRPr="00495B45">
        <w:rPr>
          <w:rFonts w:ascii="Times New Roman" w:hAnsi="Times New Roman" w:cs="Times New Roman"/>
          <w:color w:val="000000" w:themeColor="text1"/>
          <w:sz w:val="24"/>
          <w:szCs w:val="24"/>
          <w:u w:val="single"/>
        </w:rPr>
        <w:t>La</w:t>
      </w:r>
      <w:r w:rsidRPr="00495B45">
        <w:rPr>
          <w:rFonts w:ascii="Times New Roman" w:hAnsi="Times New Roman" w:cs="Times New Roman"/>
          <w:color w:val="000000" w:themeColor="text1"/>
          <w:sz w:val="24"/>
          <w:szCs w:val="24"/>
          <w:u w:val="single"/>
          <w:vertAlign w:val="subscript"/>
        </w:rPr>
        <w:t>0.1</w:t>
      </w:r>
      <w:r w:rsidRPr="00495B45">
        <w:rPr>
          <w:rFonts w:ascii="Times New Roman" w:hAnsi="Times New Roman" w:cs="Times New Roman"/>
          <w:color w:val="000000" w:themeColor="text1"/>
          <w:sz w:val="24"/>
          <w:szCs w:val="24"/>
          <w:u w:val="single"/>
        </w:rPr>
        <w:t>Eu</w:t>
      </w:r>
      <w:r w:rsidRPr="00495B45">
        <w:rPr>
          <w:rFonts w:ascii="Times New Roman" w:hAnsi="Times New Roman" w:cs="Times New Roman"/>
          <w:color w:val="000000" w:themeColor="text1"/>
          <w:sz w:val="24"/>
          <w:szCs w:val="24"/>
          <w:u w:val="single"/>
          <w:vertAlign w:val="subscript"/>
        </w:rPr>
        <w:t>0.9</w:t>
      </w:r>
      <w:r w:rsidRPr="00495B45">
        <w:rPr>
          <w:rFonts w:ascii="Times New Roman" w:hAnsi="Times New Roman" w:cs="Times New Roman"/>
          <w:color w:val="000000" w:themeColor="text1"/>
          <w:sz w:val="24"/>
          <w:szCs w:val="24"/>
          <w:u w:val="single"/>
        </w:rPr>
        <w:t>BiTe</w:t>
      </w:r>
      <w:r w:rsidRPr="00495B45">
        <w:rPr>
          <w:rFonts w:ascii="Times New Roman" w:hAnsi="Times New Roman" w:cs="Times New Roman"/>
          <w:color w:val="000000" w:themeColor="text1"/>
          <w:sz w:val="24"/>
          <w:szCs w:val="24"/>
          <w:u w:val="single"/>
          <w:vertAlign w:val="subscript"/>
        </w:rPr>
        <w:t>3</w:t>
      </w:r>
      <w:r w:rsidRPr="00495B45">
        <w:rPr>
          <w:rFonts w:ascii="Times New Roman" w:hAnsi="Times New Roman" w:cs="Times New Roman"/>
          <w:color w:val="000000" w:themeColor="text1"/>
          <w:sz w:val="24"/>
          <w:szCs w:val="24"/>
          <w:u w:val="single"/>
        </w:rPr>
        <w:t xml:space="preserve"> single crystal</w:t>
      </w:r>
      <w:r w:rsidR="008A0287" w:rsidRPr="00495B45">
        <w:rPr>
          <w:rFonts w:ascii="Times New Roman" w:hAnsi="Times New Roman" w:cs="Times New Roman"/>
          <w:color w:val="000000" w:themeColor="text1"/>
          <w:sz w:val="24"/>
          <w:szCs w:val="24"/>
          <w:u w:val="single"/>
        </w:rPr>
        <w:t xml:space="preserve"> preparation and characterization</w:t>
      </w:r>
    </w:p>
    <w:p w14:paraId="3A3431FE" w14:textId="1FF1EA6D" w:rsidR="008A0287" w:rsidRPr="00495B45" w:rsidRDefault="00922902" w:rsidP="008A0287">
      <w:pPr>
        <w:rPr>
          <w:rFonts w:ascii="Times New Roman" w:hAnsi="Times New Roman" w:cs="Times New Roman"/>
          <w:color w:val="000000" w:themeColor="text1"/>
          <w:sz w:val="24"/>
          <w:szCs w:val="24"/>
        </w:rPr>
      </w:pPr>
      <w:r w:rsidRPr="00495B45">
        <w:rPr>
          <w:rFonts w:ascii="Times New Roman" w:hAnsi="Times New Roman" w:cs="Times New Roman"/>
          <w:color w:val="000000" w:themeColor="text1"/>
          <w:sz w:val="24"/>
          <w:szCs w:val="24"/>
        </w:rPr>
        <w:t>La</w:t>
      </w:r>
      <w:r w:rsidRPr="00495B45">
        <w:rPr>
          <w:rFonts w:ascii="Times New Roman" w:hAnsi="Times New Roman" w:cs="Times New Roman"/>
          <w:color w:val="000000" w:themeColor="text1"/>
          <w:sz w:val="24"/>
          <w:szCs w:val="24"/>
          <w:vertAlign w:val="subscript"/>
        </w:rPr>
        <w:t>0.1</w:t>
      </w:r>
      <w:r w:rsidRPr="00495B45">
        <w:rPr>
          <w:rFonts w:ascii="Times New Roman" w:hAnsi="Times New Roman" w:cs="Times New Roman"/>
          <w:color w:val="000000" w:themeColor="text1"/>
          <w:sz w:val="24"/>
          <w:szCs w:val="24"/>
        </w:rPr>
        <w:t>Eu</w:t>
      </w:r>
      <w:r w:rsidRPr="00495B45">
        <w:rPr>
          <w:rFonts w:ascii="Times New Roman" w:hAnsi="Times New Roman" w:cs="Times New Roman"/>
          <w:color w:val="000000" w:themeColor="text1"/>
          <w:sz w:val="24"/>
          <w:szCs w:val="24"/>
          <w:vertAlign w:val="subscript"/>
        </w:rPr>
        <w:t>0.9</w:t>
      </w:r>
      <w:r w:rsidRPr="00495B45">
        <w:rPr>
          <w:rFonts w:ascii="Times New Roman" w:hAnsi="Times New Roman" w:cs="Times New Roman"/>
          <w:color w:val="000000" w:themeColor="text1"/>
          <w:sz w:val="24"/>
          <w:szCs w:val="24"/>
        </w:rPr>
        <w:t>BiTe</w:t>
      </w:r>
      <w:r w:rsidRPr="00495B45">
        <w:rPr>
          <w:rFonts w:ascii="Times New Roman" w:hAnsi="Times New Roman" w:cs="Times New Roman"/>
          <w:color w:val="000000" w:themeColor="text1"/>
          <w:sz w:val="24"/>
          <w:szCs w:val="24"/>
          <w:vertAlign w:val="subscript"/>
        </w:rPr>
        <w:t>3</w:t>
      </w:r>
      <w:r w:rsidRPr="00495B45">
        <w:rPr>
          <w:rFonts w:ascii="Times New Roman" w:hAnsi="Times New Roman" w:cs="Times New Roman"/>
          <w:color w:val="000000" w:themeColor="text1"/>
          <w:sz w:val="24"/>
          <w:szCs w:val="24"/>
        </w:rPr>
        <w:t xml:space="preserve"> single crystal </w:t>
      </w:r>
      <w:r w:rsidR="008A0287" w:rsidRPr="00495B45">
        <w:rPr>
          <w:rFonts w:ascii="Times New Roman" w:hAnsi="Times New Roman" w:cs="Times New Roman"/>
          <w:color w:val="000000" w:themeColor="text1"/>
          <w:sz w:val="24"/>
          <w:szCs w:val="24"/>
        </w:rPr>
        <w:t>w</w:t>
      </w:r>
      <w:r w:rsidRPr="00495B45">
        <w:rPr>
          <w:rFonts w:ascii="Times New Roman" w:hAnsi="Times New Roman" w:cs="Times New Roman"/>
          <w:color w:val="000000" w:themeColor="text1"/>
          <w:sz w:val="24"/>
          <w:szCs w:val="24"/>
        </w:rPr>
        <w:t>as</w:t>
      </w:r>
      <w:r w:rsidR="008A0287" w:rsidRPr="00495B45">
        <w:rPr>
          <w:rFonts w:ascii="Times New Roman" w:hAnsi="Times New Roman" w:cs="Times New Roman"/>
          <w:color w:val="000000" w:themeColor="text1"/>
          <w:sz w:val="24"/>
          <w:szCs w:val="24"/>
        </w:rPr>
        <w:t xml:space="preserve"> prepared by a </w:t>
      </w:r>
      <w:r w:rsidRPr="00495B45">
        <w:rPr>
          <w:rFonts w:ascii="Times New Roman" w:hAnsi="Times New Roman" w:cs="Times New Roman"/>
          <w:color w:val="000000" w:themeColor="text1"/>
          <w:sz w:val="24"/>
          <w:szCs w:val="24"/>
        </w:rPr>
        <w:t>BiTe</w:t>
      </w:r>
      <w:r w:rsidRPr="00495B45">
        <w:rPr>
          <w:rFonts w:ascii="Times New Roman" w:hAnsi="Times New Roman" w:cs="Times New Roman"/>
          <w:color w:val="000000" w:themeColor="text1"/>
          <w:sz w:val="24"/>
          <w:szCs w:val="24"/>
          <w:vertAlign w:val="subscript"/>
        </w:rPr>
        <w:t>12</w:t>
      </w:r>
      <w:r w:rsidRPr="00495B45">
        <w:rPr>
          <w:rFonts w:ascii="Times New Roman" w:hAnsi="Times New Roman" w:cs="Times New Roman"/>
          <w:color w:val="000000" w:themeColor="text1"/>
          <w:sz w:val="24"/>
          <w:szCs w:val="24"/>
        </w:rPr>
        <w:t xml:space="preserve"> flux method</w:t>
      </w:r>
      <w:r w:rsidR="00003E61" w:rsidRPr="00495B45">
        <w:rPr>
          <w:rFonts w:ascii="Times New Roman" w:hAnsi="Times New Roman" w:cs="Times New Roman"/>
          <w:color w:val="000000" w:themeColor="text1"/>
          <w:sz w:val="24"/>
          <w:szCs w:val="24"/>
        </w:rPr>
        <w:t xml:space="preserve"> as</w:t>
      </w:r>
      <w:r w:rsidR="008A0287" w:rsidRPr="00495B45">
        <w:rPr>
          <w:rFonts w:ascii="Times New Roman" w:hAnsi="Times New Roman" w:cs="Times New Roman"/>
          <w:color w:val="000000" w:themeColor="text1"/>
          <w:sz w:val="24"/>
          <w:szCs w:val="24"/>
        </w:rPr>
        <w:t xml:space="preserve"> </w:t>
      </w:r>
      <w:r w:rsidR="00003E61" w:rsidRPr="00495B45">
        <w:rPr>
          <w:rFonts w:ascii="Times New Roman" w:hAnsi="Times New Roman" w:cs="Times New Roman"/>
          <w:color w:val="000000" w:themeColor="text1"/>
          <w:sz w:val="24"/>
          <w:szCs w:val="24"/>
        </w:rPr>
        <w:t>following stochiometric elements</w:t>
      </w:r>
      <w:r w:rsidR="008A0287" w:rsidRPr="00495B45">
        <w:rPr>
          <w:rFonts w:ascii="Times New Roman" w:hAnsi="Times New Roman" w:cs="Times New Roman"/>
          <w:color w:val="000000" w:themeColor="text1"/>
          <w:sz w:val="24"/>
          <w:szCs w:val="24"/>
        </w:rPr>
        <w:t xml:space="preserve"> using powders of </w:t>
      </w:r>
      <w:r w:rsidR="00003E61" w:rsidRPr="00495B45">
        <w:rPr>
          <w:rFonts w:ascii="Times New Roman" w:hAnsi="Times New Roman" w:cs="Times New Roman"/>
          <w:color w:val="000000" w:themeColor="text1"/>
          <w:sz w:val="24"/>
          <w:szCs w:val="24"/>
        </w:rPr>
        <w:t>La</w:t>
      </w:r>
      <w:r w:rsidR="008A0287" w:rsidRPr="00495B45">
        <w:rPr>
          <w:rFonts w:ascii="Times New Roman" w:hAnsi="Times New Roman" w:cs="Times New Roman"/>
          <w:color w:val="000000" w:themeColor="text1"/>
          <w:sz w:val="24"/>
          <w:szCs w:val="24"/>
        </w:rPr>
        <w:t xml:space="preserve"> (99.9 %), </w:t>
      </w:r>
      <w:r w:rsidR="00003E61" w:rsidRPr="00495B45">
        <w:rPr>
          <w:rFonts w:ascii="Times New Roman" w:hAnsi="Times New Roman" w:cs="Times New Roman"/>
          <w:color w:val="000000" w:themeColor="text1"/>
          <w:sz w:val="24"/>
          <w:szCs w:val="24"/>
        </w:rPr>
        <w:t>granules of Eu</w:t>
      </w:r>
      <w:r w:rsidR="008A0287" w:rsidRPr="00495B45">
        <w:rPr>
          <w:rFonts w:ascii="Times New Roman" w:hAnsi="Times New Roman" w:cs="Times New Roman"/>
          <w:color w:val="000000" w:themeColor="text1"/>
          <w:sz w:val="24"/>
          <w:szCs w:val="24"/>
        </w:rPr>
        <w:t xml:space="preserve"> (99</w:t>
      </w:r>
      <w:r w:rsidR="00003E61" w:rsidRPr="00495B45">
        <w:rPr>
          <w:rFonts w:ascii="Times New Roman" w:hAnsi="Times New Roman" w:cs="Times New Roman"/>
          <w:color w:val="000000" w:themeColor="text1"/>
          <w:sz w:val="24"/>
          <w:szCs w:val="24"/>
        </w:rPr>
        <w:t>.9</w:t>
      </w:r>
      <w:r w:rsidR="008A0287" w:rsidRPr="00495B45">
        <w:rPr>
          <w:rFonts w:ascii="Times New Roman" w:hAnsi="Times New Roman" w:cs="Times New Roman"/>
          <w:color w:val="000000" w:themeColor="text1"/>
          <w:sz w:val="24"/>
          <w:szCs w:val="24"/>
        </w:rPr>
        <w:t xml:space="preserve"> %), </w:t>
      </w:r>
      <w:r w:rsidR="00003E61" w:rsidRPr="00495B45">
        <w:rPr>
          <w:rFonts w:ascii="Times New Roman" w:hAnsi="Times New Roman" w:cs="Times New Roman"/>
          <w:color w:val="000000" w:themeColor="text1"/>
          <w:sz w:val="24"/>
          <w:szCs w:val="24"/>
        </w:rPr>
        <w:t>powders of B</w:t>
      </w:r>
      <w:r w:rsidR="008A0287" w:rsidRPr="00495B45">
        <w:rPr>
          <w:rFonts w:ascii="Times New Roman" w:hAnsi="Times New Roman" w:cs="Times New Roman"/>
          <w:color w:val="000000" w:themeColor="text1"/>
          <w:sz w:val="24"/>
          <w:szCs w:val="24"/>
        </w:rPr>
        <w:t>i (99.9</w:t>
      </w:r>
      <w:r w:rsidR="00003E61" w:rsidRPr="00495B45">
        <w:rPr>
          <w:rFonts w:ascii="Times New Roman" w:hAnsi="Times New Roman" w:cs="Times New Roman"/>
          <w:color w:val="000000" w:themeColor="text1"/>
          <w:sz w:val="24"/>
          <w:szCs w:val="24"/>
        </w:rPr>
        <w:t>9</w:t>
      </w:r>
      <w:r w:rsidR="008A0287" w:rsidRPr="00495B45">
        <w:rPr>
          <w:rFonts w:ascii="Times New Roman" w:hAnsi="Times New Roman" w:cs="Times New Roman"/>
          <w:color w:val="000000" w:themeColor="text1"/>
          <w:sz w:val="24"/>
          <w:szCs w:val="24"/>
        </w:rPr>
        <w:t xml:space="preserve"> %)</w:t>
      </w:r>
      <w:r w:rsidR="00003E61" w:rsidRPr="00495B45">
        <w:rPr>
          <w:rFonts w:ascii="Times New Roman" w:hAnsi="Times New Roman" w:cs="Times New Roman"/>
          <w:color w:val="000000" w:themeColor="text1"/>
          <w:sz w:val="24"/>
          <w:szCs w:val="24"/>
        </w:rPr>
        <w:t xml:space="preserve"> and</w:t>
      </w:r>
      <w:r w:rsidR="008A0287" w:rsidRPr="00495B45">
        <w:rPr>
          <w:rFonts w:ascii="Times New Roman" w:hAnsi="Times New Roman" w:cs="Times New Roman"/>
          <w:color w:val="000000" w:themeColor="text1"/>
          <w:sz w:val="24"/>
          <w:szCs w:val="24"/>
        </w:rPr>
        <w:t xml:space="preserve"> </w:t>
      </w:r>
      <w:r w:rsidR="00003E61" w:rsidRPr="00495B45">
        <w:rPr>
          <w:rFonts w:ascii="Times New Roman" w:hAnsi="Times New Roman" w:cs="Times New Roman"/>
          <w:color w:val="000000" w:themeColor="text1"/>
          <w:sz w:val="24"/>
          <w:szCs w:val="24"/>
        </w:rPr>
        <w:t>Te</w:t>
      </w:r>
      <w:r w:rsidR="008A0287" w:rsidRPr="00495B45">
        <w:rPr>
          <w:rFonts w:ascii="Times New Roman" w:hAnsi="Times New Roman" w:cs="Times New Roman"/>
          <w:color w:val="000000" w:themeColor="text1"/>
          <w:sz w:val="24"/>
          <w:szCs w:val="24"/>
        </w:rPr>
        <w:t xml:space="preserve"> (99</w:t>
      </w:r>
      <w:r w:rsidR="00003E61" w:rsidRPr="00495B45">
        <w:rPr>
          <w:rFonts w:ascii="Times New Roman" w:hAnsi="Times New Roman" w:cs="Times New Roman"/>
          <w:color w:val="000000" w:themeColor="text1"/>
          <w:sz w:val="24"/>
          <w:szCs w:val="24"/>
        </w:rPr>
        <w:t>.99</w:t>
      </w:r>
      <w:r w:rsidR="008A0287" w:rsidRPr="00495B45">
        <w:rPr>
          <w:rFonts w:ascii="Times New Roman" w:hAnsi="Times New Roman" w:cs="Times New Roman"/>
          <w:color w:val="000000" w:themeColor="text1"/>
          <w:sz w:val="24"/>
          <w:szCs w:val="24"/>
        </w:rPr>
        <w:t xml:space="preserve"> %)</w:t>
      </w:r>
      <w:r w:rsidR="00003E61" w:rsidRPr="00495B45">
        <w:rPr>
          <w:rFonts w:ascii="Times New Roman" w:hAnsi="Times New Roman" w:cs="Times New Roman"/>
          <w:color w:val="000000" w:themeColor="text1"/>
          <w:sz w:val="24"/>
          <w:szCs w:val="24"/>
        </w:rPr>
        <w:t>. M</w:t>
      </w:r>
      <w:r w:rsidR="008A0287" w:rsidRPr="00495B45">
        <w:rPr>
          <w:rFonts w:ascii="Times New Roman" w:hAnsi="Times New Roman" w:cs="Times New Roman"/>
          <w:color w:val="000000" w:themeColor="text1"/>
          <w:sz w:val="24"/>
          <w:szCs w:val="24"/>
        </w:rPr>
        <w:t xml:space="preserve">ixed </w:t>
      </w:r>
      <w:r w:rsidR="00003E61" w:rsidRPr="00495B45">
        <w:rPr>
          <w:rFonts w:ascii="Times New Roman" w:hAnsi="Times New Roman" w:cs="Times New Roman"/>
          <w:color w:val="000000" w:themeColor="text1"/>
          <w:sz w:val="24"/>
          <w:szCs w:val="24"/>
        </w:rPr>
        <w:t>elements</w:t>
      </w:r>
      <w:r w:rsidR="005A0D69" w:rsidRPr="00495B45">
        <w:rPr>
          <w:rFonts w:ascii="Times New Roman" w:hAnsi="Times New Roman" w:cs="Times New Roman"/>
          <w:color w:val="000000" w:themeColor="text1"/>
          <w:sz w:val="24"/>
          <w:szCs w:val="24"/>
        </w:rPr>
        <w:t xml:space="preserve"> </w:t>
      </w:r>
      <w:r w:rsidR="00003E61" w:rsidRPr="00495B45">
        <w:rPr>
          <w:rFonts w:ascii="Times New Roman" w:hAnsi="Times New Roman" w:cs="Times New Roman"/>
          <w:color w:val="000000" w:themeColor="text1"/>
          <w:sz w:val="24"/>
          <w:szCs w:val="24"/>
        </w:rPr>
        <w:t xml:space="preserve">(10 g of total mass) </w:t>
      </w:r>
      <w:r w:rsidR="008A0287" w:rsidRPr="00495B45">
        <w:rPr>
          <w:rFonts w:ascii="Times New Roman" w:hAnsi="Times New Roman" w:cs="Times New Roman"/>
          <w:color w:val="000000" w:themeColor="text1"/>
          <w:sz w:val="24"/>
          <w:szCs w:val="24"/>
        </w:rPr>
        <w:t xml:space="preserve">were placed into </w:t>
      </w:r>
      <w:r w:rsidR="00003E61" w:rsidRPr="00495B45">
        <w:rPr>
          <w:rFonts w:ascii="Times New Roman" w:hAnsi="Times New Roman" w:cs="Times New Roman"/>
          <w:color w:val="000000" w:themeColor="text1"/>
          <w:sz w:val="24"/>
          <w:szCs w:val="24"/>
        </w:rPr>
        <w:t xml:space="preserve">vacuum-sealed quartz ampoules in molar ratios of </w:t>
      </w:r>
      <w:r w:rsidR="00277E7C">
        <w:rPr>
          <w:rFonts w:ascii="Times New Roman" w:hAnsi="Times New Roman" w:cs="Times New Roman"/>
          <w:color w:val="000000" w:themeColor="text1"/>
          <w:sz w:val="24"/>
          <w:szCs w:val="24"/>
        </w:rPr>
        <w:t>0.1:0.9</w:t>
      </w:r>
      <w:r w:rsidR="00003E61" w:rsidRPr="00495B45">
        <w:rPr>
          <w:rFonts w:ascii="Times New Roman" w:hAnsi="Times New Roman" w:cs="Times New Roman"/>
          <w:color w:val="000000" w:themeColor="text1"/>
          <w:sz w:val="24"/>
          <w:szCs w:val="24"/>
        </w:rPr>
        <w:t>:2.5:13</w:t>
      </w:r>
      <w:r w:rsidR="008A0287" w:rsidRPr="00495B45">
        <w:rPr>
          <w:rFonts w:ascii="Times New Roman" w:hAnsi="Times New Roman" w:cs="Times New Roman"/>
          <w:color w:val="000000" w:themeColor="text1"/>
          <w:sz w:val="24"/>
          <w:szCs w:val="24"/>
        </w:rPr>
        <w:t xml:space="preserve"> under Ar atmosphere </w:t>
      </w:r>
      <w:r w:rsidR="00003E61" w:rsidRPr="00495B45">
        <w:rPr>
          <w:rFonts w:ascii="Times New Roman" w:hAnsi="Times New Roman" w:cs="Times New Roman"/>
          <w:color w:val="000000" w:themeColor="text1"/>
          <w:sz w:val="24"/>
          <w:szCs w:val="24"/>
        </w:rPr>
        <w:t xml:space="preserve">in glovebox </w:t>
      </w:r>
      <w:r w:rsidR="008A0287" w:rsidRPr="00495B45">
        <w:rPr>
          <w:rFonts w:ascii="Times New Roman" w:hAnsi="Times New Roman" w:cs="Times New Roman"/>
          <w:color w:val="000000" w:themeColor="text1"/>
          <w:sz w:val="24"/>
          <w:szCs w:val="24"/>
        </w:rPr>
        <w:t>to prevent oxidation</w:t>
      </w:r>
      <w:r w:rsidR="00003E61" w:rsidRPr="00495B45">
        <w:rPr>
          <w:rFonts w:ascii="Times New Roman" w:hAnsi="Times New Roman" w:cs="Times New Roman"/>
          <w:color w:val="000000" w:themeColor="text1"/>
          <w:sz w:val="24"/>
          <w:szCs w:val="24"/>
        </w:rPr>
        <w:t xml:space="preserve"> of rare earth elements</w:t>
      </w:r>
      <w:r w:rsidR="008A0287" w:rsidRPr="00495B45">
        <w:rPr>
          <w:rFonts w:ascii="Times New Roman" w:hAnsi="Times New Roman" w:cs="Times New Roman"/>
          <w:color w:val="000000" w:themeColor="text1"/>
          <w:sz w:val="24"/>
          <w:szCs w:val="24"/>
        </w:rPr>
        <w:t xml:space="preserve">. </w:t>
      </w:r>
      <w:r w:rsidR="00101E2A" w:rsidRPr="00495B45">
        <w:rPr>
          <w:rFonts w:ascii="Times New Roman" w:hAnsi="Times New Roman" w:cs="Times New Roman"/>
          <w:color w:val="000000" w:themeColor="text1"/>
          <w:sz w:val="24"/>
          <w:szCs w:val="24"/>
        </w:rPr>
        <w:t>Ampoules were sealed under the vacuum</w:t>
      </w:r>
      <w:r w:rsidR="005A0D69" w:rsidRPr="00495B45">
        <w:rPr>
          <w:rFonts w:ascii="Times New Roman" w:hAnsi="Times New Roman" w:cs="Times New Roman"/>
          <w:color w:val="000000" w:themeColor="text1"/>
          <w:sz w:val="24"/>
          <w:szCs w:val="24"/>
        </w:rPr>
        <w:t xml:space="preserve"> </w:t>
      </w:r>
      <w:r w:rsidR="00101E2A" w:rsidRPr="00495B45">
        <w:rPr>
          <w:rFonts w:ascii="Times New Roman" w:hAnsi="Times New Roman" w:cs="Times New Roman"/>
          <w:color w:val="000000" w:themeColor="text1"/>
          <w:sz w:val="24"/>
          <w:szCs w:val="24"/>
        </w:rPr>
        <w:t>(&lt;10</w:t>
      </w:r>
      <w:r w:rsidR="00101E2A" w:rsidRPr="00495B45">
        <w:rPr>
          <w:rFonts w:ascii="Times New Roman" w:hAnsi="Times New Roman" w:cs="Times New Roman"/>
          <w:color w:val="000000" w:themeColor="text1"/>
          <w:sz w:val="24"/>
          <w:szCs w:val="24"/>
          <w:vertAlign w:val="superscript"/>
        </w:rPr>
        <w:t>-5</w:t>
      </w:r>
      <w:r w:rsidR="00101E2A" w:rsidRPr="00495B45">
        <w:rPr>
          <w:rFonts w:ascii="Times New Roman" w:hAnsi="Times New Roman" w:cs="Times New Roman"/>
          <w:color w:val="000000" w:themeColor="text1"/>
          <w:sz w:val="24"/>
          <w:szCs w:val="24"/>
        </w:rPr>
        <w:t xml:space="preserve"> </w:t>
      </w:r>
      <w:r w:rsidR="0058228D" w:rsidRPr="00495B45">
        <w:rPr>
          <w:rFonts w:ascii="Times New Roman" w:hAnsi="Times New Roman" w:cs="Times New Roman"/>
          <w:color w:val="000000" w:themeColor="text1"/>
          <w:sz w:val="24"/>
          <w:szCs w:val="24"/>
        </w:rPr>
        <w:t>torr</w:t>
      </w:r>
      <w:r w:rsidR="00101E2A" w:rsidRPr="00495B45">
        <w:rPr>
          <w:rFonts w:ascii="Times New Roman" w:hAnsi="Times New Roman" w:cs="Times New Roman"/>
          <w:color w:val="000000" w:themeColor="text1"/>
          <w:sz w:val="24"/>
          <w:szCs w:val="24"/>
        </w:rPr>
        <w:t>)</w:t>
      </w:r>
      <w:r w:rsidR="0058228D" w:rsidRPr="00495B45">
        <w:rPr>
          <w:rFonts w:ascii="Times New Roman" w:hAnsi="Times New Roman" w:cs="Times New Roman"/>
          <w:color w:val="000000" w:themeColor="text1"/>
          <w:sz w:val="24"/>
          <w:szCs w:val="24"/>
        </w:rPr>
        <w:t>, and then heated to 700</w:t>
      </w:r>
      <m:oMath>
        <m:r>
          <m:rPr>
            <m:sty m:val="p"/>
          </m:rPr>
          <w:rPr>
            <w:rFonts w:ascii="Cambria Math" w:hAnsi="Cambria Math" w:cs="Times New Roman"/>
            <w:color w:val="000000" w:themeColor="text1"/>
            <w:sz w:val="24"/>
            <w:szCs w:val="24"/>
          </w:rPr>
          <m:t>℃</m:t>
        </m:r>
      </m:oMath>
      <w:r w:rsidR="0058228D" w:rsidRPr="00495B45">
        <w:rPr>
          <w:rFonts w:ascii="Times New Roman" w:hAnsi="Times New Roman" w:cs="Times New Roman"/>
          <w:color w:val="000000" w:themeColor="text1"/>
          <w:sz w:val="24"/>
          <w:szCs w:val="24"/>
        </w:rPr>
        <w:t xml:space="preserve"> by the rate of 50</w:t>
      </w:r>
      <m:oMath>
        <m:r>
          <m:rPr>
            <m:sty m:val="p"/>
          </m:rPr>
          <w:rPr>
            <w:rFonts w:ascii="Cambria Math" w:hAnsi="Cambria Math" w:cs="Times New Roman"/>
            <w:color w:val="000000" w:themeColor="text1"/>
            <w:sz w:val="24"/>
            <w:szCs w:val="24"/>
          </w:rPr>
          <m:t>℃</m:t>
        </m:r>
      </m:oMath>
      <w:r w:rsidR="0058228D" w:rsidRPr="00495B45">
        <w:rPr>
          <w:rFonts w:ascii="Times New Roman" w:hAnsi="Times New Roman" w:cs="Times New Roman"/>
          <w:color w:val="000000" w:themeColor="text1"/>
          <w:sz w:val="24"/>
          <w:szCs w:val="24"/>
        </w:rPr>
        <w:t>/h</w:t>
      </w:r>
      <w:r w:rsidR="008A0287" w:rsidRPr="00495B45">
        <w:rPr>
          <w:rFonts w:ascii="Times New Roman" w:hAnsi="Times New Roman" w:cs="Times New Roman"/>
          <w:color w:val="000000" w:themeColor="text1"/>
          <w:sz w:val="24"/>
          <w:szCs w:val="24"/>
        </w:rPr>
        <w:t xml:space="preserve"> </w:t>
      </w:r>
      <w:r w:rsidR="0058228D" w:rsidRPr="00495B45">
        <w:rPr>
          <w:rFonts w:ascii="Times New Roman" w:hAnsi="Times New Roman" w:cs="Times New Roman"/>
          <w:color w:val="000000" w:themeColor="text1"/>
          <w:sz w:val="24"/>
          <w:szCs w:val="24"/>
        </w:rPr>
        <w:t>and held on for 30 h. Cooling the furnace to 470</w:t>
      </w:r>
      <m:oMath>
        <m:r>
          <m:rPr>
            <m:sty m:val="p"/>
          </m:rPr>
          <w:rPr>
            <w:rFonts w:ascii="Cambria Math" w:hAnsi="Cambria Math" w:cs="Times New Roman"/>
            <w:color w:val="000000" w:themeColor="text1"/>
            <w:sz w:val="24"/>
            <w:szCs w:val="24"/>
          </w:rPr>
          <m:t>℃</m:t>
        </m:r>
      </m:oMath>
      <w:r w:rsidR="0058228D" w:rsidRPr="00495B45">
        <w:rPr>
          <w:rFonts w:ascii="Times New Roman" w:hAnsi="Times New Roman" w:cs="Times New Roman"/>
          <w:color w:val="000000" w:themeColor="text1"/>
          <w:sz w:val="24"/>
          <w:szCs w:val="24"/>
        </w:rPr>
        <w:t xml:space="preserve"> by the ramp rate of 1</w:t>
      </w:r>
      <m:oMath>
        <m:r>
          <m:rPr>
            <m:sty m:val="p"/>
          </m:rPr>
          <w:rPr>
            <w:rFonts w:ascii="Cambria Math" w:hAnsi="Cambria Math" w:cs="Times New Roman"/>
            <w:color w:val="000000" w:themeColor="text1"/>
            <w:sz w:val="24"/>
            <w:szCs w:val="24"/>
          </w:rPr>
          <m:t>℃</m:t>
        </m:r>
      </m:oMath>
      <w:r w:rsidR="0058228D" w:rsidRPr="00495B45">
        <w:rPr>
          <w:rFonts w:ascii="Times New Roman" w:hAnsi="Times New Roman" w:cs="Times New Roman"/>
          <w:color w:val="000000" w:themeColor="text1"/>
          <w:sz w:val="24"/>
          <w:szCs w:val="24"/>
        </w:rPr>
        <w:t xml:space="preserve">/h, and then annealed for 200 h. After annealing, ampoules were immediately decanted with centrifuging to remove the flux. Layered single crystals with the average dimension of 5mm </w:t>
      </w:r>
      <m:oMath>
        <m:r>
          <m:rPr>
            <m:sty m:val="p"/>
          </m:rPr>
          <w:rPr>
            <w:rFonts w:ascii="Cambria Math" w:hAnsi="Cambria Math" w:cs="Times New Roman"/>
            <w:color w:val="000000" w:themeColor="text1"/>
            <w:sz w:val="24"/>
            <w:szCs w:val="24"/>
          </w:rPr>
          <m:t>×</m:t>
        </m:r>
      </m:oMath>
      <w:r w:rsidR="0058228D" w:rsidRPr="00495B45">
        <w:rPr>
          <w:rFonts w:ascii="Times New Roman" w:hAnsi="Times New Roman" w:cs="Times New Roman"/>
          <w:color w:val="000000" w:themeColor="text1"/>
          <w:sz w:val="24"/>
          <w:szCs w:val="24"/>
        </w:rPr>
        <w:t xml:space="preserve"> 5mm </w:t>
      </w:r>
      <m:oMath>
        <m:r>
          <m:rPr>
            <m:sty m:val="p"/>
          </m:rPr>
          <w:rPr>
            <w:rFonts w:ascii="Cambria Math" w:hAnsi="Cambria Math" w:cs="Times New Roman"/>
            <w:color w:val="000000" w:themeColor="text1"/>
            <w:sz w:val="24"/>
            <w:szCs w:val="24"/>
          </w:rPr>
          <m:t>×</m:t>
        </m:r>
      </m:oMath>
      <w:r w:rsidR="0058228D" w:rsidRPr="00495B45">
        <w:rPr>
          <w:rFonts w:ascii="Times New Roman" w:hAnsi="Times New Roman" w:cs="Times New Roman"/>
          <w:color w:val="000000" w:themeColor="text1"/>
          <w:sz w:val="24"/>
          <w:szCs w:val="24"/>
        </w:rPr>
        <w:t xml:space="preserve"> 1mm were then exfoliated to measure transport behaviors and magnetic properties. </w:t>
      </w:r>
    </w:p>
    <w:p w14:paraId="7F6EB59C" w14:textId="5BE0CCE1" w:rsidR="008A0287" w:rsidRPr="00495B45" w:rsidRDefault="008A0287" w:rsidP="008A0287">
      <w:pPr>
        <w:rPr>
          <w:rFonts w:ascii="Times New Roman" w:hAnsi="Times New Roman" w:cs="Times New Roman"/>
          <w:color w:val="000000" w:themeColor="text1"/>
          <w:sz w:val="24"/>
          <w:szCs w:val="24"/>
        </w:rPr>
      </w:pPr>
      <w:r w:rsidRPr="00495B45">
        <w:rPr>
          <w:rFonts w:ascii="Times New Roman" w:hAnsi="Times New Roman" w:cs="Times New Roman"/>
          <w:color w:val="000000" w:themeColor="text1"/>
          <w:sz w:val="24"/>
          <w:szCs w:val="24"/>
        </w:rPr>
        <w:t xml:space="preserve">The X-ray diffraction (XRD) patterns of </w:t>
      </w:r>
      <w:r w:rsidR="005A750C" w:rsidRPr="00495B45">
        <w:rPr>
          <w:rFonts w:ascii="Times New Roman" w:hAnsi="Times New Roman" w:cs="Times New Roman"/>
          <w:color w:val="000000" w:themeColor="text1"/>
          <w:sz w:val="24"/>
          <w:szCs w:val="24"/>
        </w:rPr>
        <w:t>multiple crystals</w:t>
      </w:r>
      <w:r w:rsidR="005A0D69" w:rsidRPr="00495B45">
        <w:rPr>
          <w:rFonts w:ascii="Times New Roman" w:hAnsi="Times New Roman" w:cs="Times New Roman"/>
          <w:color w:val="000000" w:themeColor="text1"/>
          <w:sz w:val="24"/>
          <w:szCs w:val="24"/>
        </w:rPr>
        <w:t xml:space="preserve"> </w:t>
      </w:r>
      <w:r w:rsidR="005A750C" w:rsidRPr="00495B45">
        <w:rPr>
          <w:rFonts w:ascii="Times New Roman" w:hAnsi="Times New Roman" w:cs="Times New Roman"/>
          <w:color w:val="000000" w:themeColor="text1"/>
          <w:sz w:val="24"/>
          <w:szCs w:val="24"/>
        </w:rPr>
        <w:t>(S1, S2, S3)</w:t>
      </w:r>
      <w:r w:rsidRPr="00495B45">
        <w:rPr>
          <w:rFonts w:ascii="Times New Roman" w:hAnsi="Times New Roman" w:cs="Times New Roman"/>
          <w:color w:val="000000" w:themeColor="text1"/>
          <w:sz w:val="24"/>
          <w:szCs w:val="24"/>
        </w:rPr>
        <w:t xml:space="preserve"> were obtained using Cu κα radiation (D8 advance, Bruker, Germany). The microstructure and atomic concentrations were obtained by high-resolution scanning electron microscopy with energy-dispersive X-ray spectroscopy (HR FE SEM/EDX, LEO SUPRA 55, Carl Zeiss, Germany). </w:t>
      </w:r>
      <w:r w:rsidR="007118A9" w:rsidRPr="00495B45">
        <w:rPr>
          <w:rFonts w:ascii="Times New Roman" w:hAnsi="Times New Roman" w:cs="Times New Roman"/>
          <w:color w:val="000000" w:themeColor="text1"/>
          <w:sz w:val="24"/>
          <w:szCs w:val="24"/>
        </w:rPr>
        <w:t>High-resolution Transmission electron microscopy</w:t>
      </w:r>
      <w:r w:rsidR="00C948B0">
        <w:rPr>
          <w:rFonts w:ascii="Times New Roman" w:hAnsi="Times New Roman" w:cs="Times New Roman"/>
          <w:color w:val="000000" w:themeColor="text1"/>
          <w:sz w:val="24"/>
          <w:szCs w:val="24"/>
        </w:rPr>
        <w:t xml:space="preserve"> </w:t>
      </w:r>
      <w:r w:rsidR="007118A9" w:rsidRPr="00495B45">
        <w:rPr>
          <w:rFonts w:ascii="Times New Roman" w:hAnsi="Times New Roman" w:cs="Times New Roman"/>
          <w:color w:val="000000" w:themeColor="text1"/>
          <w:sz w:val="24"/>
          <w:szCs w:val="24"/>
        </w:rPr>
        <w:t>(TEM) and those selected area diffraction</w:t>
      </w:r>
      <w:r w:rsidR="00C948B0">
        <w:rPr>
          <w:rFonts w:ascii="Times New Roman" w:hAnsi="Times New Roman" w:cs="Times New Roman"/>
          <w:color w:val="000000" w:themeColor="text1"/>
          <w:sz w:val="24"/>
          <w:szCs w:val="24"/>
        </w:rPr>
        <w:t xml:space="preserve"> </w:t>
      </w:r>
      <w:r w:rsidR="007118A9" w:rsidRPr="00495B45">
        <w:rPr>
          <w:rFonts w:ascii="Times New Roman" w:hAnsi="Times New Roman" w:cs="Times New Roman"/>
          <w:color w:val="000000" w:themeColor="text1"/>
          <w:sz w:val="24"/>
          <w:szCs w:val="24"/>
        </w:rPr>
        <w:t>(SAED) pattern were obtained</w:t>
      </w:r>
      <w:r w:rsidR="00726CE5" w:rsidRPr="00495B45">
        <w:rPr>
          <w:rFonts w:ascii="Times New Roman" w:hAnsi="Times New Roman" w:cs="Times New Roman"/>
          <w:color w:val="000000" w:themeColor="text1"/>
          <w:sz w:val="24"/>
          <w:szCs w:val="24"/>
        </w:rPr>
        <w:t xml:space="preserve"> under a point resolution of 10nm (JEM 3010, JEOL, Japan).</w:t>
      </w:r>
    </w:p>
    <w:p w14:paraId="553A27CB" w14:textId="59E72267" w:rsidR="008A0287" w:rsidRPr="00495B45" w:rsidRDefault="008A0287" w:rsidP="008A0287">
      <w:pPr>
        <w:rPr>
          <w:rFonts w:ascii="Times New Roman" w:hAnsi="Times New Roman" w:cs="Times New Roman"/>
          <w:color w:val="000000" w:themeColor="text1"/>
          <w:sz w:val="24"/>
          <w:szCs w:val="24"/>
        </w:rPr>
      </w:pPr>
      <w:r w:rsidRPr="00495B45">
        <w:rPr>
          <w:rFonts w:ascii="Times New Roman" w:hAnsi="Times New Roman" w:cs="Times New Roman"/>
          <w:color w:val="000000" w:themeColor="text1"/>
          <w:sz w:val="24"/>
          <w:szCs w:val="24"/>
        </w:rPr>
        <w:t>The electrical properties, magnetic properties, and specific heat w</w:t>
      </w:r>
      <w:r w:rsidR="004C4B98" w:rsidRPr="00495B45">
        <w:rPr>
          <w:rFonts w:ascii="Times New Roman" w:hAnsi="Times New Roman" w:cs="Times New Roman"/>
          <w:color w:val="000000" w:themeColor="text1"/>
          <w:sz w:val="24"/>
          <w:szCs w:val="24"/>
        </w:rPr>
        <w:t>ere</w:t>
      </w:r>
      <w:r w:rsidRPr="00495B45">
        <w:rPr>
          <w:rFonts w:ascii="Times New Roman" w:hAnsi="Times New Roman" w:cs="Times New Roman"/>
          <w:color w:val="000000" w:themeColor="text1"/>
          <w:sz w:val="24"/>
          <w:szCs w:val="24"/>
        </w:rPr>
        <w:t xml:space="preserve"> measured by using a Physical Property Measurement System (PPMS Dynacool 14 T, Quantum Design, USA). The electrical resistivity was measured </w:t>
      </w:r>
      <w:r w:rsidR="004C4B98" w:rsidRPr="00495B45">
        <w:rPr>
          <w:rFonts w:ascii="Times New Roman" w:hAnsi="Times New Roman" w:cs="Times New Roman"/>
          <w:color w:val="000000" w:themeColor="text1"/>
          <w:sz w:val="24"/>
          <w:szCs w:val="24"/>
        </w:rPr>
        <w:t>with</w:t>
      </w:r>
      <w:r w:rsidRPr="00495B45">
        <w:rPr>
          <w:rFonts w:ascii="Times New Roman" w:hAnsi="Times New Roman" w:cs="Times New Roman"/>
          <w:color w:val="000000" w:themeColor="text1"/>
          <w:sz w:val="24"/>
          <w:szCs w:val="24"/>
        </w:rPr>
        <w:t xml:space="preserve"> four-probe </w:t>
      </w:r>
      <w:r w:rsidR="004C4B98" w:rsidRPr="00495B45">
        <w:rPr>
          <w:rFonts w:ascii="Times New Roman" w:hAnsi="Times New Roman" w:cs="Times New Roman"/>
          <w:color w:val="000000" w:themeColor="text1"/>
          <w:sz w:val="24"/>
          <w:szCs w:val="24"/>
        </w:rPr>
        <w:t>method</w:t>
      </w:r>
      <w:r w:rsidRPr="00495B45">
        <w:rPr>
          <w:rFonts w:ascii="Times New Roman" w:hAnsi="Times New Roman" w:cs="Times New Roman"/>
          <w:color w:val="000000" w:themeColor="text1"/>
          <w:sz w:val="24"/>
          <w:szCs w:val="24"/>
        </w:rPr>
        <w:t xml:space="preserve"> </w:t>
      </w:r>
      <w:r w:rsidR="004C4B98" w:rsidRPr="00495B45">
        <w:rPr>
          <w:rFonts w:ascii="Times New Roman" w:hAnsi="Times New Roman" w:cs="Times New Roman"/>
          <w:color w:val="000000" w:themeColor="text1"/>
          <w:sz w:val="24"/>
          <w:szCs w:val="24"/>
        </w:rPr>
        <w:t>of</w:t>
      </w:r>
      <w:r w:rsidRPr="00495B45">
        <w:rPr>
          <w:rFonts w:ascii="Times New Roman" w:hAnsi="Times New Roman" w:cs="Times New Roman"/>
          <w:color w:val="000000" w:themeColor="text1"/>
          <w:sz w:val="24"/>
          <w:szCs w:val="24"/>
        </w:rPr>
        <w:t xml:space="preserve"> the electrical transport option (ETO) </w:t>
      </w:r>
      <w:r w:rsidR="004C4B98" w:rsidRPr="00495B45">
        <w:rPr>
          <w:rFonts w:ascii="Times New Roman" w:hAnsi="Times New Roman" w:cs="Times New Roman"/>
          <w:color w:val="000000" w:themeColor="text1"/>
          <w:sz w:val="24"/>
          <w:szCs w:val="24"/>
        </w:rPr>
        <w:t>by</w:t>
      </w:r>
      <w:r w:rsidRPr="00495B45">
        <w:rPr>
          <w:rFonts w:ascii="Times New Roman" w:hAnsi="Times New Roman" w:cs="Times New Roman"/>
          <w:color w:val="000000" w:themeColor="text1"/>
          <w:sz w:val="24"/>
          <w:szCs w:val="24"/>
        </w:rPr>
        <w:t xml:space="preserve"> the PPMS Dynacool system under magnetic fields </w:t>
      </w:r>
      <w:r w:rsidR="004C4B98" w:rsidRPr="00495B45">
        <w:rPr>
          <w:rFonts w:ascii="Times New Roman" w:hAnsi="Times New Roman" w:cs="Times New Roman"/>
          <w:color w:val="000000" w:themeColor="text1"/>
          <w:sz w:val="24"/>
          <w:szCs w:val="24"/>
        </w:rPr>
        <w:t xml:space="preserve">up </w:t>
      </w:r>
      <w:r w:rsidRPr="00495B45">
        <w:rPr>
          <w:rFonts w:ascii="Times New Roman" w:hAnsi="Times New Roman" w:cs="Times New Roman"/>
          <w:color w:val="000000" w:themeColor="text1"/>
          <w:sz w:val="24"/>
          <w:szCs w:val="24"/>
        </w:rPr>
        <w:t xml:space="preserve">to </w:t>
      </w:r>
      <w:r w:rsidR="004C4B98" w:rsidRPr="00495B45">
        <w:rPr>
          <w:rFonts w:ascii="Times New Roman" w:hAnsi="Times New Roman" w:cs="Times New Roman"/>
          <w:color w:val="000000" w:themeColor="text1"/>
          <w:sz w:val="24"/>
          <w:szCs w:val="24"/>
        </w:rPr>
        <w:t>14</w:t>
      </w:r>
      <w:r w:rsidRPr="00495B45">
        <w:rPr>
          <w:rFonts w:ascii="Times New Roman" w:hAnsi="Times New Roman" w:cs="Times New Roman"/>
          <w:color w:val="000000" w:themeColor="text1"/>
          <w:sz w:val="24"/>
          <w:szCs w:val="24"/>
        </w:rPr>
        <w:t xml:space="preserve"> T. The Magnetization was measured </w:t>
      </w:r>
      <w:r w:rsidR="00243EB4" w:rsidRPr="00495B45">
        <w:rPr>
          <w:rFonts w:ascii="Times New Roman" w:hAnsi="Times New Roman" w:cs="Times New Roman"/>
          <w:color w:val="000000" w:themeColor="text1"/>
          <w:sz w:val="24"/>
          <w:szCs w:val="24"/>
        </w:rPr>
        <w:t>by</w:t>
      </w:r>
      <w:r w:rsidRPr="00495B45">
        <w:rPr>
          <w:rFonts w:ascii="Times New Roman" w:hAnsi="Times New Roman" w:cs="Times New Roman"/>
          <w:color w:val="000000" w:themeColor="text1"/>
          <w:sz w:val="24"/>
          <w:szCs w:val="24"/>
        </w:rPr>
        <w:t xml:space="preserve"> </w:t>
      </w:r>
      <w:r w:rsidRPr="00495B45">
        <w:rPr>
          <w:rFonts w:ascii="Times New Roman" w:hAnsi="Times New Roman" w:cs="Times New Roman"/>
          <w:color w:val="000000" w:themeColor="text1"/>
          <w:sz w:val="24"/>
          <w:szCs w:val="24"/>
        </w:rPr>
        <w:lastRenderedPageBreak/>
        <w:t>vibrating sample magnetometer (VSM) of the PPMS Dynacool system. The specific heat was measured by the heat capacity option of the PPMS Dynacool system.</w:t>
      </w:r>
    </w:p>
    <w:p w14:paraId="331575FB" w14:textId="77777777" w:rsidR="008A0287" w:rsidRPr="00BB746C" w:rsidRDefault="008A0287" w:rsidP="008A0287">
      <w:pPr>
        <w:rPr>
          <w:rFonts w:ascii="Times New Roman" w:hAnsi="Times New Roman" w:cs="Times New Roman"/>
          <w:sz w:val="24"/>
          <w:szCs w:val="24"/>
        </w:rPr>
      </w:pPr>
    </w:p>
    <w:p w14:paraId="595BF2DA" w14:textId="2EC9FC9D" w:rsidR="008A0287" w:rsidRPr="00495B45" w:rsidRDefault="005D6260" w:rsidP="008A0287">
      <w:pPr>
        <w:rPr>
          <w:rFonts w:ascii="Times New Roman" w:hAnsi="Times New Roman" w:cs="Times New Roman"/>
          <w:color w:val="000000" w:themeColor="text1"/>
          <w:sz w:val="24"/>
          <w:szCs w:val="24"/>
          <w:u w:val="single"/>
        </w:rPr>
      </w:pPr>
      <w:r w:rsidRPr="00495B45">
        <w:rPr>
          <w:rFonts w:ascii="Times New Roman" w:hAnsi="Times New Roman" w:cs="Times New Roman"/>
          <w:color w:val="000000" w:themeColor="text1"/>
          <w:sz w:val="24"/>
          <w:szCs w:val="24"/>
          <w:u w:val="single"/>
        </w:rPr>
        <w:t>Angle-resolved photoemission spectroscopy (ARPES)</w:t>
      </w:r>
    </w:p>
    <w:p w14:paraId="378078C7" w14:textId="241D2767" w:rsidR="008A0287" w:rsidRPr="00495B45" w:rsidRDefault="005D6260" w:rsidP="005D6260">
      <w:pPr>
        <w:rPr>
          <w:rFonts w:ascii="Times New Roman" w:hAnsi="Times New Roman" w:cs="Times New Roman"/>
          <w:color w:val="000000" w:themeColor="text1"/>
          <w:sz w:val="24"/>
          <w:szCs w:val="24"/>
        </w:rPr>
      </w:pPr>
      <w:r w:rsidRPr="00495B45">
        <w:rPr>
          <w:rFonts w:ascii="Times New Roman" w:hAnsi="Times New Roman" w:cs="Times New Roman"/>
          <w:color w:val="000000" w:themeColor="text1"/>
          <w:sz w:val="24"/>
          <w:szCs w:val="24"/>
        </w:rPr>
        <w:t>Electronic band structure of pure EuBiTe</w:t>
      </w:r>
      <w:r w:rsidRPr="00495B45">
        <w:rPr>
          <w:rFonts w:ascii="Times New Roman" w:hAnsi="Times New Roman" w:cs="Times New Roman"/>
          <w:color w:val="000000" w:themeColor="text1"/>
          <w:sz w:val="24"/>
          <w:szCs w:val="24"/>
          <w:vertAlign w:val="subscript"/>
        </w:rPr>
        <w:t>3</w:t>
      </w:r>
      <w:r w:rsidRPr="00495B45">
        <w:rPr>
          <w:rFonts w:ascii="Times New Roman" w:hAnsi="Times New Roman" w:cs="Times New Roman"/>
          <w:color w:val="000000" w:themeColor="text1"/>
          <w:sz w:val="24"/>
          <w:szCs w:val="24"/>
        </w:rPr>
        <w:t xml:space="preserve"> and La</w:t>
      </w:r>
      <w:r w:rsidRPr="00495B45">
        <w:rPr>
          <w:rFonts w:ascii="Times New Roman" w:hAnsi="Times New Roman" w:cs="Times New Roman"/>
          <w:color w:val="000000" w:themeColor="text1"/>
          <w:sz w:val="24"/>
          <w:szCs w:val="24"/>
          <w:vertAlign w:val="subscript"/>
        </w:rPr>
        <w:t>0.1</w:t>
      </w:r>
      <w:r w:rsidRPr="00495B45">
        <w:rPr>
          <w:rFonts w:ascii="Times New Roman" w:hAnsi="Times New Roman" w:cs="Times New Roman"/>
          <w:color w:val="000000" w:themeColor="text1"/>
          <w:sz w:val="24"/>
          <w:szCs w:val="24"/>
        </w:rPr>
        <w:t>Eu</w:t>
      </w:r>
      <w:r w:rsidRPr="00495B45">
        <w:rPr>
          <w:rFonts w:ascii="Times New Roman" w:hAnsi="Times New Roman" w:cs="Times New Roman"/>
          <w:color w:val="000000" w:themeColor="text1"/>
          <w:sz w:val="24"/>
          <w:szCs w:val="24"/>
          <w:vertAlign w:val="subscript"/>
        </w:rPr>
        <w:t>0.9</w:t>
      </w:r>
      <w:r w:rsidRPr="00495B45">
        <w:rPr>
          <w:rFonts w:ascii="Times New Roman" w:hAnsi="Times New Roman" w:cs="Times New Roman"/>
          <w:color w:val="000000" w:themeColor="text1"/>
          <w:sz w:val="24"/>
          <w:szCs w:val="24"/>
        </w:rPr>
        <w:t>BiTe</w:t>
      </w:r>
      <w:r w:rsidRPr="00495B45">
        <w:rPr>
          <w:rFonts w:ascii="Times New Roman" w:hAnsi="Times New Roman" w:cs="Times New Roman"/>
          <w:color w:val="000000" w:themeColor="text1"/>
          <w:sz w:val="24"/>
          <w:szCs w:val="24"/>
          <w:vertAlign w:val="subscript"/>
        </w:rPr>
        <w:t>3</w:t>
      </w:r>
      <w:r w:rsidRPr="00495B45">
        <w:rPr>
          <w:rFonts w:ascii="Times New Roman" w:hAnsi="Times New Roman" w:cs="Times New Roman"/>
          <w:color w:val="000000" w:themeColor="text1"/>
          <w:sz w:val="24"/>
          <w:szCs w:val="24"/>
        </w:rPr>
        <w:t xml:space="preserve"> are obtained by Angle-resolved photoemission spectroscopy (ARPES)</w:t>
      </w:r>
      <w:r w:rsidR="00A87228" w:rsidRPr="00495B45">
        <w:rPr>
          <w:rFonts w:ascii="Times New Roman" w:hAnsi="Times New Roman" w:cs="Times New Roman"/>
          <w:color w:val="000000" w:themeColor="text1"/>
          <w:sz w:val="24"/>
          <w:szCs w:val="24"/>
        </w:rPr>
        <w:t xml:space="preserve">. </w:t>
      </w:r>
      <w:r w:rsidR="005E59D3" w:rsidRPr="005E59D3">
        <w:rPr>
          <w:rFonts w:ascii="Times New Roman" w:hAnsi="Times New Roman" w:cs="Times New Roman"/>
          <w:color w:val="000000" w:themeColor="text1"/>
          <w:sz w:val="24"/>
          <w:szCs w:val="24"/>
        </w:rPr>
        <w:t>ARPES measurements were taken at Beamlines 10.0.1, Advanced Light Source, Lawrence Berkeley national laboratory, California, USA, using Scienta R4000 analyzer. The base pressure was better than 4 × 10-11 Torr. The photon energy was set at 55 eV with energy and angular resolution of 15 – 25 meV and 0.1°, respectively. To achieve high-quality ARPES data of La doped EuBiTe3 single crystals, the samples were cleaved at 77 K.</w:t>
      </w:r>
    </w:p>
    <w:p w14:paraId="15D9562D" w14:textId="77777777" w:rsidR="008A0287" w:rsidRPr="00BB746C" w:rsidRDefault="008A0287" w:rsidP="008A0287">
      <w:pPr>
        <w:rPr>
          <w:rFonts w:ascii="Times New Roman" w:hAnsi="Times New Roman" w:cs="Times New Roman"/>
          <w:sz w:val="24"/>
          <w:szCs w:val="24"/>
        </w:rPr>
      </w:pPr>
    </w:p>
    <w:p w14:paraId="2BDED453" w14:textId="4819B3F1" w:rsidR="00943A5A" w:rsidRDefault="00943A5A" w:rsidP="00943A5A">
      <w:pPr>
        <w:rPr>
          <w:rFonts w:ascii="Times New Roman" w:hAnsi="Times New Roman" w:cs="Times New Roman"/>
          <w:sz w:val="24"/>
          <w:szCs w:val="24"/>
        </w:rPr>
      </w:pPr>
    </w:p>
    <w:p w14:paraId="3787A9B5" w14:textId="77777777" w:rsidR="00305F1C" w:rsidRDefault="00305F1C" w:rsidP="00943A5A">
      <w:pPr>
        <w:rPr>
          <w:rFonts w:ascii="Times New Roman" w:hAnsi="Times New Roman" w:cs="Times New Roman"/>
          <w:sz w:val="24"/>
          <w:szCs w:val="24"/>
        </w:rPr>
      </w:pPr>
    </w:p>
    <w:p w14:paraId="39E972BC" w14:textId="77777777" w:rsidR="00305F1C" w:rsidRDefault="00305F1C" w:rsidP="00943A5A">
      <w:pPr>
        <w:rPr>
          <w:rFonts w:ascii="Times New Roman" w:hAnsi="Times New Roman" w:cs="Times New Roman"/>
          <w:sz w:val="24"/>
          <w:szCs w:val="24"/>
        </w:rPr>
      </w:pPr>
    </w:p>
    <w:p w14:paraId="6FEA1988" w14:textId="77777777" w:rsidR="00305F1C" w:rsidRDefault="00305F1C" w:rsidP="00943A5A">
      <w:pPr>
        <w:rPr>
          <w:rFonts w:ascii="Times New Roman" w:hAnsi="Times New Roman" w:cs="Times New Roman"/>
          <w:sz w:val="24"/>
          <w:szCs w:val="24"/>
        </w:rPr>
      </w:pPr>
    </w:p>
    <w:p w14:paraId="40DF5F2E" w14:textId="77777777" w:rsidR="00305F1C" w:rsidRDefault="00305F1C" w:rsidP="00943A5A">
      <w:pPr>
        <w:rPr>
          <w:rFonts w:ascii="Times New Roman" w:hAnsi="Times New Roman" w:cs="Times New Roman"/>
          <w:sz w:val="24"/>
          <w:szCs w:val="24"/>
        </w:rPr>
      </w:pPr>
    </w:p>
    <w:p w14:paraId="19C73E3C" w14:textId="77777777" w:rsidR="00305F1C" w:rsidRDefault="00305F1C" w:rsidP="00943A5A">
      <w:pPr>
        <w:rPr>
          <w:rFonts w:ascii="Times New Roman" w:hAnsi="Times New Roman" w:cs="Times New Roman"/>
          <w:sz w:val="24"/>
          <w:szCs w:val="24"/>
        </w:rPr>
      </w:pPr>
    </w:p>
    <w:p w14:paraId="530EF98D" w14:textId="77777777" w:rsidR="00305F1C" w:rsidRPr="00943A5A" w:rsidRDefault="00305F1C" w:rsidP="00943A5A">
      <w:pPr>
        <w:rPr>
          <w:rFonts w:ascii="Times New Roman" w:hAnsi="Times New Roman" w:cs="Times New Roman"/>
          <w:sz w:val="24"/>
          <w:szCs w:val="24"/>
        </w:rPr>
      </w:pPr>
    </w:p>
    <w:p w14:paraId="1DBE1FD6" w14:textId="5B1F31DF" w:rsidR="001D3195" w:rsidRDefault="001D3195" w:rsidP="008A0287">
      <w:pPr>
        <w:rPr>
          <w:rFonts w:ascii="Times New Roman" w:hAnsi="Times New Roman" w:cs="Times New Roman"/>
          <w:sz w:val="24"/>
          <w:szCs w:val="24"/>
        </w:rPr>
      </w:pPr>
    </w:p>
    <w:p w14:paraId="0ED279ED" w14:textId="1E85223B" w:rsidR="00E103C2" w:rsidRDefault="00E103C2" w:rsidP="008A0287">
      <w:pPr>
        <w:rPr>
          <w:rFonts w:ascii="Times New Roman" w:hAnsi="Times New Roman" w:cs="Times New Roman"/>
          <w:sz w:val="24"/>
          <w:szCs w:val="24"/>
        </w:rPr>
      </w:pPr>
    </w:p>
    <w:p w14:paraId="74EA8C98" w14:textId="79666AA7" w:rsidR="00E103C2" w:rsidRDefault="00E103C2" w:rsidP="008A0287">
      <w:pPr>
        <w:rPr>
          <w:rFonts w:ascii="Times New Roman" w:hAnsi="Times New Roman" w:cs="Times New Roman"/>
          <w:sz w:val="24"/>
          <w:szCs w:val="24"/>
        </w:rPr>
      </w:pPr>
    </w:p>
    <w:p w14:paraId="2C840217" w14:textId="7DEFCB1A" w:rsidR="00E103C2" w:rsidRDefault="00E103C2" w:rsidP="008A0287">
      <w:pPr>
        <w:rPr>
          <w:rFonts w:ascii="Times New Roman" w:hAnsi="Times New Roman" w:cs="Times New Roman"/>
          <w:sz w:val="24"/>
          <w:szCs w:val="24"/>
        </w:rPr>
      </w:pPr>
    </w:p>
    <w:p w14:paraId="3E2BCE98" w14:textId="60FCE454" w:rsidR="00E103C2" w:rsidRDefault="00E103C2" w:rsidP="008A0287">
      <w:pPr>
        <w:rPr>
          <w:rFonts w:ascii="Times New Roman" w:hAnsi="Times New Roman" w:cs="Times New Roman"/>
          <w:sz w:val="24"/>
          <w:szCs w:val="24"/>
        </w:rPr>
      </w:pPr>
    </w:p>
    <w:p w14:paraId="176D4E23" w14:textId="6BA32377" w:rsidR="00E103C2" w:rsidRDefault="00E103C2" w:rsidP="008A0287">
      <w:pPr>
        <w:rPr>
          <w:rFonts w:ascii="Times New Roman" w:hAnsi="Times New Roman" w:cs="Times New Roman"/>
          <w:sz w:val="24"/>
          <w:szCs w:val="24"/>
        </w:rPr>
      </w:pPr>
    </w:p>
    <w:p w14:paraId="654EE190" w14:textId="15C7872F" w:rsidR="00E103C2" w:rsidRDefault="00E103C2" w:rsidP="008A0287">
      <w:pPr>
        <w:rPr>
          <w:rFonts w:ascii="Times New Roman" w:hAnsi="Times New Roman" w:cs="Times New Roman"/>
          <w:sz w:val="24"/>
          <w:szCs w:val="24"/>
        </w:rPr>
      </w:pPr>
    </w:p>
    <w:p w14:paraId="781860AE" w14:textId="10EFB2D6" w:rsidR="00943A5A" w:rsidRPr="00943A5A" w:rsidRDefault="00943A5A" w:rsidP="00943A5A">
      <w:pPr>
        <w:jc w:val="center"/>
        <w:rPr>
          <w:rFonts w:ascii="Times New Roman" w:hAnsi="Times New Roman" w:cs="Times New Roman"/>
          <w:sz w:val="24"/>
          <w:szCs w:val="24"/>
        </w:rPr>
      </w:pPr>
      <w:r w:rsidRPr="00943A5A">
        <w:rPr>
          <w:rFonts w:ascii="Times New Roman" w:hAnsi="Times New Roman" w:cs="Times New Roman"/>
          <w:noProof/>
          <w:sz w:val="24"/>
          <w:szCs w:val="24"/>
        </w:rPr>
        <w:lastRenderedPageBreak/>
        <w:drawing>
          <wp:inline distT="0" distB="0" distL="0" distR="0" wp14:anchorId="70CCB3BE" wp14:editId="7A49BAE9">
            <wp:extent cx="3181997" cy="27908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1453" cy="2799119"/>
                    </a:xfrm>
                    <a:prstGeom prst="rect">
                      <a:avLst/>
                    </a:prstGeom>
                    <a:noFill/>
                    <a:ln>
                      <a:noFill/>
                    </a:ln>
                  </pic:spPr>
                </pic:pic>
              </a:graphicData>
            </a:graphic>
          </wp:inline>
        </w:drawing>
      </w:r>
    </w:p>
    <w:p w14:paraId="00F5F62E" w14:textId="05709D9D" w:rsidR="00943A5A" w:rsidRPr="002501BC" w:rsidRDefault="00943A5A" w:rsidP="00943A5A">
      <w:pPr>
        <w:rPr>
          <w:rFonts w:ascii="Times New Roman" w:hAnsi="Times New Roman" w:cs="Times New Roman"/>
          <w:sz w:val="24"/>
          <w:szCs w:val="24"/>
        </w:rPr>
      </w:pPr>
      <w:r w:rsidRPr="002501BC">
        <w:rPr>
          <w:rFonts w:ascii="Times New Roman" w:hAnsi="Times New Roman" w:cs="Times New Roman"/>
          <w:b/>
          <w:bCs/>
          <w:sz w:val="24"/>
          <w:szCs w:val="24"/>
        </w:rPr>
        <w:t xml:space="preserve">Figure S1. </w:t>
      </w:r>
      <w:r w:rsidRPr="002501BC">
        <w:rPr>
          <w:rFonts w:ascii="Times New Roman" w:hAnsi="Times New Roman" w:cs="Times New Roman" w:hint="eastAsia"/>
          <w:b/>
          <w:bCs/>
          <w:sz w:val="24"/>
          <w:szCs w:val="24"/>
        </w:rPr>
        <w:t>X-ray diffraction patterns of single crystal La0.1Eu0.9BiTe3. Inset of the figure shows typical crystals S1(black line), S2(red line) and S3(blue line).</w:t>
      </w:r>
    </w:p>
    <w:p w14:paraId="44EFFDE9" w14:textId="4659AC38" w:rsidR="001D3195" w:rsidRPr="002501BC" w:rsidRDefault="00305F1C" w:rsidP="008A0287">
      <w:pPr>
        <w:rPr>
          <w:rFonts w:ascii="Times New Roman" w:hAnsi="Times New Roman" w:cs="Times New Roman"/>
          <w:sz w:val="24"/>
          <w:szCs w:val="24"/>
        </w:rPr>
      </w:pPr>
      <w:r w:rsidRPr="002501BC">
        <w:rPr>
          <w:rFonts w:ascii="Times New Roman" w:eastAsiaTheme="minorHAnsi" w:hAnsi="Times New Roman" w:cs="Times New Roman"/>
          <w:sz w:val="24"/>
          <w:szCs w:val="24"/>
        </w:rPr>
        <w:t xml:space="preserve">Fig. </w:t>
      </w:r>
      <w:r w:rsidRPr="002501BC">
        <w:rPr>
          <w:rFonts w:ascii="Times New Roman" w:eastAsiaTheme="minorHAnsi" w:hAnsi="Times New Roman" w:cs="Times New Roman" w:hint="eastAsia"/>
          <w:sz w:val="24"/>
          <w:szCs w:val="24"/>
        </w:rPr>
        <w:t>S</w:t>
      </w:r>
      <w:r w:rsidRPr="002501BC">
        <w:rPr>
          <w:rFonts w:ascii="Times New Roman" w:eastAsiaTheme="minorHAnsi" w:hAnsi="Times New Roman" w:cs="Times New Roman"/>
          <w:sz w:val="24"/>
          <w:szCs w:val="24"/>
        </w:rPr>
        <w:t>1 presents the single crystal X-ray diffraction patterns of the La</w:t>
      </w:r>
      <w:r w:rsidRPr="002501BC">
        <w:rPr>
          <w:rFonts w:ascii="Times New Roman" w:eastAsiaTheme="minorHAnsi" w:hAnsi="Times New Roman" w:cs="Times New Roman"/>
          <w:sz w:val="24"/>
          <w:szCs w:val="24"/>
          <w:vertAlign w:val="subscript"/>
        </w:rPr>
        <w:t>x</w:t>
      </w:r>
      <w:r w:rsidRPr="002501BC">
        <w:rPr>
          <w:rFonts w:ascii="Times New Roman" w:eastAsiaTheme="minorHAnsi" w:hAnsi="Times New Roman" w:cs="Times New Roman"/>
          <w:sz w:val="24"/>
          <w:szCs w:val="24"/>
        </w:rPr>
        <w:t>Eu</w:t>
      </w:r>
      <w:r w:rsidRPr="002501BC">
        <w:rPr>
          <w:rFonts w:ascii="Times New Roman" w:eastAsiaTheme="minorHAnsi" w:hAnsi="Times New Roman" w:cs="Times New Roman"/>
          <w:sz w:val="24"/>
          <w:szCs w:val="24"/>
          <w:vertAlign w:val="subscript"/>
        </w:rPr>
        <w:t>1-x</w:t>
      </w:r>
      <w:r w:rsidRPr="002501BC">
        <w:rPr>
          <w:rFonts w:ascii="Times New Roman" w:eastAsiaTheme="minorHAnsi" w:hAnsi="Times New Roman" w:cs="Times New Roman"/>
          <w:sz w:val="24"/>
          <w:szCs w:val="24"/>
        </w:rPr>
        <w:t>BiTe</w:t>
      </w:r>
      <w:r w:rsidRPr="002501BC">
        <w:rPr>
          <w:rFonts w:ascii="Times New Roman" w:eastAsiaTheme="minorHAnsi" w:hAnsi="Times New Roman" w:cs="Times New Roman"/>
          <w:sz w:val="24"/>
          <w:szCs w:val="24"/>
          <w:vertAlign w:val="subscript"/>
        </w:rPr>
        <w:t>3</w:t>
      </w:r>
      <w:r w:rsidRPr="002501BC">
        <w:rPr>
          <w:rFonts w:ascii="Times New Roman" w:eastAsiaTheme="minorHAnsi" w:hAnsi="Times New Roman" w:cs="Times New Roman"/>
          <w:sz w:val="24"/>
          <w:szCs w:val="24"/>
        </w:rPr>
        <w:t xml:space="preserve"> (x = 0.1) compounds. Inset of the fig. 1 shows real appearance of single crystal what we measured on XRD. Crystals shown well aligned patterns along (00l) direction. The crystal structure is an orthorhombic structure (</w:t>
      </w:r>
      <w:r w:rsidRPr="002501BC">
        <w:rPr>
          <w:rFonts w:ascii="Times New Roman" w:eastAsiaTheme="minorHAnsi" w:hAnsi="Times New Roman" w:cs="Times New Roman"/>
          <w:i/>
          <w:sz w:val="24"/>
          <w:szCs w:val="24"/>
        </w:rPr>
        <w:t>Pmmn</w:t>
      </w:r>
      <w:r w:rsidRPr="002501BC">
        <w:rPr>
          <w:rFonts w:ascii="Times New Roman" w:eastAsiaTheme="minorHAnsi" w:hAnsi="Times New Roman" w:cs="Times New Roman"/>
          <w:sz w:val="24"/>
          <w:szCs w:val="24"/>
        </w:rPr>
        <w:t>, 59). The lattice parameters of pristine EuBiTe</w:t>
      </w:r>
      <w:r w:rsidRPr="002501BC">
        <w:rPr>
          <w:rFonts w:ascii="Times New Roman" w:eastAsiaTheme="minorHAnsi" w:hAnsi="Times New Roman" w:cs="Times New Roman"/>
          <w:sz w:val="24"/>
          <w:szCs w:val="24"/>
          <w:vertAlign w:val="subscript"/>
        </w:rPr>
        <w:t>3</w:t>
      </w:r>
      <w:r w:rsidRPr="002501BC">
        <w:rPr>
          <w:rFonts w:ascii="Times New Roman" w:eastAsiaTheme="minorHAnsi" w:hAnsi="Times New Roman" w:cs="Times New Roman"/>
          <w:sz w:val="24"/>
          <w:szCs w:val="24"/>
        </w:rPr>
        <w:t xml:space="preserve"> is a = 4.5179 Å, b = 4.6141 Å, and c = 16.063 Å and the lattice volume is V = 334.86 Å</w:t>
      </w:r>
      <w:r w:rsidRPr="002501BC">
        <w:rPr>
          <w:rFonts w:ascii="Times New Roman" w:eastAsiaTheme="minorHAnsi" w:hAnsi="Times New Roman" w:cs="Times New Roman"/>
          <w:sz w:val="24"/>
          <w:szCs w:val="24"/>
          <w:vertAlign w:val="superscript"/>
        </w:rPr>
        <w:t>3</w:t>
      </w:r>
      <w:r w:rsidRPr="002501BC">
        <w:rPr>
          <w:rFonts w:ascii="Times New Roman" w:eastAsiaTheme="minorHAnsi" w:hAnsi="Times New Roman" w:cs="Times New Roman"/>
          <w:sz w:val="24"/>
          <w:szCs w:val="24"/>
        </w:rPr>
        <w:t>. La element 10 % substituted in Eu lattice site for EuBiTe</w:t>
      </w:r>
      <w:r w:rsidRPr="002501BC">
        <w:rPr>
          <w:rFonts w:ascii="Times New Roman" w:eastAsiaTheme="minorHAnsi" w:hAnsi="Times New Roman" w:cs="Times New Roman"/>
          <w:sz w:val="24"/>
          <w:szCs w:val="24"/>
          <w:vertAlign w:val="subscript"/>
        </w:rPr>
        <w:t>3</w:t>
      </w:r>
      <w:r w:rsidRPr="002501BC">
        <w:rPr>
          <w:rFonts w:ascii="Times New Roman" w:eastAsiaTheme="minorHAnsi" w:hAnsi="Times New Roman" w:cs="Times New Roman"/>
          <w:sz w:val="24"/>
          <w:szCs w:val="24"/>
        </w:rPr>
        <w:t xml:space="preserve"> compound formed equivalent crystal structure comparing to pristine crystal. Lattice parameters slightly decreased comparing to pristine EuBiTe</w:t>
      </w:r>
      <w:r w:rsidRPr="002501BC">
        <w:rPr>
          <w:rFonts w:ascii="Times New Roman" w:eastAsiaTheme="minorHAnsi" w:hAnsi="Times New Roman" w:cs="Times New Roman"/>
          <w:sz w:val="24"/>
          <w:szCs w:val="24"/>
          <w:vertAlign w:val="subscript"/>
        </w:rPr>
        <w:t>3</w:t>
      </w:r>
      <w:r w:rsidRPr="002501BC">
        <w:rPr>
          <w:rFonts w:ascii="Times New Roman" w:eastAsiaTheme="minorHAnsi" w:hAnsi="Times New Roman" w:cs="Times New Roman"/>
          <w:sz w:val="24"/>
          <w:szCs w:val="24"/>
        </w:rPr>
        <w:t xml:space="preserve"> due to its smaller atomic radius of La than Eu</w:t>
      </w:r>
      <w:r w:rsidRPr="002501BC">
        <w:rPr>
          <w:rFonts w:ascii="Times New Roman" w:eastAsiaTheme="minorHAnsi" w:hAnsi="Times New Roman" w:cs="Times New Roman" w:hint="eastAsia"/>
          <w:sz w:val="24"/>
          <w:szCs w:val="24"/>
        </w:rPr>
        <w:t xml:space="preserve">. </w:t>
      </w:r>
      <w:r w:rsidRPr="002501BC">
        <w:rPr>
          <w:rFonts w:ascii="Times New Roman" w:hAnsi="Times New Roman" w:cs="Times New Roman"/>
          <w:sz w:val="24"/>
          <w:szCs w:val="24"/>
        </w:rPr>
        <w:t>The lattice parameters are a = 4.386(4)</w:t>
      </w:r>
      <w:r w:rsidRPr="002501BC">
        <w:rPr>
          <w:sz w:val="24"/>
          <w:szCs w:val="24"/>
        </w:rPr>
        <w:t xml:space="preserve"> </w:t>
      </w:r>
      <w:r w:rsidRPr="002501BC">
        <w:rPr>
          <w:rFonts w:ascii="Times New Roman" w:hAnsi="Times New Roman" w:cs="Times New Roman"/>
          <w:sz w:val="24"/>
          <w:szCs w:val="24"/>
        </w:rPr>
        <w:t xml:space="preserve">Å, b = 4.368 (4) Å, c = 16.05(5) Å, and its lattice volume is 307.638 </w:t>
      </w:r>
      <m:oMath>
        <m:sSup>
          <m:sSupPr>
            <m:ctrlPr>
              <w:rPr>
                <w:rFonts w:ascii="Cambria Math" w:hAnsi="Cambria Math" w:cs="Times New Roman"/>
                <w:sz w:val="24"/>
                <w:szCs w:val="24"/>
              </w:rPr>
            </m:ctrlPr>
          </m:sSupPr>
          <m:e>
            <m:r>
              <m:rPr>
                <m:sty m:val="p"/>
              </m:rPr>
              <w:rPr>
                <w:rFonts w:ascii="Cambria Math" w:hAnsi="Cambria Math" w:cs="Times New Roman"/>
                <w:sz w:val="24"/>
                <w:szCs w:val="24"/>
              </w:rPr>
              <m:t>Å</m:t>
            </m:r>
          </m:e>
          <m:sup>
            <m:r>
              <w:rPr>
                <w:rFonts w:ascii="Cambria Math" w:hAnsi="Cambria Math" w:cs="Times New Roman"/>
                <w:sz w:val="24"/>
                <w:szCs w:val="24"/>
              </w:rPr>
              <m:t>3</m:t>
            </m:r>
          </m:sup>
        </m:sSup>
      </m:oMath>
      <w:r w:rsidRPr="002501BC">
        <w:rPr>
          <w:rFonts w:ascii="Times New Roman" w:hAnsi="Times New Roman" w:cs="Times New Roman"/>
          <w:sz w:val="24"/>
          <w:szCs w:val="24"/>
        </w:rPr>
        <w:t>, where the lattice volume is slightly decreased comparing to previous report of pristine EuBiTe</w:t>
      </w:r>
      <w:r w:rsidRPr="002501BC">
        <w:rPr>
          <w:rFonts w:ascii="Times New Roman" w:hAnsi="Times New Roman" w:cs="Times New Roman"/>
          <w:sz w:val="24"/>
          <w:szCs w:val="24"/>
          <w:vertAlign w:val="subscript"/>
        </w:rPr>
        <w:t>3</w:t>
      </w:r>
      <w:r w:rsidRPr="002501BC">
        <w:rPr>
          <w:rFonts w:ascii="Times New Roman" w:hAnsi="Times New Roman" w:cs="Times New Roman"/>
          <w:sz w:val="24"/>
          <w:szCs w:val="24"/>
        </w:rPr>
        <w:t xml:space="preserve"> due to La substitution on Eu site</w:t>
      </w:r>
      <w:r w:rsidR="00DC3E31" w:rsidRPr="002501BC">
        <w:rPr>
          <w:rFonts w:ascii="Times New Roman" w:hAnsi="Times New Roman" w:cs="Times New Roman"/>
          <w:sz w:val="24"/>
          <w:szCs w:val="24"/>
        </w:rPr>
        <w:fldChar w:fldCharType="begin" w:fldLock="1"/>
      </w:r>
      <w:r w:rsidR="00B46DD2" w:rsidRPr="002501BC">
        <w:rPr>
          <w:rFonts w:ascii="Times New Roman" w:hAnsi="Times New Roman" w:cs="Times New Roman"/>
          <w:sz w:val="24"/>
          <w:szCs w:val="24"/>
        </w:rPr>
        <w:instrText>ADDIN CSL_CITATION {"citationItems":[{"id":"ITEM-1","itemData":{"DOI":"10.1103/PhysRevB.100.024433","ISSN":"24699969","abstract":"We investigate the magnetic, thermal, and electrical transport properties on the single-crystalline compound EuBiTe3. The magnetization measurements reveal the antiferromagnetic transition at 7 K along the ab plane with a stable Eu2+ ion. A short-range ferromagnetic interaction along the c axis is inferred from magnetic susceptibility and heat capacity measurements, which we associate with the presence of magnetic polarons. The magnetic polaron gives rise to unconventional negative magnetoresistance such as the weak antilocalization (WAL) and weak localization crossover. The WAL of the angle-resolved magnetoconductivity is well described by the Al'tshuler and Aronov model along the longitudinal magnetoconductivity. The magnetic polaron is widely observed above Néel temperature up to 50 K, which is supported by the Majumdar-Littlewood model in a scaled magnetoresistance. Even though EuBiTe3 should have one hole per formula unit, the electrical conductivity σ(T) exhibits strong localized insulating behavior. The transport mechanism of σ(T) is distinguished by two different mechanism: Efros-Shklovskii-type variable range hopping (</w:instrText>
      </w:r>
      <w:r w:rsidR="00B46DD2" w:rsidRPr="002501BC">
        <w:rPr>
          <w:rFonts w:ascii="Times New Roman" w:hAnsi="Times New Roman" w:cs="Times New Roman" w:hint="eastAsia"/>
          <w:sz w:val="24"/>
          <w:szCs w:val="24"/>
        </w:rPr>
        <w:instrText>VRH) transport in the high-temperature range (T</w:instrText>
      </w:r>
      <w:r w:rsidR="00B46DD2" w:rsidRPr="002501BC">
        <w:rPr>
          <w:rFonts w:ascii="Times New Roman" w:hAnsi="Times New Roman" w:cs="Times New Roman" w:hint="eastAsia"/>
          <w:sz w:val="24"/>
          <w:szCs w:val="24"/>
        </w:rPr>
        <w:instrText>≥</w:instrText>
      </w:r>
      <w:r w:rsidR="00B46DD2" w:rsidRPr="002501BC">
        <w:rPr>
          <w:rFonts w:ascii="Times New Roman" w:hAnsi="Times New Roman" w:cs="Times New Roman" w:hint="eastAsia"/>
          <w:sz w:val="24"/>
          <w:szCs w:val="24"/>
        </w:rPr>
        <w:instrText>52 K) and three-dimensional VRH transport in the low-temperature regime (T</w:instrText>
      </w:r>
      <w:r w:rsidR="00B46DD2" w:rsidRPr="002501BC">
        <w:rPr>
          <w:rFonts w:ascii="Times New Roman" w:hAnsi="Times New Roman" w:cs="Times New Roman" w:hint="eastAsia"/>
          <w:sz w:val="24"/>
          <w:szCs w:val="24"/>
        </w:rPr>
        <w:instrText>≤</w:instrText>
      </w:r>
      <w:r w:rsidR="00B46DD2" w:rsidRPr="002501BC">
        <w:rPr>
          <w:rFonts w:ascii="Times New Roman" w:hAnsi="Times New Roman" w:cs="Times New Roman" w:hint="eastAsia"/>
          <w:sz w:val="24"/>
          <w:szCs w:val="24"/>
        </w:rPr>
        <w:instrText xml:space="preserve"> 50 K). The VRH transport suggests that the insulating behavior of </w:instrText>
      </w:r>
      <w:r w:rsidR="00B46DD2" w:rsidRPr="002501BC">
        <w:rPr>
          <w:rFonts w:ascii="Times New Roman" w:hAnsi="Times New Roman" w:cs="Times New Roman" w:hint="eastAsia"/>
          <w:sz w:val="24"/>
          <w:szCs w:val="24"/>
        </w:rPr>
        <w:instrText>σ</w:instrText>
      </w:r>
      <w:r w:rsidR="00B46DD2" w:rsidRPr="002501BC">
        <w:rPr>
          <w:rFonts w:ascii="Times New Roman" w:hAnsi="Times New Roman" w:cs="Times New Roman" w:hint="eastAsia"/>
          <w:sz w:val="24"/>
          <w:szCs w:val="24"/>
        </w:rPr>
        <w:instrText>(T) on the compound can originate from a Mott-type insulator wit</w:instrText>
      </w:r>
      <w:r w:rsidR="00B46DD2" w:rsidRPr="002501BC">
        <w:rPr>
          <w:rFonts w:ascii="Times New Roman" w:hAnsi="Times New Roman" w:cs="Times New Roman"/>
          <w:sz w:val="24"/>
          <w:szCs w:val="24"/>
        </w:rPr>
        <w:instrText>h strong Coulomb interaction.","author":[{"dropping-particle":"","family":"Shon","given":"Wonhyuk","non-dropping-particle":"","parse-names":false,"suffix":""},{"dropping-particle":"","family":"Rhyee","given":"Jong Soo","non-dropping-particle":"","parse-names":false,"suffix":""},{"dropping-particle":"","family":"Jin","given":"Yingshi","non-dropping-particle":"","parse-names":false,"suffix":""},{"dropping-particle":"","family":"Kim","given":"Sung Jin","non-dropping-particle":"","parse-names":false,"suffix":""}],"container-title":"Physical Review B","id":"ITEM-1","issue":"2","issued":{"date-parts":[["2019"]]},"note":"8. Intro","page":"24433","publisher":"American Physical Society","title":"Magnetic polaron and unconventional magnetotransport properties of the single-crystalline compound EuBiTe3","type":"article-journal","volume":"100"},"uris":["http://www.mendeley.com/documents/?uuid=5a5d1511-616e-47d7-aa8e-4cbf4f9c557d"]}],"mendeley":{"formattedCitation":"&lt;sup&gt;1&lt;/sup&gt;","plainTextFormattedCitation":"1","previouslyFormattedCitation":"[1]"},"properties":{"noteIndex":0},"schema":"https://github.com/citation-style-language/schema/raw/master/csl-citation.json"}</w:instrText>
      </w:r>
      <w:r w:rsidR="00DC3E31" w:rsidRPr="002501BC">
        <w:rPr>
          <w:rFonts w:ascii="Times New Roman" w:hAnsi="Times New Roman" w:cs="Times New Roman"/>
          <w:sz w:val="24"/>
          <w:szCs w:val="24"/>
        </w:rPr>
        <w:fldChar w:fldCharType="separate"/>
      </w:r>
      <w:r w:rsidR="00B46DD2" w:rsidRPr="002501BC">
        <w:rPr>
          <w:rFonts w:ascii="Times New Roman" w:hAnsi="Times New Roman" w:cs="Times New Roman"/>
          <w:noProof/>
          <w:sz w:val="24"/>
          <w:szCs w:val="24"/>
          <w:vertAlign w:val="superscript"/>
        </w:rPr>
        <w:t>1</w:t>
      </w:r>
      <w:r w:rsidR="00DC3E31" w:rsidRPr="002501BC">
        <w:rPr>
          <w:rFonts w:ascii="Times New Roman" w:hAnsi="Times New Roman" w:cs="Times New Roman"/>
          <w:sz w:val="24"/>
          <w:szCs w:val="24"/>
        </w:rPr>
        <w:fldChar w:fldCharType="end"/>
      </w:r>
      <w:r w:rsidRPr="002501BC">
        <w:rPr>
          <w:rFonts w:ascii="Times New Roman" w:hAnsi="Times New Roman" w:cs="Times New Roman" w:hint="eastAsia"/>
          <w:sz w:val="24"/>
          <w:szCs w:val="24"/>
        </w:rPr>
        <w:t>.</w:t>
      </w:r>
    </w:p>
    <w:p w14:paraId="213610A8" w14:textId="77777777" w:rsidR="00305F1C" w:rsidRPr="002501BC" w:rsidRDefault="00305F1C" w:rsidP="008A0287">
      <w:pPr>
        <w:rPr>
          <w:rFonts w:ascii="Times New Roman" w:hAnsi="Times New Roman" w:cs="Times New Roman"/>
          <w:sz w:val="24"/>
          <w:szCs w:val="24"/>
        </w:rPr>
      </w:pPr>
    </w:p>
    <w:p w14:paraId="5C5C4756" w14:textId="77777777" w:rsidR="004A718D" w:rsidRPr="002501BC" w:rsidRDefault="004A718D" w:rsidP="008A0287">
      <w:pPr>
        <w:rPr>
          <w:rFonts w:ascii="Times New Roman" w:hAnsi="Times New Roman" w:cs="Times New Roman"/>
          <w:sz w:val="24"/>
          <w:szCs w:val="24"/>
        </w:rPr>
      </w:pPr>
    </w:p>
    <w:p w14:paraId="2C4996E5" w14:textId="12222430" w:rsidR="00B06C7C" w:rsidRPr="002501BC" w:rsidRDefault="000B5847" w:rsidP="00B06C7C">
      <w:pPr>
        <w:rPr>
          <w:rFonts w:ascii="Times New Roman" w:hAnsi="Times New Roman" w:cs="Times New Roman"/>
          <w:b/>
          <w:bCs/>
          <w:sz w:val="24"/>
          <w:szCs w:val="24"/>
        </w:rPr>
      </w:pPr>
      <w:r w:rsidRPr="002501BC">
        <w:rPr>
          <w:noProof/>
          <w:sz w:val="24"/>
          <w:szCs w:val="24"/>
        </w:rPr>
        <w:drawing>
          <wp:inline distT="0" distB="0" distL="0" distR="0" wp14:anchorId="34602F57" wp14:editId="771595D6">
            <wp:extent cx="6105525" cy="148087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5525" cy="1480873"/>
                    </a:xfrm>
                    <a:prstGeom prst="rect">
                      <a:avLst/>
                    </a:prstGeom>
                    <a:noFill/>
                    <a:ln>
                      <a:noFill/>
                    </a:ln>
                  </pic:spPr>
                </pic:pic>
              </a:graphicData>
            </a:graphic>
          </wp:inline>
        </w:drawing>
      </w:r>
    </w:p>
    <w:p w14:paraId="7C6B485B" w14:textId="63CC8F2D" w:rsidR="00B06C7C" w:rsidRPr="002501BC" w:rsidRDefault="008F6785" w:rsidP="00B06C7C">
      <w:pPr>
        <w:rPr>
          <w:rFonts w:ascii="Times New Roman" w:hAnsi="Times New Roman" w:cs="Times New Roman"/>
          <w:sz w:val="24"/>
          <w:szCs w:val="24"/>
        </w:rPr>
      </w:pPr>
      <w:r w:rsidRPr="002501BC">
        <w:rPr>
          <w:rFonts w:ascii="Times New Roman" w:hAnsi="Times New Roman" w:cs="Times New Roman"/>
          <w:b/>
          <w:bCs/>
          <w:sz w:val="24"/>
          <w:szCs w:val="24"/>
        </w:rPr>
        <w:t>Figure</w:t>
      </w:r>
      <w:r w:rsidR="00B06C7C" w:rsidRPr="002501BC">
        <w:rPr>
          <w:rFonts w:ascii="Times New Roman" w:hAnsi="Times New Roman" w:cs="Times New Roman"/>
          <w:b/>
          <w:bCs/>
          <w:sz w:val="24"/>
          <w:szCs w:val="24"/>
        </w:rPr>
        <w:t xml:space="preserve"> </w:t>
      </w:r>
      <w:r w:rsidR="003C69F6" w:rsidRPr="002501BC">
        <w:rPr>
          <w:rFonts w:ascii="Times New Roman" w:hAnsi="Times New Roman" w:cs="Times New Roman"/>
          <w:b/>
          <w:bCs/>
          <w:sz w:val="24"/>
          <w:szCs w:val="24"/>
        </w:rPr>
        <w:t>S</w:t>
      </w:r>
      <w:r w:rsidR="00943A5A" w:rsidRPr="002501BC">
        <w:rPr>
          <w:rFonts w:ascii="Times New Roman" w:hAnsi="Times New Roman" w:cs="Times New Roman" w:hint="eastAsia"/>
          <w:b/>
          <w:bCs/>
          <w:sz w:val="24"/>
          <w:szCs w:val="24"/>
        </w:rPr>
        <w:t>2</w:t>
      </w:r>
      <w:r w:rsidR="00B06C7C" w:rsidRPr="002501BC">
        <w:rPr>
          <w:rFonts w:ascii="Times New Roman" w:hAnsi="Times New Roman" w:cs="Times New Roman"/>
          <w:b/>
          <w:bCs/>
          <w:sz w:val="24"/>
          <w:szCs w:val="24"/>
        </w:rPr>
        <w:t xml:space="preserve">. </w:t>
      </w:r>
      <w:r w:rsidR="000B5847" w:rsidRPr="002501BC">
        <w:rPr>
          <w:rFonts w:ascii="Times New Roman" w:hAnsi="Times New Roman" w:cs="Times New Roman"/>
          <w:b/>
          <w:bCs/>
          <w:sz w:val="24"/>
          <w:szCs w:val="24"/>
        </w:rPr>
        <w:t>Scanning electron microscopy images (a) of La doped EuBiTe3 compound. Elemental dispersive mapping of La, Eu, Bi, Te, respectively</w:t>
      </w:r>
      <w:r w:rsidR="00271A9C" w:rsidRPr="002501BC">
        <w:rPr>
          <w:rFonts w:ascii="Times New Roman" w:hAnsi="Times New Roman" w:cs="Times New Roman"/>
          <w:b/>
          <w:bCs/>
          <w:sz w:val="24"/>
          <w:szCs w:val="24"/>
        </w:rPr>
        <w:t xml:space="preserve"> </w:t>
      </w:r>
      <w:r w:rsidR="000B5847" w:rsidRPr="002501BC">
        <w:rPr>
          <w:rFonts w:ascii="Times New Roman" w:hAnsi="Times New Roman" w:cs="Times New Roman"/>
          <w:b/>
          <w:bCs/>
          <w:sz w:val="24"/>
          <w:szCs w:val="24"/>
        </w:rPr>
        <w:t>(b</w:t>
      </w:r>
      <w:r w:rsidR="002E5375" w:rsidRPr="002501BC">
        <w:rPr>
          <w:rFonts w:ascii="Times New Roman" w:hAnsi="Times New Roman" w:cs="Times New Roman"/>
          <w:b/>
          <w:bCs/>
          <w:sz w:val="24"/>
          <w:szCs w:val="24"/>
        </w:rPr>
        <w:t xml:space="preserve"> - </w:t>
      </w:r>
      <w:r w:rsidR="000B5847" w:rsidRPr="002501BC">
        <w:rPr>
          <w:rFonts w:ascii="Times New Roman" w:hAnsi="Times New Roman" w:cs="Times New Roman"/>
          <w:b/>
          <w:bCs/>
          <w:sz w:val="24"/>
          <w:szCs w:val="24"/>
        </w:rPr>
        <w:t>e)</w:t>
      </w:r>
      <w:r w:rsidR="002E5375" w:rsidRPr="002501BC">
        <w:rPr>
          <w:rFonts w:ascii="Times New Roman" w:hAnsi="Times New Roman" w:cs="Times New Roman"/>
          <w:b/>
          <w:bCs/>
          <w:sz w:val="24"/>
          <w:szCs w:val="24"/>
        </w:rPr>
        <w:t>.</w:t>
      </w:r>
    </w:p>
    <w:p w14:paraId="4EDCD3E5" w14:textId="52CED441" w:rsidR="004A718D" w:rsidRPr="002501BC" w:rsidRDefault="005E47BE" w:rsidP="003C69F6">
      <w:pPr>
        <w:rPr>
          <w:rFonts w:ascii="Times New Roman" w:eastAsiaTheme="minorHAnsi" w:hAnsi="Times New Roman" w:cs="Times New Roman"/>
          <w:sz w:val="24"/>
          <w:szCs w:val="24"/>
        </w:rPr>
      </w:pPr>
      <w:r w:rsidRPr="002501BC">
        <w:rPr>
          <w:rFonts w:ascii="Times New Roman" w:eastAsiaTheme="minorHAnsi" w:hAnsi="Times New Roman" w:cs="Times New Roman"/>
          <w:sz w:val="24"/>
          <w:szCs w:val="24"/>
        </w:rPr>
        <w:t xml:space="preserve">The compounds are comprised of </w:t>
      </w:r>
      <w:r w:rsidR="00011BBA" w:rsidRPr="002501BC">
        <w:rPr>
          <w:rFonts w:ascii="Times New Roman" w:eastAsiaTheme="minorHAnsi" w:hAnsi="Times New Roman" w:cs="Times New Roman"/>
          <w:sz w:val="24"/>
          <w:szCs w:val="24"/>
        </w:rPr>
        <w:t xml:space="preserve">1.94 % of La, 16.61 % of Eu, 20.09 % of Bi, 61.36 % of Te, </w:t>
      </w:r>
      <w:r w:rsidR="00011BBA" w:rsidRPr="002501BC">
        <w:rPr>
          <w:rFonts w:ascii="Times New Roman" w:eastAsiaTheme="minorHAnsi" w:hAnsi="Times New Roman" w:cs="Times New Roman"/>
          <w:sz w:val="24"/>
          <w:szCs w:val="24"/>
        </w:rPr>
        <w:lastRenderedPageBreak/>
        <w:t xml:space="preserve">respectively. Atomic ratio of the result </w:t>
      </w:r>
      <w:r w:rsidR="004B3B14" w:rsidRPr="002501BC">
        <w:rPr>
          <w:rFonts w:ascii="Times New Roman" w:eastAsiaTheme="minorHAnsi" w:hAnsi="Times New Roman" w:cs="Times New Roman" w:hint="eastAsia"/>
          <w:sz w:val="24"/>
          <w:szCs w:val="24"/>
        </w:rPr>
        <w:t xml:space="preserve">calculated by averaging </w:t>
      </w:r>
      <w:r w:rsidR="00A86EFB" w:rsidRPr="002501BC">
        <w:rPr>
          <w:rFonts w:ascii="Times New Roman" w:eastAsiaTheme="minorHAnsi" w:hAnsi="Times New Roman" w:cs="Times New Roman" w:hint="eastAsia"/>
          <w:sz w:val="24"/>
          <w:szCs w:val="24"/>
        </w:rPr>
        <w:t>10</w:t>
      </w:r>
      <w:r w:rsidR="004B3B14" w:rsidRPr="002501BC">
        <w:rPr>
          <w:rFonts w:ascii="Times New Roman" w:eastAsiaTheme="minorHAnsi" w:hAnsi="Times New Roman" w:cs="Times New Roman" w:hint="eastAsia"/>
          <w:sz w:val="24"/>
          <w:szCs w:val="24"/>
        </w:rPr>
        <w:t xml:space="preserve"> different </w:t>
      </w:r>
      <w:r w:rsidR="00A86EFB" w:rsidRPr="002501BC">
        <w:rPr>
          <w:rFonts w:ascii="Times New Roman" w:eastAsiaTheme="minorHAnsi" w:hAnsi="Times New Roman" w:cs="Times New Roman" w:hint="eastAsia"/>
          <w:sz w:val="24"/>
          <w:szCs w:val="24"/>
        </w:rPr>
        <w:t xml:space="preserve">surface </w:t>
      </w:r>
      <w:r w:rsidR="004B3B14" w:rsidRPr="002501BC">
        <w:rPr>
          <w:rFonts w:ascii="Times New Roman" w:eastAsiaTheme="minorHAnsi" w:hAnsi="Times New Roman" w:cs="Times New Roman" w:hint="eastAsia"/>
          <w:sz w:val="24"/>
          <w:szCs w:val="24"/>
        </w:rPr>
        <w:t xml:space="preserve">points of EDX measurement, which is </w:t>
      </w:r>
      <w:r w:rsidR="00011BBA" w:rsidRPr="002501BC">
        <w:rPr>
          <w:rFonts w:ascii="Times New Roman" w:eastAsiaTheme="minorHAnsi" w:hAnsi="Times New Roman" w:cs="Times New Roman"/>
          <w:sz w:val="24"/>
          <w:szCs w:val="24"/>
        </w:rPr>
        <w:t>well aligns with original ratio of La</w:t>
      </w:r>
      <w:r w:rsidR="00011BBA" w:rsidRPr="002501BC">
        <w:rPr>
          <w:rFonts w:ascii="Times New Roman" w:eastAsiaTheme="minorHAnsi" w:hAnsi="Times New Roman" w:cs="Times New Roman"/>
          <w:sz w:val="24"/>
          <w:szCs w:val="24"/>
          <w:vertAlign w:val="subscript"/>
        </w:rPr>
        <w:t>0.1</w:t>
      </w:r>
      <w:r w:rsidR="00011BBA" w:rsidRPr="002501BC">
        <w:rPr>
          <w:rFonts w:ascii="Times New Roman" w:eastAsiaTheme="minorHAnsi" w:hAnsi="Times New Roman" w:cs="Times New Roman"/>
          <w:sz w:val="24"/>
          <w:szCs w:val="24"/>
        </w:rPr>
        <w:t>Eu</w:t>
      </w:r>
      <w:r w:rsidR="00011BBA" w:rsidRPr="002501BC">
        <w:rPr>
          <w:rFonts w:ascii="Times New Roman" w:eastAsiaTheme="minorHAnsi" w:hAnsi="Times New Roman" w:cs="Times New Roman"/>
          <w:sz w:val="24"/>
          <w:szCs w:val="24"/>
          <w:vertAlign w:val="subscript"/>
        </w:rPr>
        <w:t>0.9</w:t>
      </w:r>
      <w:r w:rsidR="00011BBA" w:rsidRPr="002501BC">
        <w:rPr>
          <w:rFonts w:ascii="Times New Roman" w:eastAsiaTheme="minorHAnsi" w:hAnsi="Times New Roman" w:cs="Times New Roman"/>
          <w:sz w:val="24"/>
          <w:szCs w:val="24"/>
        </w:rPr>
        <w:t>BiTe</w:t>
      </w:r>
      <w:r w:rsidR="00011BBA" w:rsidRPr="002501BC">
        <w:rPr>
          <w:rFonts w:ascii="Times New Roman" w:eastAsiaTheme="minorHAnsi" w:hAnsi="Times New Roman" w:cs="Times New Roman"/>
          <w:sz w:val="24"/>
          <w:szCs w:val="24"/>
          <w:vertAlign w:val="subscript"/>
        </w:rPr>
        <w:t>3</w:t>
      </w:r>
      <w:r w:rsidR="00011BBA" w:rsidRPr="002501BC">
        <w:rPr>
          <w:rFonts w:ascii="Times New Roman" w:eastAsiaTheme="minorHAnsi" w:hAnsi="Times New Roman" w:cs="Times New Roman"/>
          <w:sz w:val="24"/>
          <w:szCs w:val="24"/>
        </w:rPr>
        <w:t xml:space="preserve"> compounds. </w:t>
      </w:r>
    </w:p>
    <w:p w14:paraId="35F3DCD1" w14:textId="65289F9F" w:rsidR="00EF6F06" w:rsidRPr="002501BC" w:rsidRDefault="00EF6F06" w:rsidP="003C69F6">
      <w:pPr>
        <w:rPr>
          <w:rFonts w:ascii="Times New Roman" w:eastAsiaTheme="minorHAnsi" w:hAnsi="Times New Roman" w:cs="Times New Roman"/>
          <w:sz w:val="24"/>
          <w:szCs w:val="24"/>
        </w:rPr>
      </w:pPr>
    </w:p>
    <w:tbl>
      <w:tblPr>
        <w:tblStyle w:val="ab"/>
        <w:tblW w:w="9056" w:type="dxa"/>
        <w:tblInd w:w="574" w:type="dxa"/>
        <w:tblBorders>
          <w:left w:val="none" w:sz="0" w:space="0" w:color="auto"/>
          <w:right w:val="none" w:sz="0" w:space="0" w:color="auto"/>
          <w:insideV w:val="none" w:sz="0" w:space="0" w:color="auto"/>
        </w:tblBorders>
        <w:tblLook w:val="04A0" w:firstRow="1" w:lastRow="0" w:firstColumn="1" w:lastColumn="0" w:noHBand="0" w:noVBand="1"/>
      </w:tblPr>
      <w:tblGrid>
        <w:gridCol w:w="2467"/>
        <w:gridCol w:w="1760"/>
        <w:gridCol w:w="1458"/>
        <w:gridCol w:w="1603"/>
        <w:gridCol w:w="1768"/>
      </w:tblGrid>
      <w:tr w:rsidR="007427C8" w:rsidRPr="002501BC" w14:paraId="665F6B8D" w14:textId="23789AAC" w:rsidTr="00E52F8C">
        <w:trPr>
          <w:trHeight w:val="311"/>
        </w:trPr>
        <w:tc>
          <w:tcPr>
            <w:tcW w:w="2467" w:type="dxa"/>
            <w:vMerge w:val="restart"/>
            <w:tcBorders>
              <w:top w:val="single" w:sz="12" w:space="0" w:color="000000" w:themeColor="text1"/>
            </w:tcBorders>
          </w:tcPr>
          <w:p w14:paraId="3BBE8AAE" w14:textId="77777777" w:rsidR="007427C8" w:rsidRPr="002501BC" w:rsidRDefault="007427C8" w:rsidP="007427C8">
            <w:pPr>
              <w:spacing w:after="120"/>
              <w:jc w:val="center"/>
              <w:rPr>
                <w:rFonts w:ascii="Times New Roman" w:hAnsi="Times New Roman" w:cs="Times New Roman"/>
                <w:sz w:val="24"/>
                <w:szCs w:val="24"/>
              </w:rPr>
            </w:pPr>
            <w:r w:rsidRPr="002501BC">
              <w:rPr>
                <w:rFonts w:ascii="Times New Roman" w:hAnsi="Times New Roman" w:cs="Times New Roman"/>
                <w:sz w:val="24"/>
                <w:szCs w:val="24"/>
              </w:rPr>
              <w:t>Atomic Ratio</w:t>
            </w:r>
          </w:p>
          <w:p w14:paraId="36C242F1" w14:textId="47733333" w:rsidR="007427C8" w:rsidRPr="002501BC" w:rsidRDefault="007427C8" w:rsidP="007427C8">
            <w:pPr>
              <w:spacing w:after="120"/>
              <w:jc w:val="center"/>
              <w:rPr>
                <w:rFonts w:ascii="Times New Roman" w:hAnsi="Times New Roman" w:cs="Times New Roman"/>
                <w:sz w:val="24"/>
                <w:szCs w:val="24"/>
                <w:vertAlign w:val="superscript"/>
              </w:rPr>
            </w:pPr>
            <w:r w:rsidRPr="002501BC">
              <w:rPr>
                <w:rFonts w:ascii="Times New Roman" w:hAnsi="Times New Roman" w:cs="Times New Roman"/>
                <w:sz w:val="24"/>
                <w:szCs w:val="24"/>
              </w:rPr>
              <w:t>(%)</w:t>
            </w:r>
          </w:p>
        </w:tc>
        <w:tc>
          <w:tcPr>
            <w:tcW w:w="6589" w:type="dxa"/>
            <w:gridSpan w:val="4"/>
            <w:tcBorders>
              <w:top w:val="single" w:sz="12" w:space="0" w:color="000000" w:themeColor="text1"/>
              <w:bottom w:val="single" w:sz="12" w:space="0" w:color="000000" w:themeColor="text1"/>
            </w:tcBorders>
          </w:tcPr>
          <w:p w14:paraId="64D27ADE" w14:textId="107764B0" w:rsidR="007427C8" w:rsidRPr="002501BC" w:rsidRDefault="007427C8" w:rsidP="007427C8">
            <w:pPr>
              <w:spacing w:after="120"/>
              <w:jc w:val="center"/>
              <w:rPr>
                <w:rFonts w:ascii="Times New Roman" w:hAnsi="Times New Roman" w:cs="Times New Roman"/>
                <w:sz w:val="24"/>
                <w:szCs w:val="24"/>
              </w:rPr>
            </w:pPr>
            <w:r w:rsidRPr="002501BC">
              <w:rPr>
                <w:rFonts w:ascii="Times New Roman" w:hAnsi="Times New Roman" w:cs="Times New Roman"/>
                <w:sz w:val="24"/>
                <w:szCs w:val="24"/>
              </w:rPr>
              <w:t>Elements</w:t>
            </w:r>
          </w:p>
        </w:tc>
      </w:tr>
      <w:tr w:rsidR="007427C8" w:rsidRPr="002501BC" w14:paraId="397DC764" w14:textId="79C0944D" w:rsidTr="00D675B3">
        <w:trPr>
          <w:trHeight w:val="351"/>
        </w:trPr>
        <w:tc>
          <w:tcPr>
            <w:tcW w:w="2467" w:type="dxa"/>
            <w:vMerge/>
            <w:tcBorders>
              <w:bottom w:val="single" w:sz="12" w:space="0" w:color="000000" w:themeColor="text1"/>
            </w:tcBorders>
          </w:tcPr>
          <w:p w14:paraId="2DD1F89A" w14:textId="77777777" w:rsidR="007427C8" w:rsidRPr="002501BC" w:rsidRDefault="007427C8" w:rsidP="006B07C8">
            <w:pPr>
              <w:spacing w:after="120"/>
              <w:rPr>
                <w:rFonts w:ascii="Times New Roman" w:hAnsi="Times New Roman" w:cs="Times New Roman"/>
                <w:sz w:val="24"/>
                <w:szCs w:val="24"/>
              </w:rPr>
            </w:pPr>
          </w:p>
        </w:tc>
        <w:tc>
          <w:tcPr>
            <w:tcW w:w="1760" w:type="dxa"/>
            <w:tcBorders>
              <w:top w:val="single" w:sz="12" w:space="0" w:color="000000" w:themeColor="text1"/>
              <w:bottom w:val="single" w:sz="12" w:space="0" w:color="000000" w:themeColor="text1"/>
            </w:tcBorders>
          </w:tcPr>
          <w:p w14:paraId="6B3AEE1B" w14:textId="27C40175" w:rsidR="007427C8" w:rsidRPr="002501BC" w:rsidRDefault="007427C8" w:rsidP="007427C8">
            <w:pPr>
              <w:spacing w:after="120"/>
              <w:jc w:val="center"/>
              <w:rPr>
                <w:rFonts w:ascii="Times New Roman" w:hAnsi="Times New Roman" w:cs="Times New Roman"/>
                <w:sz w:val="24"/>
                <w:szCs w:val="24"/>
              </w:rPr>
            </w:pPr>
            <w:r w:rsidRPr="002501BC">
              <w:rPr>
                <w:rFonts w:ascii="Times New Roman" w:hAnsi="Times New Roman" w:cs="Times New Roman"/>
                <w:sz w:val="24"/>
                <w:szCs w:val="24"/>
              </w:rPr>
              <w:t>La</w:t>
            </w:r>
          </w:p>
        </w:tc>
        <w:tc>
          <w:tcPr>
            <w:tcW w:w="1458" w:type="dxa"/>
            <w:tcBorders>
              <w:top w:val="single" w:sz="12" w:space="0" w:color="000000" w:themeColor="text1"/>
              <w:bottom w:val="single" w:sz="12" w:space="0" w:color="000000" w:themeColor="text1"/>
            </w:tcBorders>
          </w:tcPr>
          <w:p w14:paraId="4ECD6A8F" w14:textId="665571F3" w:rsidR="007427C8" w:rsidRPr="002501BC" w:rsidRDefault="007427C8" w:rsidP="007427C8">
            <w:pPr>
              <w:spacing w:after="120"/>
              <w:jc w:val="center"/>
              <w:rPr>
                <w:rFonts w:ascii="Times New Roman" w:hAnsi="Times New Roman" w:cs="Times New Roman"/>
                <w:sz w:val="24"/>
                <w:szCs w:val="24"/>
              </w:rPr>
            </w:pPr>
            <w:r w:rsidRPr="002501BC">
              <w:rPr>
                <w:rFonts w:ascii="Times New Roman" w:hAnsi="Times New Roman" w:cs="Times New Roman"/>
                <w:sz w:val="24"/>
                <w:szCs w:val="24"/>
              </w:rPr>
              <w:t>Eu</w:t>
            </w:r>
          </w:p>
        </w:tc>
        <w:tc>
          <w:tcPr>
            <w:tcW w:w="1603" w:type="dxa"/>
            <w:tcBorders>
              <w:top w:val="single" w:sz="12" w:space="0" w:color="000000" w:themeColor="text1"/>
              <w:bottom w:val="single" w:sz="12" w:space="0" w:color="000000" w:themeColor="text1"/>
            </w:tcBorders>
          </w:tcPr>
          <w:p w14:paraId="70B754A7" w14:textId="0A6C083C" w:rsidR="007427C8" w:rsidRPr="002501BC" w:rsidRDefault="007427C8" w:rsidP="007427C8">
            <w:pPr>
              <w:spacing w:after="120"/>
              <w:jc w:val="center"/>
              <w:rPr>
                <w:rFonts w:ascii="Times New Roman" w:hAnsi="Times New Roman" w:cs="Times New Roman"/>
                <w:sz w:val="24"/>
                <w:szCs w:val="24"/>
              </w:rPr>
            </w:pPr>
            <w:r w:rsidRPr="002501BC">
              <w:rPr>
                <w:rFonts w:ascii="Times New Roman" w:hAnsi="Times New Roman" w:cs="Times New Roman"/>
                <w:sz w:val="24"/>
                <w:szCs w:val="24"/>
              </w:rPr>
              <w:t>Bi</w:t>
            </w:r>
          </w:p>
        </w:tc>
        <w:tc>
          <w:tcPr>
            <w:tcW w:w="1767" w:type="dxa"/>
            <w:tcBorders>
              <w:top w:val="single" w:sz="12" w:space="0" w:color="000000" w:themeColor="text1"/>
              <w:bottom w:val="single" w:sz="12" w:space="0" w:color="000000" w:themeColor="text1"/>
            </w:tcBorders>
          </w:tcPr>
          <w:p w14:paraId="6C063F43" w14:textId="147FD284" w:rsidR="007427C8" w:rsidRPr="002501BC" w:rsidRDefault="007427C8" w:rsidP="007427C8">
            <w:pPr>
              <w:spacing w:after="120"/>
              <w:jc w:val="center"/>
              <w:rPr>
                <w:rFonts w:ascii="Times New Roman" w:hAnsi="Times New Roman" w:cs="Times New Roman"/>
                <w:sz w:val="24"/>
                <w:szCs w:val="24"/>
              </w:rPr>
            </w:pPr>
            <w:r w:rsidRPr="002501BC">
              <w:rPr>
                <w:rFonts w:ascii="Times New Roman" w:hAnsi="Times New Roman" w:cs="Times New Roman"/>
                <w:sz w:val="24"/>
                <w:szCs w:val="24"/>
              </w:rPr>
              <w:t>Te</w:t>
            </w:r>
          </w:p>
        </w:tc>
      </w:tr>
      <w:tr w:rsidR="007427C8" w:rsidRPr="002501BC" w14:paraId="0356C173" w14:textId="77777777" w:rsidTr="00D675B3">
        <w:trPr>
          <w:trHeight w:val="311"/>
        </w:trPr>
        <w:tc>
          <w:tcPr>
            <w:tcW w:w="2467" w:type="dxa"/>
            <w:tcBorders>
              <w:top w:val="single" w:sz="12" w:space="0" w:color="000000" w:themeColor="text1"/>
              <w:bottom w:val="nil"/>
            </w:tcBorders>
          </w:tcPr>
          <w:p w14:paraId="36F0FD39" w14:textId="6D8F945E" w:rsidR="007427C8" w:rsidRPr="002501BC" w:rsidRDefault="005D0046" w:rsidP="007427C8">
            <w:pPr>
              <w:spacing w:after="120"/>
              <w:jc w:val="center"/>
              <w:rPr>
                <w:rFonts w:ascii="Times New Roman" w:hAnsi="Times New Roman" w:cs="Times New Roman" w:hint="eastAsia"/>
                <w:sz w:val="24"/>
                <w:szCs w:val="24"/>
              </w:rPr>
            </w:pPr>
            <w:r>
              <w:rPr>
                <w:rFonts w:ascii="Times New Roman" w:hAnsi="Times New Roman" w:cs="Times New Roman" w:hint="eastAsia"/>
                <w:sz w:val="24"/>
                <w:szCs w:val="24"/>
              </w:rPr>
              <w:t>Nominal Composition</w:t>
            </w:r>
          </w:p>
        </w:tc>
        <w:tc>
          <w:tcPr>
            <w:tcW w:w="1760" w:type="dxa"/>
            <w:tcBorders>
              <w:top w:val="single" w:sz="12" w:space="0" w:color="000000" w:themeColor="text1"/>
              <w:bottom w:val="nil"/>
            </w:tcBorders>
          </w:tcPr>
          <w:p w14:paraId="562F4321" w14:textId="7A5BB700" w:rsidR="007427C8" w:rsidRPr="002501BC" w:rsidRDefault="007427C8" w:rsidP="007427C8">
            <w:pPr>
              <w:spacing w:after="120"/>
              <w:jc w:val="center"/>
              <w:rPr>
                <w:rFonts w:ascii="Times New Roman" w:hAnsi="Times New Roman" w:cs="Times New Roman"/>
                <w:sz w:val="24"/>
                <w:szCs w:val="24"/>
              </w:rPr>
            </w:pPr>
            <w:r w:rsidRPr="002501BC">
              <w:rPr>
                <w:rFonts w:ascii="Times New Roman" w:hAnsi="Times New Roman" w:cs="Times New Roman"/>
                <w:sz w:val="24"/>
                <w:szCs w:val="24"/>
              </w:rPr>
              <w:t>2</w:t>
            </w:r>
          </w:p>
        </w:tc>
        <w:tc>
          <w:tcPr>
            <w:tcW w:w="1458" w:type="dxa"/>
            <w:tcBorders>
              <w:top w:val="single" w:sz="12" w:space="0" w:color="000000" w:themeColor="text1"/>
              <w:bottom w:val="nil"/>
            </w:tcBorders>
          </w:tcPr>
          <w:p w14:paraId="6E2F3781" w14:textId="2AE04E9D" w:rsidR="007427C8" w:rsidRPr="002501BC" w:rsidRDefault="007427C8" w:rsidP="007427C8">
            <w:pPr>
              <w:spacing w:after="120"/>
              <w:jc w:val="center"/>
              <w:rPr>
                <w:rFonts w:ascii="Times New Roman" w:hAnsi="Times New Roman" w:cs="Times New Roman"/>
                <w:sz w:val="24"/>
                <w:szCs w:val="24"/>
              </w:rPr>
            </w:pPr>
            <w:r w:rsidRPr="002501BC">
              <w:rPr>
                <w:rFonts w:ascii="Times New Roman" w:hAnsi="Times New Roman" w:cs="Times New Roman"/>
                <w:sz w:val="24"/>
                <w:szCs w:val="24"/>
              </w:rPr>
              <w:t>18</w:t>
            </w:r>
          </w:p>
        </w:tc>
        <w:tc>
          <w:tcPr>
            <w:tcW w:w="1603" w:type="dxa"/>
            <w:tcBorders>
              <w:top w:val="single" w:sz="12" w:space="0" w:color="000000" w:themeColor="text1"/>
              <w:bottom w:val="nil"/>
            </w:tcBorders>
          </w:tcPr>
          <w:p w14:paraId="24714CFF" w14:textId="4E2B5CAA" w:rsidR="007427C8" w:rsidRPr="002501BC" w:rsidRDefault="007427C8" w:rsidP="007427C8">
            <w:pPr>
              <w:spacing w:after="120"/>
              <w:jc w:val="center"/>
              <w:rPr>
                <w:rFonts w:ascii="Times New Roman" w:hAnsi="Times New Roman" w:cs="Times New Roman"/>
                <w:sz w:val="24"/>
                <w:szCs w:val="24"/>
              </w:rPr>
            </w:pPr>
            <w:r w:rsidRPr="002501BC">
              <w:rPr>
                <w:rFonts w:ascii="Times New Roman" w:hAnsi="Times New Roman" w:cs="Times New Roman"/>
                <w:sz w:val="24"/>
                <w:szCs w:val="24"/>
              </w:rPr>
              <w:t>20</w:t>
            </w:r>
          </w:p>
        </w:tc>
        <w:tc>
          <w:tcPr>
            <w:tcW w:w="1767" w:type="dxa"/>
            <w:tcBorders>
              <w:top w:val="single" w:sz="12" w:space="0" w:color="000000" w:themeColor="text1"/>
              <w:bottom w:val="nil"/>
            </w:tcBorders>
          </w:tcPr>
          <w:p w14:paraId="29A3934D" w14:textId="324A405F" w:rsidR="007427C8" w:rsidRPr="002501BC" w:rsidRDefault="007427C8" w:rsidP="007427C8">
            <w:pPr>
              <w:spacing w:after="120"/>
              <w:jc w:val="center"/>
              <w:rPr>
                <w:rFonts w:ascii="Times New Roman" w:hAnsi="Times New Roman" w:cs="Times New Roman"/>
                <w:sz w:val="24"/>
                <w:szCs w:val="24"/>
              </w:rPr>
            </w:pPr>
            <w:r w:rsidRPr="002501BC">
              <w:rPr>
                <w:rFonts w:ascii="Times New Roman" w:hAnsi="Times New Roman" w:cs="Times New Roman"/>
                <w:sz w:val="24"/>
                <w:szCs w:val="24"/>
              </w:rPr>
              <w:t>60</w:t>
            </w:r>
          </w:p>
        </w:tc>
      </w:tr>
      <w:tr w:rsidR="007427C8" w:rsidRPr="002501BC" w14:paraId="09041A42" w14:textId="77777777" w:rsidTr="00D675B3">
        <w:trPr>
          <w:trHeight w:val="311"/>
        </w:trPr>
        <w:tc>
          <w:tcPr>
            <w:tcW w:w="2467" w:type="dxa"/>
            <w:tcBorders>
              <w:top w:val="nil"/>
              <w:bottom w:val="single" w:sz="12" w:space="0" w:color="auto"/>
            </w:tcBorders>
          </w:tcPr>
          <w:p w14:paraId="32480F67" w14:textId="044D1462" w:rsidR="007427C8" w:rsidRPr="002501BC" w:rsidRDefault="007427C8" w:rsidP="007427C8">
            <w:pPr>
              <w:spacing w:after="120"/>
              <w:jc w:val="center"/>
              <w:rPr>
                <w:rFonts w:ascii="Times New Roman" w:hAnsi="Times New Roman" w:cs="Times New Roman" w:hint="eastAsia"/>
                <w:sz w:val="24"/>
                <w:szCs w:val="24"/>
              </w:rPr>
            </w:pPr>
            <w:r w:rsidRPr="002501BC">
              <w:rPr>
                <w:rFonts w:ascii="Times New Roman" w:hAnsi="Times New Roman" w:cs="Times New Roman"/>
                <w:sz w:val="24"/>
                <w:szCs w:val="24"/>
              </w:rPr>
              <w:t>Measured</w:t>
            </w:r>
            <w:r w:rsidR="000622F2">
              <w:rPr>
                <w:rFonts w:ascii="Times New Roman" w:hAnsi="Times New Roman" w:cs="Times New Roman" w:hint="eastAsia"/>
                <w:sz w:val="24"/>
                <w:szCs w:val="24"/>
              </w:rPr>
              <w:t xml:space="preserve"> Composition</w:t>
            </w:r>
          </w:p>
        </w:tc>
        <w:tc>
          <w:tcPr>
            <w:tcW w:w="1760" w:type="dxa"/>
            <w:tcBorders>
              <w:top w:val="nil"/>
              <w:bottom w:val="single" w:sz="12" w:space="0" w:color="auto"/>
            </w:tcBorders>
          </w:tcPr>
          <w:p w14:paraId="1183A5DB" w14:textId="15596B6A" w:rsidR="007427C8" w:rsidRPr="002501BC" w:rsidRDefault="007427C8" w:rsidP="007427C8">
            <w:pPr>
              <w:spacing w:after="120"/>
              <w:jc w:val="center"/>
              <w:rPr>
                <w:rFonts w:ascii="Times New Roman" w:hAnsi="Times New Roman" w:cs="Times New Roman"/>
                <w:sz w:val="24"/>
                <w:szCs w:val="24"/>
              </w:rPr>
            </w:pPr>
            <w:r w:rsidRPr="002501BC">
              <w:rPr>
                <w:rFonts w:ascii="Times New Roman" w:hAnsi="Times New Roman" w:cs="Times New Roman"/>
                <w:sz w:val="24"/>
                <w:szCs w:val="24"/>
              </w:rPr>
              <w:t>1.94</w:t>
            </w:r>
          </w:p>
        </w:tc>
        <w:tc>
          <w:tcPr>
            <w:tcW w:w="1458" w:type="dxa"/>
            <w:tcBorders>
              <w:top w:val="nil"/>
              <w:bottom w:val="single" w:sz="12" w:space="0" w:color="auto"/>
            </w:tcBorders>
          </w:tcPr>
          <w:p w14:paraId="027E8852" w14:textId="2988F6D2" w:rsidR="007427C8" w:rsidRPr="002501BC" w:rsidRDefault="007427C8" w:rsidP="007427C8">
            <w:pPr>
              <w:spacing w:after="120"/>
              <w:jc w:val="center"/>
              <w:rPr>
                <w:rFonts w:ascii="Times New Roman" w:hAnsi="Times New Roman" w:cs="Times New Roman"/>
                <w:sz w:val="24"/>
                <w:szCs w:val="24"/>
              </w:rPr>
            </w:pPr>
            <w:r w:rsidRPr="002501BC">
              <w:rPr>
                <w:rFonts w:ascii="Times New Roman" w:hAnsi="Times New Roman" w:cs="Times New Roman"/>
                <w:sz w:val="24"/>
                <w:szCs w:val="24"/>
              </w:rPr>
              <w:t>16.61</w:t>
            </w:r>
          </w:p>
        </w:tc>
        <w:tc>
          <w:tcPr>
            <w:tcW w:w="1603" w:type="dxa"/>
            <w:tcBorders>
              <w:top w:val="nil"/>
              <w:bottom w:val="single" w:sz="12" w:space="0" w:color="auto"/>
            </w:tcBorders>
          </w:tcPr>
          <w:p w14:paraId="4B406963" w14:textId="11FACE53" w:rsidR="007427C8" w:rsidRPr="002501BC" w:rsidRDefault="007427C8" w:rsidP="007427C8">
            <w:pPr>
              <w:spacing w:after="120"/>
              <w:jc w:val="center"/>
              <w:rPr>
                <w:rFonts w:ascii="Times New Roman" w:hAnsi="Times New Roman" w:cs="Times New Roman"/>
                <w:sz w:val="24"/>
                <w:szCs w:val="24"/>
              </w:rPr>
            </w:pPr>
            <w:r w:rsidRPr="002501BC">
              <w:rPr>
                <w:rFonts w:ascii="Times New Roman" w:hAnsi="Times New Roman" w:cs="Times New Roman"/>
                <w:sz w:val="24"/>
                <w:szCs w:val="24"/>
              </w:rPr>
              <w:t>20.09</w:t>
            </w:r>
          </w:p>
        </w:tc>
        <w:tc>
          <w:tcPr>
            <w:tcW w:w="1767" w:type="dxa"/>
            <w:tcBorders>
              <w:top w:val="nil"/>
              <w:bottom w:val="single" w:sz="12" w:space="0" w:color="auto"/>
            </w:tcBorders>
          </w:tcPr>
          <w:p w14:paraId="0117CC45" w14:textId="0AC673F8" w:rsidR="007427C8" w:rsidRPr="002501BC" w:rsidRDefault="007427C8" w:rsidP="00EF6F06">
            <w:pPr>
              <w:keepNext/>
              <w:spacing w:after="120"/>
              <w:jc w:val="center"/>
              <w:rPr>
                <w:rFonts w:ascii="Times New Roman" w:hAnsi="Times New Roman" w:cs="Times New Roman"/>
                <w:sz w:val="24"/>
                <w:szCs w:val="24"/>
              </w:rPr>
            </w:pPr>
            <w:r w:rsidRPr="002501BC">
              <w:rPr>
                <w:rFonts w:ascii="Times New Roman" w:hAnsi="Times New Roman" w:cs="Times New Roman"/>
                <w:sz w:val="24"/>
                <w:szCs w:val="24"/>
              </w:rPr>
              <w:t>61.36</w:t>
            </w:r>
          </w:p>
        </w:tc>
      </w:tr>
    </w:tbl>
    <w:p w14:paraId="3B6CA581" w14:textId="73E19DDF" w:rsidR="005E47BE" w:rsidRPr="002501BC" w:rsidRDefault="00EF6F06" w:rsidP="00EF6F06">
      <w:pPr>
        <w:pStyle w:val="ae"/>
        <w:rPr>
          <w:rFonts w:ascii="Times New Roman" w:eastAsiaTheme="minorHAnsi" w:hAnsi="Times New Roman" w:cs="Times New Roman"/>
          <w:b/>
          <w:i w:val="0"/>
          <w:sz w:val="24"/>
          <w:szCs w:val="24"/>
        </w:rPr>
      </w:pPr>
      <w:r w:rsidRPr="002501BC">
        <w:rPr>
          <w:rFonts w:ascii="Times New Roman" w:hAnsi="Times New Roman" w:cs="Times New Roman"/>
          <w:b/>
          <w:i w:val="0"/>
          <w:sz w:val="24"/>
          <w:szCs w:val="24"/>
        </w:rPr>
        <w:t>Table S</w:t>
      </w:r>
      <w:r w:rsidRPr="002501BC">
        <w:rPr>
          <w:rFonts w:ascii="Times New Roman" w:hAnsi="Times New Roman" w:cs="Times New Roman"/>
          <w:b/>
          <w:i w:val="0"/>
          <w:sz w:val="24"/>
          <w:szCs w:val="24"/>
        </w:rPr>
        <w:fldChar w:fldCharType="begin"/>
      </w:r>
      <w:r w:rsidRPr="002501BC">
        <w:rPr>
          <w:rFonts w:ascii="Times New Roman" w:hAnsi="Times New Roman" w:cs="Times New Roman"/>
          <w:b/>
          <w:i w:val="0"/>
          <w:sz w:val="24"/>
          <w:szCs w:val="24"/>
        </w:rPr>
        <w:instrText xml:space="preserve"> SEQ Table \* ARABIC </w:instrText>
      </w:r>
      <w:r w:rsidRPr="002501BC">
        <w:rPr>
          <w:rFonts w:ascii="Times New Roman" w:hAnsi="Times New Roman" w:cs="Times New Roman"/>
          <w:b/>
          <w:i w:val="0"/>
          <w:sz w:val="24"/>
          <w:szCs w:val="24"/>
        </w:rPr>
        <w:fldChar w:fldCharType="separate"/>
      </w:r>
      <w:r w:rsidRPr="002501BC">
        <w:rPr>
          <w:rFonts w:ascii="Times New Roman" w:hAnsi="Times New Roman" w:cs="Times New Roman"/>
          <w:b/>
          <w:i w:val="0"/>
          <w:noProof/>
          <w:sz w:val="24"/>
          <w:szCs w:val="24"/>
        </w:rPr>
        <w:t>1</w:t>
      </w:r>
      <w:r w:rsidRPr="002501BC">
        <w:rPr>
          <w:rFonts w:ascii="Times New Roman" w:hAnsi="Times New Roman" w:cs="Times New Roman"/>
          <w:b/>
          <w:i w:val="0"/>
          <w:sz w:val="24"/>
          <w:szCs w:val="24"/>
        </w:rPr>
        <w:fldChar w:fldCharType="end"/>
      </w:r>
      <w:r w:rsidRPr="002501BC">
        <w:rPr>
          <w:rFonts w:ascii="Times New Roman" w:hAnsi="Times New Roman" w:cs="Times New Roman"/>
          <w:b/>
          <w:i w:val="0"/>
          <w:sz w:val="24"/>
          <w:szCs w:val="24"/>
        </w:rPr>
        <w:t xml:space="preserve">. Atomic ratio of </w:t>
      </w:r>
      <w:r w:rsidRPr="002501BC">
        <w:rPr>
          <w:rFonts w:ascii="Times New Roman" w:eastAsiaTheme="minorHAnsi" w:hAnsi="Times New Roman" w:cs="Times New Roman"/>
          <w:b/>
          <w:i w:val="0"/>
          <w:sz w:val="24"/>
          <w:szCs w:val="24"/>
        </w:rPr>
        <w:t>La</w:t>
      </w:r>
      <w:r w:rsidRPr="002501BC">
        <w:rPr>
          <w:rFonts w:ascii="Times New Roman" w:eastAsiaTheme="minorHAnsi" w:hAnsi="Times New Roman" w:cs="Times New Roman"/>
          <w:b/>
          <w:i w:val="0"/>
          <w:sz w:val="24"/>
          <w:szCs w:val="24"/>
          <w:vertAlign w:val="subscript"/>
        </w:rPr>
        <w:t>0.1</w:t>
      </w:r>
      <w:r w:rsidRPr="002501BC">
        <w:rPr>
          <w:rFonts w:ascii="Times New Roman" w:eastAsiaTheme="minorHAnsi" w:hAnsi="Times New Roman" w:cs="Times New Roman"/>
          <w:b/>
          <w:i w:val="0"/>
          <w:sz w:val="24"/>
          <w:szCs w:val="24"/>
        </w:rPr>
        <w:t>Eu</w:t>
      </w:r>
      <w:r w:rsidRPr="002501BC">
        <w:rPr>
          <w:rFonts w:ascii="Times New Roman" w:eastAsiaTheme="minorHAnsi" w:hAnsi="Times New Roman" w:cs="Times New Roman"/>
          <w:b/>
          <w:i w:val="0"/>
          <w:sz w:val="24"/>
          <w:szCs w:val="24"/>
          <w:vertAlign w:val="subscript"/>
        </w:rPr>
        <w:t>0.9</w:t>
      </w:r>
      <w:r w:rsidRPr="002501BC">
        <w:rPr>
          <w:rFonts w:ascii="Times New Roman" w:eastAsiaTheme="minorHAnsi" w:hAnsi="Times New Roman" w:cs="Times New Roman"/>
          <w:b/>
          <w:i w:val="0"/>
          <w:sz w:val="24"/>
          <w:szCs w:val="24"/>
        </w:rPr>
        <w:t>BiTe</w:t>
      </w:r>
      <w:r w:rsidRPr="002501BC">
        <w:rPr>
          <w:rFonts w:ascii="Times New Roman" w:eastAsiaTheme="minorHAnsi" w:hAnsi="Times New Roman" w:cs="Times New Roman"/>
          <w:b/>
          <w:i w:val="0"/>
          <w:sz w:val="24"/>
          <w:szCs w:val="24"/>
          <w:vertAlign w:val="subscript"/>
        </w:rPr>
        <w:t>3</w:t>
      </w:r>
      <w:r w:rsidRPr="002501BC">
        <w:rPr>
          <w:rFonts w:ascii="Times New Roman" w:eastAsiaTheme="minorHAnsi" w:hAnsi="Times New Roman" w:cs="Times New Roman"/>
          <w:b/>
          <w:i w:val="0"/>
          <w:sz w:val="24"/>
          <w:szCs w:val="24"/>
        </w:rPr>
        <w:t xml:space="preserve"> compounds.</w:t>
      </w:r>
    </w:p>
    <w:p w14:paraId="70440192" w14:textId="1AA84446" w:rsidR="00D01B53" w:rsidRPr="002501BC" w:rsidRDefault="00D01B53" w:rsidP="00D01B53">
      <w:pPr>
        <w:rPr>
          <w:sz w:val="24"/>
          <w:szCs w:val="24"/>
        </w:rPr>
      </w:pPr>
    </w:p>
    <w:p w14:paraId="53E2E250" w14:textId="332515F5" w:rsidR="00943A5A" w:rsidRPr="002501BC" w:rsidRDefault="00943A5A" w:rsidP="00943A5A">
      <w:pPr>
        <w:rPr>
          <w:sz w:val="24"/>
          <w:szCs w:val="24"/>
        </w:rPr>
      </w:pPr>
      <w:r w:rsidRPr="002501BC">
        <w:rPr>
          <w:noProof/>
          <w:sz w:val="24"/>
          <w:szCs w:val="24"/>
        </w:rPr>
        <w:drawing>
          <wp:inline distT="0" distB="0" distL="0" distR="0" wp14:anchorId="0CBD43E8" wp14:editId="57593FE9">
            <wp:extent cx="6105525" cy="4070350"/>
            <wp:effectExtent l="0" t="0" r="952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5525" cy="4070350"/>
                    </a:xfrm>
                    <a:prstGeom prst="rect">
                      <a:avLst/>
                    </a:prstGeom>
                    <a:noFill/>
                    <a:ln>
                      <a:noFill/>
                    </a:ln>
                  </pic:spPr>
                </pic:pic>
              </a:graphicData>
            </a:graphic>
          </wp:inline>
        </w:drawing>
      </w:r>
    </w:p>
    <w:p w14:paraId="716F9376" w14:textId="399D8DE3" w:rsidR="00943A5A" w:rsidRPr="002501BC" w:rsidRDefault="00943A5A" w:rsidP="00943A5A">
      <w:pPr>
        <w:rPr>
          <w:rFonts w:ascii="Times New Roman" w:hAnsi="Times New Roman" w:cs="Times New Roman"/>
          <w:sz w:val="24"/>
          <w:szCs w:val="24"/>
        </w:rPr>
      </w:pPr>
      <w:r w:rsidRPr="002501BC">
        <w:rPr>
          <w:rFonts w:ascii="Times New Roman" w:hAnsi="Times New Roman" w:cs="Times New Roman"/>
          <w:b/>
          <w:bCs/>
          <w:sz w:val="24"/>
          <w:szCs w:val="24"/>
        </w:rPr>
        <w:t>Figure S</w:t>
      </w:r>
      <w:r w:rsidRPr="002501BC">
        <w:rPr>
          <w:rFonts w:ascii="Times New Roman" w:hAnsi="Times New Roman" w:cs="Times New Roman" w:hint="eastAsia"/>
          <w:b/>
          <w:bCs/>
          <w:sz w:val="24"/>
          <w:szCs w:val="24"/>
        </w:rPr>
        <w:t>3</w:t>
      </w:r>
      <w:r w:rsidRPr="002501BC">
        <w:rPr>
          <w:rFonts w:ascii="Times New Roman" w:hAnsi="Times New Roman" w:cs="Times New Roman"/>
          <w:b/>
          <w:bCs/>
          <w:sz w:val="24"/>
          <w:szCs w:val="24"/>
        </w:rPr>
        <w:t>. High resolution transmission electron microscope (HR-TEM) images, fast Fourier transform (FT) and selected area electron diffraction (SAED) pattern of pure EuBiTe</w:t>
      </w:r>
      <w:r w:rsidRPr="002501BC">
        <w:rPr>
          <w:rFonts w:ascii="Times New Roman" w:hAnsi="Times New Roman" w:cs="Times New Roman"/>
          <w:b/>
          <w:bCs/>
          <w:sz w:val="24"/>
          <w:szCs w:val="24"/>
          <w:vertAlign w:val="subscript"/>
        </w:rPr>
        <w:t>3</w:t>
      </w:r>
      <w:r w:rsidRPr="002501BC">
        <w:rPr>
          <w:rFonts w:ascii="Times New Roman" w:hAnsi="Times New Roman" w:cs="Times New Roman"/>
          <w:b/>
          <w:bCs/>
          <w:sz w:val="24"/>
          <w:szCs w:val="24"/>
        </w:rPr>
        <w:t xml:space="preserve"> (a-c) and La</w:t>
      </w:r>
      <w:r w:rsidRPr="002501BC">
        <w:rPr>
          <w:rFonts w:ascii="Times New Roman" w:hAnsi="Times New Roman" w:cs="Times New Roman"/>
          <w:b/>
          <w:bCs/>
          <w:sz w:val="24"/>
          <w:szCs w:val="24"/>
          <w:vertAlign w:val="subscript"/>
        </w:rPr>
        <w:t>0.1</w:t>
      </w:r>
      <w:r w:rsidRPr="002501BC">
        <w:rPr>
          <w:rFonts w:ascii="Times New Roman" w:hAnsi="Times New Roman" w:cs="Times New Roman"/>
          <w:b/>
          <w:bCs/>
          <w:sz w:val="24"/>
          <w:szCs w:val="24"/>
        </w:rPr>
        <w:t>Eu</w:t>
      </w:r>
      <w:r w:rsidRPr="002501BC">
        <w:rPr>
          <w:rFonts w:ascii="Times New Roman" w:hAnsi="Times New Roman" w:cs="Times New Roman"/>
          <w:b/>
          <w:bCs/>
          <w:sz w:val="24"/>
          <w:szCs w:val="24"/>
          <w:vertAlign w:val="subscript"/>
        </w:rPr>
        <w:t>0.9</w:t>
      </w:r>
      <w:r w:rsidRPr="002501BC">
        <w:rPr>
          <w:rFonts w:ascii="Times New Roman" w:hAnsi="Times New Roman" w:cs="Times New Roman"/>
          <w:b/>
          <w:bCs/>
          <w:sz w:val="24"/>
          <w:szCs w:val="24"/>
        </w:rPr>
        <w:t>BiTe</w:t>
      </w:r>
      <w:r w:rsidRPr="002501BC">
        <w:rPr>
          <w:rFonts w:ascii="Times New Roman" w:hAnsi="Times New Roman" w:cs="Times New Roman"/>
          <w:b/>
          <w:bCs/>
          <w:sz w:val="24"/>
          <w:szCs w:val="24"/>
          <w:vertAlign w:val="subscript"/>
        </w:rPr>
        <w:t>3</w:t>
      </w:r>
      <w:r w:rsidRPr="002501BC">
        <w:rPr>
          <w:rFonts w:ascii="Times New Roman" w:hAnsi="Times New Roman" w:cs="Times New Roman"/>
          <w:b/>
          <w:bCs/>
          <w:sz w:val="24"/>
          <w:szCs w:val="24"/>
        </w:rPr>
        <w:t xml:space="preserve"> (d-f), respectively.</w:t>
      </w:r>
    </w:p>
    <w:p w14:paraId="11393692" w14:textId="6385BC8D" w:rsidR="004A718D" w:rsidRPr="002501BC" w:rsidRDefault="004A718D" w:rsidP="004A718D">
      <w:pPr>
        <w:rPr>
          <w:rFonts w:ascii="Times New Roman" w:eastAsiaTheme="minorHAnsi" w:hAnsi="Times New Roman" w:cs="Times New Roman"/>
          <w:sz w:val="24"/>
          <w:szCs w:val="24"/>
        </w:rPr>
      </w:pPr>
      <w:r w:rsidRPr="002501BC">
        <w:rPr>
          <w:rFonts w:ascii="Times New Roman" w:eastAsiaTheme="minorHAnsi" w:hAnsi="Times New Roman" w:cs="Times New Roman"/>
          <w:sz w:val="24"/>
          <w:szCs w:val="24"/>
        </w:rPr>
        <w:t>We measured high-resolution transmission electron microscope (HR-TEM) images of pristine EuBiTe3 and La</w:t>
      </w:r>
      <w:r w:rsidRPr="002501BC">
        <w:rPr>
          <w:rFonts w:ascii="Times New Roman" w:eastAsiaTheme="minorHAnsi" w:hAnsi="Times New Roman" w:cs="Times New Roman"/>
          <w:sz w:val="24"/>
          <w:szCs w:val="24"/>
          <w:vertAlign w:val="subscript"/>
        </w:rPr>
        <w:t>0.1</w:t>
      </w:r>
      <w:r w:rsidRPr="002501BC">
        <w:rPr>
          <w:rFonts w:ascii="Times New Roman" w:eastAsiaTheme="minorHAnsi" w:hAnsi="Times New Roman" w:cs="Times New Roman"/>
          <w:sz w:val="24"/>
          <w:szCs w:val="24"/>
        </w:rPr>
        <w:t>Eu</w:t>
      </w:r>
      <w:r w:rsidRPr="002501BC">
        <w:rPr>
          <w:rFonts w:ascii="Times New Roman" w:eastAsiaTheme="minorHAnsi" w:hAnsi="Times New Roman" w:cs="Times New Roman"/>
          <w:sz w:val="24"/>
          <w:szCs w:val="24"/>
          <w:vertAlign w:val="subscript"/>
        </w:rPr>
        <w:t>0.9</w:t>
      </w:r>
      <w:r w:rsidRPr="002501BC">
        <w:rPr>
          <w:rFonts w:ascii="Times New Roman" w:eastAsiaTheme="minorHAnsi" w:hAnsi="Times New Roman" w:cs="Times New Roman"/>
          <w:sz w:val="24"/>
          <w:szCs w:val="24"/>
        </w:rPr>
        <w:t>BiTe</w:t>
      </w:r>
      <w:r w:rsidRPr="002501BC">
        <w:rPr>
          <w:rFonts w:ascii="Times New Roman" w:eastAsiaTheme="minorHAnsi" w:hAnsi="Times New Roman" w:cs="Times New Roman"/>
          <w:sz w:val="24"/>
          <w:szCs w:val="24"/>
          <w:vertAlign w:val="subscript"/>
        </w:rPr>
        <w:t>3</w:t>
      </w:r>
      <w:r w:rsidRPr="002501BC">
        <w:rPr>
          <w:rFonts w:ascii="Times New Roman" w:eastAsiaTheme="minorHAnsi" w:hAnsi="Times New Roman" w:cs="Times New Roman"/>
          <w:sz w:val="24"/>
          <w:szCs w:val="24"/>
        </w:rPr>
        <w:t xml:space="preserve">, as shown in Fig. </w:t>
      </w:r>
      <w:r w:rsidRPr="002501BC">
        <w:rPr>
          <w:rFonts w:ascii="Times New Roman" w:eastAsiaTheme="minorHAnsi" w:hAnsi="Times New Roman" w:cs="Times New Roman" w:hint="eastAsia"/>
          <w:sz w:val="24"/>
          <w:szCs w:val="24"/>
        </w:rPr>
        <w:t>S3</w:t>
      </w:r>
      <w:r w:rsidRPr="002501BC">
        <w:rPr>
          <w:rFonts w:ascii="Times New Roman" w:eastAsiaTheme="minorHAnsi" w:hAnsi="Times New Roman" w:cs="Times New Roman"/>
          <w:sz w:val="24"/>
          <w:szCs w:val="24"/>
        </w:rPr>
        <w:t>(a) and (d). It shows homogeneous phase of both crystals without any defects such as nanoclusters or misalignments in the matrix. Fast Fourier transform (FFTs) images of pristine EuBiTe3 and La</w:t>
      </w:r>
      <w:r w:rsidRPr="002501BC">
        <w:rPr>
          <w:rFonts w:ascii="Times New Roman" w:eastAsiaTheme="minorHAnsi" w:hAnsi="Times New Roman" w:cs="Times New Roman"/>
          <w:sz w:val="24"/>
          <w:szCs w:val="24"/>
          <w:vertAlign w:val="subscript"/>
        </w:rPr>
        <w:t>0.1</w:t>
      </w:r>
      <w:r w:rsidRPr="002501BC">
        <w:rPr>
          <w:rFonts w:ascii="Times New Roman" w:eastAsiaTheme="minorHAnsi" w:hAnsi="Times New Roman" w:cs="Times New Roman"/>
          <w:sz w:val="24"/>
          <w:szCs w:val="24"/>
        </w:rPr>
        <w:t>Eu</w:t>
      </w:r>
      <w:r w:rsidRPr="002501BC">
        <w:rPr>
          <w:rFonts w:ascii="Times New Roman" w:eastAsiaTheme="minorHAnsi" w:hAnsi="Times New Roman" w:cs="Times New Roman"/>
          <w:sz w:val="24"/>
          <w:szCs w:val="24"/>
          <w:vertAlign w:val="subscript"/>
        </w:rPr>
        <w:t>0.9</w:t>
      </w:r>
      <w:r w:rsidRPr="002501BC">
        <w:rPr>
          <w:rFonts w:ascii="Times New Roman" w:eastAsiaTheme="minorHAnsi" w:hAnsi="Times New Roman" w:cs="Times New Roman"/>
          <w:sz w:val="24"/>
          <w:szCs w:val="24"/>
        </w:rPr>
        <w:t>BiTe</w:t>
      </w:r>
      <w:r w:rsidRPr="002501BC">
        <w:rPr>
          <w:rFonts w:ascii="Times New Roman" w:eastAsiaTheme="minorHAnsi" w:hAnsi="Times New Roman" w:cs="Times New Roman"/>
          <w:sz w:val="24"/>
          <w:szCs w:val="24"/>
          <w:vertAlign w:val="subscript"/>
        </w:rPr>
        <w:t>3</w:t>
      </w:r>
      <w:r w:rsidRPr="002501BC">
        <w:rPr>
          <w:rFonts w:ascii="Times New Roman" w:eastAsiaTheme="minorHAnsi" w:hAnsi="Times New Roman" w:cs="Times New Roman"/>
          <w:sz w:val="24"/>
          <w:szCs w:val="24"/>
        </w:rPr>
        <w:t xml:space="preserve"> are calculated as shown in Fig. (c) </w:t>
      </w:r>
      <w:r w:rsidRPr="002501BC">
        <w:rPr>
          <w:rFonts w:ascii="Times New Roman" w:eastAsiaTheme="minorHAnsi" w:hAnsi="Times New Roman" w:cs="Times New Roman"/>
          <w:sz w:val="24"/>
          <w:szCs w:val="24"/>
        </w:rPr>
        <w:lastRenderedPageBreak/>
        <w:t>and (e) in digital micrograph, and selective area electron diffraction (SAED) patterns of pristine EuBiTe3 and La</w:t>
      </w:r>
      <w:r w:rsidRPr="002501BC">
        <w:rPr>
          <w:rFonts w:ascii="Times New Roman" w:eastAsiaTheme="minorHAnsi" w:hAnsi="Times New Roman" w:cs="Times New Roman"/>
          <w:sz w:val="24"/>
          <w:szCs w:val="24"/>
          <w:vertAlign w:val="subscript"/>
        </w:rPr>
        <w:t>0.1</w:t>
      </w:r>
      <w:r w:rsidRPr="002501BC">
        <w:rPr>
          <w:rFonts w:ascii="Times New Roman" w:eastAsiaTheme="minorHAnsi" w:hAnsi="Times New Roman" w:cs="Times New Roman"/>
          <w:sz w:val="24"/>
          <w:szCs w:val="24"/>
        </w:rPr>
        <w:t>Eu</w:t>
      </w:r>
      <w:r w:rsidRPr="002501BC">
        <w:rPr>
          <w:rFonts w:ascii="Times New Roman" w:eastAsiaTheme="minorHAnsi" w:hAnsi="Times New Roman" w:cs="Times New Roman"/>
          <w:sz w:val="24"/>
          <w:szCs w:val="24"/>
          <w:vertAlign w:val="subscript"/>
        </w:rPr>
        <w:t>0.9</w:t>
      </w:r>
      <w:r w:rsidRPr="002501BC">
        <w:rPr>
          <w:rFonts w:ascii="Times New Roman" w:eastAsiaTheme="minorHAnsi" w:hAnsi="Times New Roman" w:cs="Times New Roman"/>
          <w:sz w:val="24"/>
          <w:szCs w:val="24"/>
        </w:rPr>
        <w:t>BiTe</w:t>
      </w:r>
      <w:r w:rsidRPr="002501BC">
        <w:rPr>
          <w:rFonts w:ascii="Times New Roman" w:eastAsiaTheme="minorHAnsi" w:hAnsi="Times New Roman" w:cs="Times New Roman"/>
          <w:sz w:val="24"/>
          <w:szCs w:val="24"/>
          <w:vertAlign w:val="subscript"/>
        </w:rPr>
        <w:t>3</w:t>
      </w:r>
      <w:r w:rsidRPr="002501BC">
        <w:rPr>
          <w:rFonts w:ascii="Times New Roman" w:eastAsiaTheme="minorHAnsi" w:hAnsi="Times New Roman" w:cs="Times New Roman"/>
          <w:sz w:val="24"/>
          <w:szCs w:val="24"/>
        </w:rPr>
        <w:t xml:space="preserve"> are represented as shown in Fig. (c) and (f), respectively.</w:t>
      </w:r>
    </w:p>
    <w:p w14:paraId="15EC98D2" w14:textId="77777777" w:rsidR="00943A5A" w:rsidRPr="002501BC" w:rsidRDefault="00943A5A" w:rsidP="00D01B53">
      <w:pPr>
        <w:rPr>
          <w:sz w:val="24"/>
          <w:szCs w:val="24"/>
        </w:rPr>
      </w:pPr>
    </w:p>
    <w:p w14:paraId="5758FC6C" w14:textId="77777777" w:rsidR="00943A5A" w:rsidRPr="002501BC" w:rsidRDefault="00943A5A" w:rsidP="00D01B53">
      <w:pPr>
        <w:rPr>
          <w:sz w:val="24"/>
          <w:szCs w:val="24"/>
        </w:rPr>
      </w:pPr>
    </w:p>
    <w:p w14:paraId="01CA3894" w14:textId="50B29ED2" w:rsidR="00B06C7C" w:rsidRPr="002501BC" w:rsidRDefault="00C23226" w:rsidP="00B06C7C">
      <w:pPr>
        <w:rPr>
          <w:rFonts w:ascii="Times New Roman" w:hAnsi="Times New Roman" w:cs="Times New Roman"/>
          <w:b/>
          <w:bCs/>
          <w:sz w:val="24"/>
          <w:szCs w:val="24"/>
        </w:rPr>
      </w:pPr>
      <w:r w:rsidRPr="002501BC">
        <w:rPr>
          <w:noProof/>
          <w:sz w:val="24"/>
          <w:szCs w:val="24"/>
        </w:rPr>
        <w:drawing>
          <wp:inline distT="0" distB="0" distL="0" distR="0" wp14:anchorId="5BE9A563" wp14:editId="6F83C636">
            <wp:extent cx="6105525" cy="252818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5525" cy="2528189"/>
                    </a:xfrm>
                    <a:prstGeom prst="rect">
                      <a:avLst/>
                    </a:prstGeom>
                    <a:noFill/>
                    <a:ln>
                      <a:noFill/>
                    </a:ln>
                  </pic:spPr>
                </pic:pic>
              </a:graphicData>
            </a:graphic>
          </wp:inline>
        </w:drawing>
      </w:r>
    </w:p>
    <w:p w14:paraId="45E92C47" w14:textId="6C58FD74" w:rsidR="00B06C7C" w:rsidRPr="002501BC" w:rsidRDefault="008F6785" w:rsidP="00B06C7C">
      <w:pPr>
        <w:rPr>
          <w:rFonts w:ascii="Times New Roman" w:hAnsi="Times New Roman" w:cs="Times New Roman"/>
          <w:sz w:val="24"/>
          <w:szCs w:val="24"/>
        </w:rPr>
      </w:pPr>
      <w:r w:rsidRPr="002501BC">
        <w:rPr>
          <w:rFonts w:ascii="Times New Roman" w:hAnsi="Times New Roman" w:cs="Times New Roman"/>
          <w:b/>
          <w:bCs/>
          <w:sz w:val="24"/>
          <w:szCs w:val="24"/>
        </w:rPr>
        <w:t>Figure</w:t>
      </w:r>
      <w:r w:rsidR="00B06C7C" w:rsidRPr="002501BC">
        <w:rPr>
          <w:rFonts w:ascii="Times New Roman" w:hAnsi="Times New Roman" w:cs="Times New Roman"/>
          <w:b/>
          <w:bCs/>
          <w:sz w:val="24"/>
          <w:szCs w:val="24"/>
        </w:rPr>
        <w:t xml:space="preserve"> </w:t>
      </w:r>
      <w:r w:rsidR="003C69F6" w:rsidRPr="002501BC">
        <w:rPr>
          <w:rFonts w:ascii="Times New Roman" w:hAnsi="Times New Roman" w:cs="Times New Roman"/>
          <w:b/>
          <w:bCs/>
          <w:sz w:val="24"/>
          <w:szCs w:val="24"/>
        </w:rPr>
        <w:t>S</w:t>
      </w:r>
      <w:r w:rsidR="00943A5A" w:rsidRPr="002501BC">
        <w:rPr>
          <w:rFonts w:ascii="Times New Roman" w:hAnsi="Times New Roman" w:cs="Times New Roman" w:hint="eastAsia"/>
          <w:b/>
          <w:bCs/>
          <w:sz w:val="24"/>
          <w:szCs w:val="24"/>
        </w:rPr>
        <w:t>4</w:t>
      </w:r>
      <w:r w:rsidR="00B06C7C" w:rsidRPr="002501BC">
        <w:rPr>
          <w:rFonts w:ascii="Times New Roman" w:hAnsi="Times New Roman" w:cs="Times New Roman"/>
          <w:b/>
          <w:bCs/>
          <w:sz w:val="24"/>
          <w:szCs w:val="24"/>
        </w:rPr>
        <w:t xml:space="preserve">. </w:t>
      </w:r>
      <w:r w:rsidR="00D76201" w:rsidRPr="002501BC">
        <w:rPr>
          <w:rFonts w:ascii="Times New Roman" w:hAnsi="Times New Roman" w:cs="Times New Roman"/>
          <w:b/>
          <w:bCs/>
          <w:sz w:val="24"/>
          <w:szCs w:val="24"/>
        </w:rPr>
        <w:t xml:space="preserve">Isothermal heat capacity for the temperature range of 1.8 – 2.9 K (a), 7.5 – 19.6 K (b).  </w:t>
      </w:r>
    </w:p>
    <w:p w14:paraId="35FE9B7E" w14:textId="533CC6DA" w:rsidR="005E47BE" w:rsidRPr="002501BC" w:rsidRDefault="00AF79E4" w:rsidP="005E47BE">
      <w:pPr>
        <w:rPr>
          <w:rFonts w:ascii="Times New Roman" w:eastAsiaTheme="minorHAnsi" w:hAnsi="Times New Roman" w:cs="Times New Roman"/>
          <w:sz w:val="24"/>
          <w:szCs w:val="24"/>
        </w:rPr>
      </w:pPr>
      <w:r w:rsidRPr="002501BC">
        <w:rPr>
          <w:rFonts w:ascii="Times New Roman" w:eastAsiaTheme="minorHAnsi" w:hAnsi="Times New Roman" w:cs="Times New Roman"/>
          <w:sz w:val="24"/>
          <w:szCs w:val="24"/>
        </w:rPr>
        <w:t>Isothermal heat capacity under external magnetic field from 0 – 3 T exhibits different tendency based on its Neel temperature</w:t>
      </w:r>
      <w:r w:rsidR="001C07B9" w:rsidRPr="002501BC">
        <w:rPr>
          <w:rFonts w:ascii="Times New Roman" w:eastAsiaTheme="minorHAnsi" w:hAnsi="Times New Roman" w:cs="Times New Roman"/>
          <w:sz w:val="24"/>
          <w:szCs w:val="24"/>
        </w:rPr>
        <w:t xml:space="preserve"> </w:t>
      </w:r>
      <w:r w:rsidRPr="002501BC">
        <w:rPr>
          <w:rFonts w:ascii="Times New Roman" w:eastAsiaTheme="minorHAnsi" w:hAnsi="Times New Roman" w:cs="Times New Roman"/>
          <w:sz w:val="24"/>
          <w:szCs w:val="24"/>
        </w:rPr>
        <w:t>(</w:t>
      </w:r>
      <w:r w:rsidR="001C07B9" w:rsidRPr="002501BC">
        <w:rPr>
          <w:rFonts w:ascii="Times New Roman" w:eastAsiaTheme="minorHAnsi" w:hAnsi="Times New Roman" w:cs="Times New Roman"/>
          <w:sz w:val="24"/>
          <w:szCs w:val="24"/>
        </w:rPr>
        <w:t>T</w:t>
      </w:r>
      <w:r w:rsidR="001C07B9" w:rsidRPr="002501BC">
        <w:rPr>
          <w:rFonts w:ascii="Times New Roman" w:eastAsiaTheme="minorHAnsi" w:hAnsi="Times New Roman" w:cs="Times New Roman"/>
          <w:sz w:val="24"/>
          <w:szCs w:val="24"/>
          <w:vertAlign w:val="subscript"/>
        </w:rPr>
        <w:t>N</w:t>
      </w:r>
      <w:r w:rsidR="001C07B9" w:rsidRPr="002501BC">
        <w:rPr>
          <w:rFonts w:ascii="Times New Roman" w:eastAsiaTheme="minorHAnsi" w:hAnsi="Times New Roman" w:cs="Times New Roman"/>
          <w:sz w:val="24"/>
          <w:szCs w:val="24"/>
        </w:rPr>
        <w:t xml:space="preserve"> = </w:t>
      </w:r>
      <w:r w:rsidRPr="002501BC">
        <w:rPr>
          <w:rFonts w:ascii="Times New Roman" w:eastAsiaTheme="minorHAnsi" w:hAnsi="Times New Roman" w:cs="Times New Roman"/>
          <w:sz w:val="24"/>
          <w:szCs w:val="24"/>
        </w:rPr>
        <w:t xml:space="preserve">7 K). Above the Neel temperature, isothermal heat capacity from 7.5 – 19.6 K (b) decreases as the field increases, comparing to the temperature range of 1.8 – 2.9 K </w:t>
      </w:r>
      <w:r w:rsidR="00824DFF" w:rsidRPr="002501BC">
        <w:rPr>
          <w:rFonts w:ascii="Times New Roman" w:eastAsiaTheme="minorHAnsi" w:hAnsi="Times New Roman" w:cs="Times New Roman"/>
          <w:sz w:val="24"/>
          <w:szCs w:val="24"/>
        </w:rPr>
        <w:t xml:space="preserve">(a) </w:t>
      </w:r>
      <w:r w:rsidRPr="002501BC">
        <w:rPr>
          <w:rFonts w:ascii="Times New Roman" w:eastAsiaTheme="minorHAnsi" w:hAnsi="Times New Roman" w:cs="Times New Roman"/>
          <w:sz w:val="24"/>
          <w:szCs w:val="24"/>
        </w:rPr>
        <w:t xml:space="preserve">which </w:t>
      </w:r>
      <w:r w:rsidR="00F37EBC" w:rsidRPr="002501BC">
        <w:rPr>
          <w:rFonts w:ascii="Times New Roman" w:eastAsiaTheme="minorHAnsi" w:hAnsi="Times New Roman" w:cs="Times New Roman"/>
          <w:sz w:val="24"/>
          <w:szCs w:val="24"/>
        </w:rPr>
        <w:t>show</w:t>
      </w:r>
      <w:r w:rsidRPr="002501BC">
        <w:rPr>
          <w:rFonts w:ascii="Times New Roman" w:eastAsiaTheme="minorHAnsi" w:hAnsi="Times New Roman" w:cs="Times New Roman"/>
          <w:sz w:val="24"/>
          <w:szCs w:val="24"/>
        </w:rPr>
        <w:t xml:space="preserve">s </w:t>
      </w:r>
      <w:r w:rsidR="00C02240" w:rsidRPr="002501BC">
        <w:rPr>
          <w:rFonts w:ascii="Times New Roman" w:eastAsiaTheme="minorHAnsi" w:hAnsi="Times New Roman" w:cs="Times New Roman"/>
          <w:sz w:val="24"/>
          <w:szCs w:val="24"/>
        </w:rPr>
        <w:t>proportional</w:t>
      </w:r>
      <w:r w:rsidR="00F37EBC" w:rsidRPr="002501BC">
        <w:rPr>
          <w:rFonts w:ascii="Times New Roman" w:eastAsiaTheme="minorHAnsi" w:hAnsi="Times New Roman" w:cs="Times New Roman"/>
          <w:sz w:val="24"/>
          <w:szCs w:val="24"/>
        </w:rPr>
        <w:t xml:space="preserve"> behavior of</w:t>
      </w:r>
      <w:r w:rsidR="00C02240" w:rsidRPr="002501BC">
        <w:rPr>
          <w:rFonts w:ascii="Times New Roman" w:eastAsiaTheme="minorHAnsi" w:hAnsi="Times New Roman" w:cs="Times New Roman"/>
          <w:sz w:val="24"/>
          <w:szCs w:val="24"/>
        </w:rPr>
        <w:t xml:space="preserve"> heat capacity with following magnetic field</w:t>
      </w:r>
      <w:r w:rsidR="00DC3E31" w:rsidRPr="002501BC">
        <w:rPr>
          <w:rFonts w:ascii="Times New Roman" w:eastAsiaTheme="minorHAnsi" w:hAnsi="Times New Roman" w:cs="Times New Roman"/>
          <w:sz w:val="24"/>
          <w:szCs w:val="24"/>
        </w:rPr>
        <w:fldChar w:fldCharType="begin" w:fldLock="1"/>
      </w:r>
      <w:r w:rsidR="00B46DD2" w:rsidRPr="002501BC">
        <w:rPr>
          <w:rFonts w:ascii="Times New Roman" w:eastAsiaTheme="minorHAnsi" w:hAnsi="Times New Roman" w:cs="Times New Roman"/>
          <w:sz w:val="24"/>
          <w:szCs w:val="24"/>
        </w:rPr>
        <w:instrText>ADDIN CSL_CITATION {"citationItems":[{"id":"ITEM-1","itemData":{"DOI":"10.1063/5.0011887","ISSN":"00036951","abstract":"We present experimental evidence for the simultaneous existence of the magnons and spin-state transition contributions to the heat capa</w:instrText>
      </w:r>
      <w:r w:rsidR="00B46DD2" w:rsidRPr="002501BC">
        <w:rPr>
          <w:rFonts w:ascii="Times New Roman" w:eastAsiaTheme="minorHAnsi" w:hAnsi="Times New Roman" w:cs="Times New Roman" w:hint="eastAsia"/>
          <w:sz w:val="24"/>
          <w:szCs w:val="24"/>
        </w:rPr>
        <w:instrText xml:space="preserve">city in ferromagnetic (FM) Cr-doped MnTe (Tc </w:instrText>
      </w:r>
      <w:r w:rsidR="00B46DD2" w:rsidRPr="002501BC">
        <w:rPr>
          <w:rFonts w:ascii="Times New Roman" w:eastAsiaTheme="minorHAnsi" w:hAnsi="Times New Roman" w:cs="Times New Roman" w:hint="eastAsia"/>
          <w:sz w:val="24"/>
          <w:szCs w:val="24"/>
        </w:rPr>
        <w:instrText>∼</w:instrText>
      </w:r>
      <w:r w:rsidR="00B46DD2" w:rsidRPr="002501BC">
        <w:rPr>
          <w:rFonts w:ascii="Times New Roman" w:eastAsiaTheme="minorHAnsi" w:hAnsi="Times New Roman" w:cs="Times New Roman" w:hint="eastAsia"/>
          <w:sz w:val="24"/>
          <w:szCs w:val="24"/>
        </w:rPr>
        <w:instrText xml:space="preserve">280 K), where the magnon heat capacity is attributed to the observed magnon-bipolar carrier-drag thermopower. The pristine antiferromagnetic (AFM) MnTe shows only a magnon-induced peak in the heat capacity near the Néel temperature, TN </w:instrText>
      </w:r>
      <w:r w:rsidR="00B46DD2" w:rsidRPr="002501BC">
        <w:rPr>
          <w:rFonts w:ascii="Times New Roman" w:eastAsiaTheme="minorHAnsi" w:hAnsi="Times New Roman" w:cs="Times New Roman" w:hint="eastAsia"/>
          <w:sz w:val="24"/>
          <w:szCs w:val="24"/>
        </w:rPr>
        <w:instrText>∼</w:instrText>
      </w:r>
      <w:r w:rsidR="00B46DD2" w:rsidRPr="002501BC">
        <w:rPr>
          <w:rFonts w:ascii="Times New Roman" w:eastAsiaTheme="minorHAnsi" w:hAnsi="Times New Roman" w:cs="Times New Roman" w:hint="eastAsia"/>
          <w:sz w:val="24"/>
          <w:szCs w:val="24"/>
        </w:rPr>
        <w:instrText xml:space="preserve">307 K. However, Cr-doped MnTe shows a magnon-contributed heat capacity peak at </w:instrText>
      </w:r>
      <w:r w:rsidR="00B46DD2" w:rsidRPr="002501BC">
        <w:rPr>
          <w:rFonts w:ascii="Times New Roman" w:eastAsiaTheme="minorHAnsi" w:hAnsi="Times New Roman" w:cs="Times New Roman" w:hint="eastAsia"/>
          <w:sz w:val="24"/>
          <w:szCs w:val="24"/>
        </w:rPr>
        <w:instrText>∼</w:instrText>
      </w:r>
      <w:r w:rsidR="00B46DD2" w:rsidRPr="002501BC">
        <w:rPr>
          <w:rFonts w:ascii="Times New Roman" w:eastAsiaTheme="minorHAnsi" w:hAnsi="Times New Roman" w:cs="Times New Roman" w:hint="eastAsia"/>
          <w:sz w:val="24"/>
          <w:szCs w:val="24"/>
        </w:rPr>
        <w:instrText>293 K with an additional peak in the deep paramagnetic domain near 780 K. Temperature-dependent magnetic susceptibility reveals that Cr-doping init</w:instrText>
      </w:r>
      <w:r w:rsidR="00B46DD2" w:rsidRPr="002501BC">
        <w:rPr>
          <w:rFonts w:ascii="Times New Roman" w:eastAsiaTheme="minorHAnsi" w:hAnsi="Times New Roman" w:cs="Times New Roman"/>
          <w:sz w:val="24"/>
          <w:szCs w:val="24"/>
        </w:rPr>
        <w:instrText>ially creates low-spin (LS) state Mn2+ ions into MnTe near and below TN due to a higher crystal field induced by Cr ions. Above 400 K, LS Mn2+ ions start converting into high-spin (HS) Mn2+ ions. The LS-to-HS transition of Mn2+ leads to an excess entropy and hence excess heat capacity contribution in the system. Temperature-dependent X-ray diffraction (XRD) and magnetic field-dependent susceptibility (M-H) confirmed no presence of any structural changes and magnetic polaron, respectively. Both XRD and M-H ensure that the peak of the heat capacity in the paramagnetic domain is originated solely by the spin-state transition. The heat capacity vs temperature was calculated to explain the contribution of each component, including the ones due to the phonons, magnons, spin-transition, Schottky anomaly, and lattice dilation. With the recent advances in spin-caloritronics extending the spin-based effects from magnetic to paramagnetic materials, the data from the heat capacity can play a crucial role to probe the presence of different phenomena, such as paramagnon-carrier-drag and spin-entropy thermopowers.","author":[{"dropping-particle":"","family":"Polash","given":"Md Mobarak Hossain","non-dropping-particle":"","parse-names":false,"suffix":""},{"dropping-particle":"","family":"Rasoulianboroujeni","given":"Morteza","non-dropping-particle":"","parse-names":false,"suffix":""},{"dropping-particle":"","family":"Vashaee","given":"Daryoosh","non-dropping-particle":"","parse-names":false,"suffix":""}],"container-title":"Applied Physics Letters","id":"ITEM-1","issue":"4","issued":{"date-parts":[["2020"]]},"publisher":"AIP Publishing LLC","title":"Magnon and spin transition contribution in heat capacity of ferromagnetic Cr-doped MnTe: Experimental evidence for a paramagnetic spin-caloritronic effect","type":"article-journal","volume":"117"},"uris":["http://www.mendeley.com/documents/?uuid=ea2691b5-f1f1-4ff6-99ed-472b71e553bd"]},{"id":"ITEM-2","itemData":{"DOI":"10.1146/annurev-conmatphys-031620-104715","ISSN":"19475462","abstract":"At sufficiently low temperatures, magnetic materials often enter correlated phases hosting collective, coherent magnetic excitations such as magnons or triplons. Drawing on the enormous progress on topological materials of the past few years, recent research has led to new insights into the geometry and topology of these magnetic excitations. Berry phases associated with magnetic dynamics can lead to observable consequences in heat and spin transport, whereas analogs of topological insulators and semimetals can arise within magnon band structures from natural magnetic couplings. Magnetic excitations offer a platform to explore the interplay of magnetic symmetries and topology, drive topological transitions using magnetic fields, examine the effects of interactions on topological bands, and generate topologically protected spin currents at interfaces. In this review, we survey progress on all these topics, highlighting aspects of topological matter that are unique to magnon systems and the avenues yet to be fully investigated.","author":[{"dropping-particle":"","family":"McClarty","given":"Paul A.","non-dropping-particle":"","parse-names":false,"suffix":""}],"container-title":"Annual Review of Condensed Matter Physics","id":"ITEM-2","issued":{"date-parts":[["2022"]]},"note":"13","page":"171-190","title":"Topological Magnons: A Review","type":"article-journal","volume":"13"},"uris":["http://www.mendeley.com/documents/?uuid=e557f770-9711-4b32-8b31-3a85c0ce264c"]},{"id":"ITEM-3","itemData":{"DOI":"10.1103/PhysRevB.86.235101","ISSN":"10980121","abstract":"We studied the electrical, thermal, and thermoelectric properties of the polycrystalline compound of SmNiC2. The electrical resistivity and magnetization measurement show the interplay between the charge density wave at TCDW=150 K and the ferromagnetic ordering of Tc=18K. Below the ferromagnetic transition temperature, we observed the magnon gap formation of Δâ‰4.3-4.4 meV by ρ(T) and Cp(T) measurements. The charge density wave is attributed to the increase of the Seebeck coefficient resulting in the increase of the power factor S2σ. The thermal conductivity anomalously increases with increasing temperature along the whole measured temperature range, which implies the weak attribution of Umklapp phonon scattering. The thermoelectric figure of merit ZT significantly increases due to the increase of the power factor at TCDW=150K. Here we argue that the competing interaction between electron-phonon and electron-magnon couplings exhibits the unconventional behavior of electrical and thermal properties. © 2012 American Physical Society.","author":[{"dropping-particle":"","family":"Kim","given":"Jin Hee","non-dropping-particle":"","parse-names":false,"suffix":""},{"dropping-particle":"","family":"Rhyee","given":"Jong Soo","non-dropping-particle":"","parse-names":false,"suffix":""},{"dropping-particle":"","family":"Kwon","given":"Yong Seung","non-dropping-particle":"","parse-names":false,"suffix":""}],"container-title":"Physical Review B - Condensed Matter and Materials Physics","id":"ITEM-3","issue":"23","issued":{"date-parts":[["2012"]]},"page":"2-7","title":"Magnon gap formation and charge density wave effect on thermoelectric properties in the SmNiC2 compound","type":"article-journal","volume":"86"},"uris":["http://www.mendeley.com/documents/?uuid=77fb44cb-5662-4baf-953f-e814b316fff8"]}],"mendeley":{"formattedCitation":"&lt;sup&gt;2–4&lt;/sup&gt;","plainTextFormattedCitation":"2–4","previouslyFormattedCitation":"[2–4]"},"properties":{"noteIndex":0},"schema":"https://github.com/citation-style-language/schema/raw/master/csl-citation.json"}</w:instrText>
      </w:r>
      <w:r w:rsidR="00DC3E31" w:rsidRPr="002501BC">
        <w:rPr>
          <w:rFonts w:ascii="Times New Roman" w:eastAsiaTheme="minorHAnsi" w:hAnsi="Times New Roman" w:cs="Times New Roman"/>
          <w:sz w:val="24"/>
          <w:szCs w:val="24"/>
        </w:rPr>
        <w:fldChar w:fldCharType="separate"/>
      </w:r>
      <w:r w:rsidR="00B46DD2" w:rsidRPr="002501BC">
        <w:rPr>
          <w:rFonts w:ascii="Times New Roman" w:eastAsiaTheme="minorHAnsi" w:hAnsi="Times New Roman" w:cs="Times New Roman"/>
          <w:noProof/>
          <w:sz w:val="24"/>
          <w:szCs w:val="24"/>
          <w:vertAlign w:val="superscript"/>
        </w:rPr>
        <w:t>2–4</w:t>
      </w:r>
      <w:r w:rsidR="00DC3E31" w:rsidRPr="002501BC">
        <w:rPr>
          <w:rFonts w:ascii="Times New Roman" w:eastAsiaTheme="minorHAnsi" w:hAnsi="Times New Roman" w:cs="Times New Roman"/>
          <w:sz w:val="24"/>
          <w:szCs w:val="24"/>
        </w:rPr>
        <w:fldChar w:fldCharType="end"/>
      </w:r>
      <w:r w:rsidR="00C02240" w:rsidRPr="002501BC">
        <w:rPr>
          <w:rFonts w:ascii="Times New Roman" w:eastAsiaTheme="minorHAnsi" w:hAnsi="Times New Roman" w:cs="Times New Roman"/>
          <w:sz w:val="24"/>
          <w:szCs w:val="24"/>
        </w:rPr>
        <w:t xml:space="preserve">. </w:t>
      </w:r>
    </w:p>
    <w:p w14:paraId="0B21A29F" w14:textId="77777777" w:rsidR="00323E3A" w:rsidRPr="002501BC" w:rsidRDefault="00323E3A">
      <w:pPr>
        <w:rPr>
          <w:rFonts w:ascii="Times New Roman" w:hAnsi="Times New Roman" w:cs="Times New Roman"/>
          <w:sz w:val="24"/>
          <w:szCs w:val="24"/>
        </w:rPr>
      </w:pPr>
    </w:p>
    <w:p w14:paraId="611CDCA8" w14:textId="042EC35B" w:rsidR="00DC3E31" w:rsidRPr="002501BC" w:rsidRDefault="00DC3E31">
      <w:pPr>
        <w:rPr>
          <w:rFonts w:ascii="Times New Roman" w:hAnsi="Times New Roman" w:cs="Times New Roman"/>
          <w:b/>
          <w:bCs/>
          <w:sz w:val="24"/>
          <w:szCs w:val="24"/>
        </w:rPr>
      </w:pPr>
      <w:bookmarkStart w:id="0" w:name="_Hlk205799929"/>
      <w:r w:rsidRPr="002501BC">
        <w:rPr>
          <w:rFonts w:ascii="Times New Roman" w:hAnsi="Times New Roman" w:cs="Times New Roman" w:hint="eastAsia"/>
          <w:b/>
          <w:bCs/>
          <w:sz w:val="24"/>
          <w:szCs w:val="24"/>
        </w:rPr>
        <w:t>References</w:t>
      </w:r>
    </w:p>
    <w:p w14:paraId="36892D0D" w14:textId="02CD4E12" w:rsidR="00B46DD2" w:rsidRPr="002501BC" w:rsidRDefault="00DC3E31" w:rsidP="00B46DD2">
      <w:pPr>
        <w:adjustRightInd w:val="0"/>
        <w:spacing w:line="240" w:lineRule="auto"/>
        <w:ind w:left="640" w:hanging="640"/>
        <w:rPr>
          <w:rFonts w:ascii="Times New Roman" w:hAnsi="Times New Roman" w:cs="Times New Roman"/>
          <w:noProof/>
          <w:sz w:val="24"/>
          <w:szCs w:val="24"/>
        </w:rPr>
      </w:pPr>
      <w:r w:rsidRPr="002501BC">
        <w:rPr>
          <w:rFonts w:ascii="Times New Roman" w:hAnsi="Times New Roman" w:cs="Times New Roman"/>
          <w:sz w:val="24"/>
          <w:szCs w:val="24"/>
        </w:rPr>
        <w:fldChar w:fldCharType="begin" w:fldLock="1"/>
      </w:r>
      <w:r w:rsidRPr="002501BC">
        <w:rPr>
          <w:rFonts w:ascii="Times New Roman" w:hAnsi="Times New Roman" w:cs="Times New Roman"/>
          <w:sz w:val="24"/>
          <w:szCs w:val="24"/>
        </w:rPr>
        <w:instrText xml:space="preserve">ADDIN Mendeley Bibliography CSL_BIBLIOGRAPHY </w:instrText>
      </w:r>
      <w:r w:rsidRPr="002501BC">
        <w:rPr>
          <w:rFonts w:ascii="Times New Roman" w:hAnsi="Times New Roman" w:cs="Times New Roman"/>
          <w:sz w:val="24"/>
          <w:szCs w:val="24"/>
        </w:rPr>
        <w:fldChar w:fldCharType="separate"/>
      </w:r>
      <w:r w:rsidR="00B46DD2" w:rsidRPr="002501BC">
        <w:rPr>
          <w:rFonts w:ascii="Times New Roman" w:hAnsi="Times New Roman" w:cs="Times New Roman"/>
          <w:noProof/>
          <w:sz w:val="24"/>
          <w:szCs w:val="24"/>
        </w:rPr>
        <w:t>1.</w:t>
      </w:r>
      <w:r w:rsidR="00B46DD2" w:rsidRPr="002501BC">
        <w:rPr>
          <w:rFonts w:ascii="Times New Roman" w:hAnsi="Times New Roman" w:cs="Times New Roman"/>
          <w:noProof/>
          <w:sz w:val="24"/>
          <w:szCs w:val="24"/>
        </w:rPr>
        <w:tab/>
        <w:t xml:space="preserve">Shon, W., Rhyee, J. S., Jin, Y. &amp; Kim, S. J. Magnetic polaron and unconventional magnetotransport properties of the single-crystalline compound EuBiTe3. </w:t>
      </w:r>
      <w:r w:rsidR="00B46DD2" w:rsidRPr="002501BC">
        <w:rPr>
          <w:rFonts w:ascii="Times New Roman" w:hAnsi="Times New Roman" w:cs="Times New Roman"/>
          <w:i/>
          <w:iCs/>
          <w:noProof/>
          <w:sz w:val="24"/>
          <w:szCs w:val="24"/>
        </w:rPr>
        <w:t>Phys. Rev. B</w:t>
      </w:r>
      <w:r w:rsidR="00B46DD2" w:rsidRPr="002501BC">
        <w:rPr>
          <w:rFonts w:ascii="Times New Roman" w:hAnsi="Times New Roman" w:cs="Times New Roman"/>
          <w:noProof/>
          <w:sz w:val="24"/>
          <w:szCs w:val="24"/>
        </w:rPr>
        <w:t xml:space="preserve"> </w:t>
      </w:r>
      <w:r w:rsidR="00B46DD2" w:rsidRPr="002501BC">
        <w:rPr>
          <w:rFonts w:ascii="Times New Roman" w:hAnsi="Times New Roman" w:cs="Times New Roman"/>
          <w:b/>
          <w:bCs/>
          <w:noProof/>
          <w:sz w:val="24"/>
          <w:szCs w:val="24"/>
        </w:rPr>
        <w:t>100</w:t>
      </w:r>
      <w:r w:rsidR="00B46DD2" w:rsidRPr="002501BC">
        <w:rPr>
          <w:rFonts w:ascii="Times New Roman" w:hAnsi="Times New Roman" w:cs="Times New Roman"/>
          <w:noProof/>
          <w:sz w:val="24"/>
          <w:szCs w:val="24"/>
        </w:rPr>
        <w:t>, 24433 (2019).</w:t>
      </w:r>
    </w:p>
    <w:p w14:paraId="47921C32" w14:textId="77777777" w:rsidR="00B46DD2" w:rsidRPr="002501BC" w:rsidRDefault="00B46DD2" w:rsidP="00B46DD2">
      <w:pPr>
        <w:adjustRightInd w:val="0"/>
        <w:spacing w:line="240" w:lineRule="auto"/>
        <w:ind w:left="640" w:hanging="640"/>
        <w:rPr>
          <w:rFonts w:ascii="Times New Roman" w:hAnsi="Times New Roman" w:cs="Times New Roman"/>
          <w:noProof/>
          <w:sz w:val="24"/>
          <w:szCs w:val="24"/>
        </w:rPr>
      </w:pPr>
      <w:r w:rsidRPr="002501BC">
        <w:rPr>
          <w:rFonts w:ascii="Times New Roman" w:hAnsi="Times New Roman" w:cs="Times New Roman"/>
          <w:noProof/>
          <w:sz w:val="24"/>
          <w:szCs w:val="24"/>
        </w:rPr>
        <w:t>2.</w:t>
      </w:r>
      <w:r w:rsidRPr="002501BC">
        <w:rPr>
          <w:rFonts w:ascii="Times New Roman" w:hAnsi="Times New Roman" w:cs="Times New Roman"/>
          <w:noProof/>
          <w:sz w:val="24"/>
          <w:szCs w:val="24"/>
        </w:rPr>
        <w:tab/>
        <w:t xml:space="preserve">Polash, M. M. H., Rasoulianboroujeni, M. &amp; Vashaee, D. Magnon and spin transition contribution in heat capacity of ferromagnetic Cr-doped MnTe: Experimental evidence for a paramagnetic spin-caloritronic effect. </w:t>
      </w:r>
      <w:r w:rsidRPr="002501BC">
        <w:rPr>
          <w:rFonts w:ascii="Times New Roman" w:hAnsi="Times New Roman" w:cs="Times New Roman"/>
          <w:i/>
          <w:iCs/>
          <w:noProof/>
          <w:sz w:val="24"/>
          <w:szCs w:val="24"/>
        </w:rPr>
        <w:t>Appl. Phys. Lett.</w:t>
      </w:r>
      <w:r w:rsidRPr="002501BC">
        <w:rPr>
          <w:rFonts w:ascii="Times New Roman" w:hAnsi="Times New Roman" w:cs="Times New Roman"/>
          <w:noProof/>
          <w:sz w:val="24"/>
          <w:szCs w:val="24"/>
        </w:rPr>
        <w:t xml:space="preserve"> </w:t>
      </w:r>
      <w:r w:rsidRPr="002501BC">
        <w:rPr>
          <w:rFonts w:ascii="Times New Roman" w:hAnsi="Times New Roman" w:cs="Times New Roman"/>
          <w:b/>
          <w:bCs/>
          <w:noProof/>
          <w:sz w:val="24"/>
          <w:szCs w:val="24"/>
        </w:rPr>
        <w:t>117</w:t>
      </w:r>
      <w:r w:rsidRPr="002501BC">
        <w:rPr>
          <w:rFonts w:ascii="Times New Roman" w:hAnsi="Times New Roman" w:cs="Times New Roman"/>
          <w:noProof/>
          <w:sz w:val="24"/>
          <w:szCs w:val="24"/>
        </w:rPr>
        <w:t>, (2020).</w:t>
      </w:r>
    </w:p>
    <w:p w14:paraId="4B508726" w14:textId="77777777" w:rsidR="00B46DD2" w:rsidRPr="002501BC" w:rsidRDefault="00B46DD2" w:rsidP="00B46DD2">
      <w:pPr>
        <w:adjustRightInd w:val="0"/>
        <w:spacing w:line="240" w:lineRule="auto"/>
        <w:ind w:left="640" w:hanging="640"/>
        <w:rPr>
          <w:rFonts w:ascii="Times New Roman" w:hAnsi="Times New Roman" w:cs="Times New Roman"/>
          <w:noProof/>
          <w:sz w:val="24"/>
          <w:szCs w:val="24"/>
        </w:rPr>
      </w:pPr>
      <w:r w:rsidRPr="002501BC">
        <w:rPr>
          <w:rFonts w:ascii="Times New Roman" w:hAnsi="Times New Roman" w:cs="Times New Roman"/>
          <w:noProof/>
          <w:sz w:val="24"/>
          <w:szCs w:val="24"/>
        </w:rPr>
        <w:t>3.</w:t>
      </w:r>
      <w:r w:rsidRPr="002501BC">
        <w:rPr>
          <w:rFonts w:ascii="Times New Roman" w:hAnsi="Times New Roman" w:cs="Times New Roman"/>
          <w:noProof/>
          <w:sz w:val="24"/>
          <w:szCs w:val="24"/>
        </w:rPr>
        <w:tab/>
        <w:t xml:space="preserve">McClarty, P. A. Topological Magnons: A Review. </w:t>
      </w:r>
      <w:r w:rsidRPr="002501BC">
        <w:rPr>
          <w:rFonts w:ascii="Times New Roman" w:hAnsi="Times New Roman" w:cs="Times New Roman"/>
          <w:i/>
          <w:iCs/>
          <w:noProof/>
          <w:sz w:val="24"/>
          <w:szCs w:val="24"/>
        </w:rPr>
        <w:t>Annu. Rev. Condens. Matter Phys.</w:t>
      </w:r>
      <w:r w:rsidRPr="002501BC">
        <w:rPr>
          <w:rFonts w:ascii="Times New Roman" w:hAnsi="Times New Roman" w:cs="Times New Roman"/>
          <w:noProof/>
          <w:sz w:val="24"/>
          <w:szCs w:val="24"/>
        </w:rPr>
        <w:t xml:space="preserve"> </w:t>
      </w:r>
      <w:r w:rsidRPr="002501BC">
        <w:rPr>
          <w:rFonts w:ascii="Times New Roman" w:hAnsi="Times New Roman" w:cs="Times New Roman"/>
          <w:b/>
          <w:bCs/>
          <w:noProof/>
          <w:sz w:val="24"/>
          <w:szCs w:val="24"/>
        </w:rPr>
        <w:t>13</w:t>
      </w:r>
      <w:r w:rsidRPr="002501BC">
        <w:rPr>
          <w:rFonts w:ascii="Times New Roman" w:hAnsi="Times New Roman" w:cs="Times New Roman"/>
          <w:noProof/>
          <w:sz w:val="24"/>
          <w:szCs w:val="24"/>
        </w:rPr>
        <w:t>, 171–190 (2022).</w:t>
      </w:r>
    </w:p>
    <w:p w14:paraId="6B5DA69A" w14:textId="77777777" w:rsidR="00B46DD2" w:rsidRPr="002501BC" w:rsidRDefault="00B46DD2" w:rsidP="00B46DD2">
      <w:pPr>
        <w:adjustRightInd w:val="0"/>
        <w:spacing w:line="240" w:lineRule="auto"/>
        <w:ind w:left="640" w:hanging="640"/>
        <w:rPr>
          <w:rFonts w:ascii="Times New Roman" w:hAnsi="Times New Roman" w:cs="Times New Roman"/>
          <w:noProof/>
          <w:sz w:val="24"/>
          <w:szCs w:val="24"/>
        </w:rPr>
      </w:pPr>
      <w:r w:rsidRPr="002501BC">
        <w:rPr>
          <w:rFonts w:ascii="Times New Roman" w:hAnsi="Times New Roman" w:cs="Times New Roman"/>
          <w:noProof/>
          <w:sz w:val="24"/>
          <w:szCs w:val="24"/>
        </w:rPr>
        <w:t>4.</w:t>
      </w:r>
      <w:r w:rsidRPr="002501BC">
        <w:rPr>
          <w:rFonts w:ascii="Times New Roman" w:hAnsi="Times New Roman" w:cs="Times New Roman"/>
          <w:noProof/>
          <w:sz w:val="24"/>
          <w:szCs w:val="24"/>
        </w:rPr>
        <w:tab/>
        <w:t xml:space="preserve">Kim, J. H., Rhyee, J. S. &amp; Kwon, Y. S. Magnon gap formation and charge density wave effect on thermoelectric properties in the SmNiC2 compound. </w:t>
      </w:r>
      <w:r w:rsidRPr="002501BC">
        <w:rPr>
          <w:rFonts w:ascii="Times New Roman" w:hAnsi="Times New Roman" w:cs="Times New Roman"/>
          <w:i/>
          <w:iCs/>
          <w:noProof/>
          <w:sz w:val="24"/>
          <w:szCs w:val="24"/>
        </w:rPr>
        <w:t>Phys. Rev. B - Condens. Matter Mater. Phys.</w:t>
      </w:r>
      <w:r w:rsidRPr="002501BC">
        <w:rPr>
          <w:rFonts w:ascii="Times New Roman" w:hAnsi="Times New Roman" w:cs="Times New Roman"/>
          <w:noProof/>
          <w:sz w:val="24"/>
          <w:szCs w:val="24"/>
        </w:rPr>
        <w:t xml:space="preserve"> </w:t>
      </w:r>
      <w:r w:rsidRPr="002501BC">
        <w:rPr>
          <w:rFonts w:ascii="Times New Roman" w:hAnsi="Times New Roman" w:cs="Times New Roman"/>
          <w:b/>
          <w:bCs/>
          <w:noProof/>
          <w:sz w:val="24"/>
          <w:szCs w:val="24"/>
        </w:rPr>
        <w:t>86</w:t>
      </w:r>
      <w:r w:rsidRPr="002501BC">
        <w:rPr>
          <w:rFonts w:ascii="Times New Roman" w:hAnsi="Times New Roman" w:cs="Times New Roman"/>
          <w:noProof/>
          <w:sz w:val="24"/>
          <w:szCs w:val="24"/>
        </w:rPr>
        <w:t>, 2–7 (2012).</w:t>
      </w:r>
    </w:p>
    <w:p w14:paraId="26D74172" w14:textId="47C264F7" w:rsidR="00DC3E31" w:rsidRPr="00BB746C" w:rsidRDefault="00DC3E31">
      <w:pPr>
        <w:rPr>
          <w:rFonts w:ascii="Times New Roman" w:hAnsi="Times New Roman" w:cs="Times New Roman"/>
        </w:rPr>
      </w:pPr>
      <w:r w:rsidRPr="002501BC">
        <w:rPr>
          <w:rFonts w:ascii="Times New Roman" w:hAnsi="Times New Roman" w:cs="Times New Roman"/>
          <w:sz w:val="24"/>
          <w:szCs w:val="24"/>
        </w:rPr>
        <w:lastRenderedPageBreak/>
        <w:fldChar w:fldCharType="end"/>
      </w:r>
      <w:bookmarkEnd w:id="0"/>
    </w:p>
    <w:sectPr w:rsidR="00DC3E31" w:rsidRPr="00BB746C" w:rsidSect="001776AD">
      <w:footerReference w:type="default" r:id="rId14"/>
      <w:pgSz w:w="11906" w:h="16838"/>
      <w:pgMar w:top="1701" w:right="1440" w:bottom="1440" w:left="85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A3B740" w14:textId="77777777" w:rsidR="008F0689" w:rsidRDefault="008F0689">
      <w:pPr>
        <w:spacing w:after="0" w:line="240" w:lineRule="auto"/>
      </w:pPr>
      <w:r>
        <w:separator/>
      </w:r>
    </w:p>
  </w:endnote>
  <w:endnote w:type="continuationSeparator" w:id="0">
    <w:p w14:paraId="0E63975E" w14:textId="77777777" w:rsidR="008F0689" w:rsidRDefault="008F06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한컴바탕">
    <w:altName w:val="맑은 고딕"/>
    <w:panose1 w:val="02030600000101010101"/>
    <w:charset w:val="81"/>
    <w:family w:val="roman"/>
    <w:pitch w:val="default"/>
    <w:sig w:usb0="FFFFFFFF" w:usb1="FFFFFFFF" w:usb2="00FFFFFF" w:usb3="00000001" w:csb0="863F01FF" w:csb1="0000FFFF"/>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8317748"/>
      <w:docPartObj>
        <w:docPartGallery w:val="Page Numbers (Bottom of Page)"/>
        <w:docPartUnique/>
      </w:docPartObj>
    </w:sdtPr>
    <w:sdtContent>
      <w:p w14:paraId="2FEFE551" w14:textId="7660D075" w:rsidR="00DA6237" w:rsidRDefault="00981B44">
        <w:pPr>
          <w:pStyle w:val="aa"/>
          <w:jc w:val="center"/>
        </w:pPr>
        <w:r>
          <w:fldChar w:fldCharType="begin"/>
        </w:r>
        <w:r>
          <w:instrText>PAGE   \* MERGEFORMAT</w:instrText>
        </w:r>
        <w:r>
          <w:fldChar w:fldCharType="separate"/>
        </w:r>
        <w:r w:rsidR="009E2792" w:rsidRPr="009E2792">
          <w:rPr>
            <w:noProof/>
            <w:lang w:val="ko-KR"/>
          </w:rPr>
          <w:t>4</w:t>
        </w:r>
        <w:r>
          <w:fldChar w:fldCharType="end"/>
        </w:r>
      </w:p>
    </w:sdtContent>
  </w:sdt>
  <w:p w14:paraId="213D1E4F" w14:textId="77777777" w:rsidR="00DA6237" w:rsidRDefault="00DA623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E41F3" w14:textId="77777777" w:rsidR="008F0689" w:rsidRDefault="008F0689">
      <w:pPr>
        <w:spacing w:after="0" w:line="240" w:lineRule="auto"/>
      </w:pPr>
      <w:r>
        <w:separator/>
      </w:r>
    </w:p>
  </w:footnote>
  <w:footnote w:type="continuationSeparator" w:id="0">
    <w:p w14:paraId="7A1033E7" w14:textId="77777777" w:rsidR="008F0689" w:rsidRDefault="008F06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871C0B"/>
    <w:multiLevelType w:val="hybridMultilevel"/>
    <w:tmpl w:val="92D80644"/>
    <w:lvl w:ilvl="0" w:tplc="79949F80">
      <w:numFmt w:val="bullet"/>
      <w:lvlText w:val=""/>
      <w:lvlJc w:val="left"/>
      <w:pPr>
        <w:ind w:left="800" w:hanging="360"/>
      </w:pPr>
      <w:rPr>
        <w:rFonts w:ascii="Wingdings" w:eastAsia="맑은 고딕" w:hAnsi="Wingdings"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num w:numId="1" w16cid:durableId="5929344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bordersDoNotSurroundHeader/>
  <w:bordersDoNotSurroundFooter/>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C7C"/>
    <w:rsid w:val="00003E61"/>
    <w:rsid w:val="00011BBA"/>
    <w:rsid w:val="00033CBF"/>
    <w:rsid w:val="00037C96"/>
    <w:rsid w:val="00061A94"/>
    <w:rsid w:val="000622F2"/>
    <w:rsid w:val="00076B03"/>
    <w:rsid w:val="000B2D6E"/>
    <w:rsid w:val="000B5847"/>
    <w:rsid w:val="000C4021"/>
    <w:rsid w:val="000D3DCB"/>
    <w:rsid w:val="000D4A0C"/>
    <w:rsid w:val="000E5492"/>
    <w:rsid w:val="00101E2A"/>
    <w:rsid w:val="00102D00"/>
    <w:rsid w:val="001153DA"/>
    <w:rsid w:val="0012781D"/>
    <w:rsid w:val="00144C9B"/>
    <w:rsid w:val="0016258D"/>
    <w:rsid w:val="001776AD"/>
    <w:rsid w:val="001C07B9"/>
    <w:rsid w:val="001C110F"/>
    <w:rsid w:val="001D1186"/>
    <w:rsid w:val="001D1C28"/>
    <w:rsid w:val="001D3195"/>
    <w:rsid w:val="001D70E9"/>
    <w:rsid w:val="00206FB2"/>
    <w:rsid w:val="00243EB4"/>
    <w:rsid w:val="002501BC"/>
    <w:rsid w:val="00271A9C"/>
    <w:rsid w:val="00277E7C"/>
    <w:rsid w:val="002A0156"/>
    <w:rsid w:val="002E5375"/>
    <w:rsid w:val="0030451F"/>
    <w:rsid w:val="003050AD"/>
    <w:rsid w:val="00305F1C"/>
    <w:rsid w:val="00312E1C"/>
    <w:rsid w:val="00323E3A"/>
    <w:rsid w:val="00331CCC"/>
    <w:rsid w:val="00345E57"/>
    <w:rsid w:val="003875AA"/>
    <w:rsid w:val="0039687D"/>
    <w:rsid w:val="003A36D9"/>
    <w:rsid w:val="003C05DF"/>
    <w:rsid w:val="003C69F6"/>
    <w:rsid w:val="0041389F"/>
    <w:rsid w:val="00415573"/>
    <w:rsid w:val="004470FA"/>
    <w:rsid w:val="00465068"/>
    <w:rsid w:val="00495B45"/>
    <w:rsid w:val="004A718D"/>
    <w:rsid w:val="004B3B14"/>
    <w:rsid w:val="004C4B98"/>
    <w:rsid w:val="005036E4"/>
    <w:rsid w:val="00542941"/>
    <w:rsid w:val="00562B10"/>
    <w:rsid w:val="0058228D"/>
    <w:rsid w:val="005A0D69"/>
    <w:rsid w:val="005A750C"/>
    <w:rsid w:val="005D0046"/>
    <w:rsid w:val="005D6260"/>
    <w:rsid w:val="005E47BE"/>
    <w:rsid w:val="005E59D3"/>
    <w:rsid w:val="00655FB1"/>
    <w:rsid w:val="00695143"/>
    <w:rsid w:val="006B1B48"/>
    <w:rsid w:val="006B249F"/>
    <w:rsid w:val="006B3641"/>
    <w:rsid w:val="006E64D0"/>
    <w:rsid w:val="007118A9"/>
    <w:rsid w:val="00726CE5"/>
    <w:rsid w:val="007315C2"/>
    <w:rsid w:val="007427C8"/>
    <w:rsid w:val="00742928"/>
    <w:rsid w:val="0075505E"/>
    <w:rsid w:val="007F6CD5"/>
    <w:rsid w:val="008104B8"/>
    <w:rsid w:val="00824DFF"/>
    <w:rsid w:val="00863449"/>
    <w:rsid w:val="00873029"/>
    <w:rsid w:val="008A0287"/>
    <w:rsid w:val="008B3199"/>
    <w:rsid w:val="008B5C07"/>
    <w:rsid w:val="008D552F"/>
    <w:rsid w:val="008E6837"/>
    <w:rsid w:val="008F0689"/>
    <w:rsid w:val="008F6785"/>
    <w:rsid w:val="00906C61"/>
    <w:rsid w:val="00920A9B"/>
    <w:rsid w:val="00922902"/>
    <w:rsid w:val="00943A5A"/>
    <w:rsid w:val="00961910"/>
    <w:rsid w:val="00971AF7"/>
    <w:rsid w:val="00981B44"/>
    <w:rsid w:val="00982F6D"/>
    <w:rsid w:val="009E2792"/>
    <w:rsid w:val="00A503CA"/>
    <w:rsid w:val="00A70E39"/>
    <w:rsid w:val="00A7765C"/>
    <w:rsid w:val="00A86EFB"/>
    <w:rsid w:val="00A87228"/>
    <w:rsid w:val="00AF1520"/>
    <w:rsid w:val="00AF36D4"/>
    <w:rsid w:val="00AF79E4"/>
    <w:rsid w:val="00B06C7C"/>
    <w:rsid w:val="00B46DD2"/>
    <w:rsid w:val="00B521D3"/>
    <w:rsid w:val="00B74138"/>
    <w:rsid w:val="00B94976"/>
    <w:rsid w:val="00BB0B7F"/>
    <w:rsid w:val="00BB6F93"/>
    <w:rsid w:val="00BB746C"/>
    <w:rsid w:val="00BC783C"/>
    <w:rsid w:val="00BE6E8C"/>
    <w:rsid w:val="00BF721A"/>
    <w:rsid w:val="00BF7EF7"/>
    <w:rsid w:val="00C00EF9"/>
    <w:rsid w:val="00C013D8"/>
    <w:rsid w:val="00C02240"/>
    <w:rsid w:val="00C049C1"/>
    <w:rsid w:val="00C05D92"/>
    <w:rsid w:val="00C23226"/>
    <w:rsid w:val="00C2681A"/>
    <w:rsid w:val="00C948B0"/>
    <w:rsid w:val="00D01B53"/>
    <w:rsid w:val="00D526CC"/>
    <w:rsid w:val="00D675B3"/>
    <w:rsid w:val="00D67E13"/>
    <w:rsid w:val="00D76201"/>
    <w:rsid w:val="00DA6237"/>
    <w:rsid w:val="00DC3176"/>
    <w:rsid w:val="00DC3E31"/>
    <w:rsid w:val="00DC7BFB"/>
    <w:rsid w:val="00E103C2"/>
    <w:rsid w:val="00E10780"/>
    <w:rsid w:val="00E11A84"/>
    <w:rsid w:val="00E13649"/>
    <w:rsid w:val="00E52F8C"/>
    <w:rsid w:val="00E778C7"/>
    <w:rsid w:val="00E810A3"/>
    <w:rsid w:val="00ED2FA2"/>
    <w:rsid w:val="00EF6F06"/>
    <w:rsid w:val="00F202E9"/>
    <w:rsid w:val="00F3760E"/>
    <w:rsid w:val="00F37EBC"/>
    <w:rsid w:val="00F44E96"/>
    <w:rsid w:val="00F62DD0"/>
    <w:rsid w:val="00FA1958"/>
    <w:rsid w:val="00FB6F6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AE3943"/>
  <w15:chartTrackingRefBased/>
  <w15:docId w15:val="{0622A8FB-0EBE-44D1-82DE-E8380CB35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6C7C"/>
    <w:pPr>
      <w:widowControl w:val="0"/>
      <w:wordWrap w:val="0"/>
      <w:autoSpaceDE w:val="0"/>
      <w:autoSpaceDN w:val="0"/>
    </w:pPr>
  </w:style>
  <w:style w:type="paragraph" w:styleId="1">
    <w:name w:val="heading 1"/>
    <w:basedOn w:val="a"/>
    <w:next w:val="a"/>
    <w:link w:val="1Char"/>
    <w:uiPriority w:val="9"/>
    <w:qFormat/>
    <w:rsid w:val="00B06C7C"/>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semiHidden/>
    <w:unhideWhenUsed/>
    <w:qFormat/>
    <w:rsid w:val="00B06C7C"/>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Char"/>
    <w:uiPriority w:val="9"/>
    <w:unhideWhenUsed/>
    <w:qFormat/>
    <w:rsid w:val="00B06C7C"/>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Char"/>
    <w:uiPriority w:val="9"/>
    <w:semiHidden/>
    <w:unhideWhenUsed/>
    <w:qFormat/>
    <w:rsid w:val="00B06C7C"/>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Char"/>
    <w:uiPriority w:val="9"/>
    <w:semiHidden/>
    <w:unhideWhenUsed/>
    <w:qFormat/>
    <w:rsid w:val="00B06C7C"/>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B06C7C"/>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B06C7C"/>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B06C7C"/>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B06C7C"/>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B06C7C"/>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semiHidden/>
    <w:rsid w:val="00B06C7C"/>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rsid w:val="00B06C7C"/>
    <w:rPr>
      <w:rFonts w:asciiTheme="majorHAnsi" w:eastAsiaTheme="majorEastAsia" w:hAnsiTheme="majorHAnsi" w:cstheme="majorBidi"/>
      <w:color w:val="000000" w:themeColor="text1"/>
      <w:sz w:val="24"/>
      <w:szCs w:val="24"/>
    </w:rPr>
  </w:style>
  <w:style w:type="character" w:customStyle="1" w:styleId="4Char">
    <w:name w:val="제목 4 Char"/>
    <w:basedOn w:val="a0"/>
    <w:link w:val="4"/>
    <w:uiPriority w:val="9"/>
    <w:semiHidden/>
    <w:rsid w:val="00B06C7C"/>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B06C7C"/>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B06C7C"/>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B06C7C"/>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B06C7C"/>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B06C7C"/>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B06C7C"/>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B06C7C"/>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B06C7C"/>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B06C7C"/>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B06C7C"/>
    <w:pPr>
      <w:spacing w:before="160"/>
      <w:jc w:val="center"/>
    </w:pPr>
    <w:rPr>
      <w:i/>
      <w:iCs/>
      <w:color w:val="404040" w:themeColor="text1" w:themeTint="BF"/>
    </w:rPr>
  </w:style>
  <w:style w:type="character" w:customStyle="1" w:styleId="Char1">
    <w:name w:val="인용 Char"/>
    <w:basedOn w:val="a0"/>
    <w:link w:val="a5"/>
    <w:uiPriority w:val="29"/>
    <w:rsid w:val="00B06C7C"/>
    <w:rPr>
      <w:i/>
      <w:iCs/>
      <w:color w:val="404040" w:themeColor="text1" w:themeTint="BF"/>
    </w:rPr>
  </w:style>
  <w:style w:type="paragraph" w:styleId="a6">
    <w:name w:val="List Paragraph"/>
    <w:basedOn w:val="a"/>
    <w:uiPriority w:val="34"/>
    <w:qFormat/>
    <w:rsid w:val="00B06C7C"/>
    <w:pPr>
      <w:ind w:left="720"/>
      <w:contextualSpacing/>
    </w:pPr>
  </w:style>
  <w:style w:type="character" w:styleId="a7">
    <w:name w:val="Intense Emphasis"/>
    <w:basedOn w:val="a0"/>
    <w:uiPriority w:val="21"/>
    <w:qFormat/>
    <w:rsid w:val="00B06C7C"/>
    <w:rPr>
      <w:i/>
      <w:iCs/>
      <w:color w:val="0F4761" w:themeColor="accent1" w:themeShade="BF"/>
    </w:rPr>
  </w:style>
  <w:style w:type="paragraph" w:styleId="a8">
    <w:name w:val="Intense Quote"/>
    <w:basedOn w:val="a"/>
    <w:next w:val="a"/>
    <w:link w:val="Char2"/>
    <w:uiPriority w:val="30"/>
    <w:qFormat/>
    <w:rsid w:val="00B06C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B06C7C"/>
    <w:rPr>
      <w:i/>
      <w:iCs/>
      <w:color w:val="0F4761" w:themeColor="accent1" w:themeShade="BF"/>
    </w:rPr>
  </w:style>
  <w:style w:type="character" w:styleId="a9">
    <w:name w:val="Intense Reference"/>
    <w:basedOn w:val="a0"/>
    <w:uiPriority w:val="32"/>
    <w:qFormat/>
    <w:rsid w:val="00B06C7C"/>
    <w:rPr>
      <w:b/>
      <w:bCs/>
      <w:smallCaps/>
      <w:color w:val="0F4761" w:themeColor="accent1" w:themeShade="BF"/>
      <w:spacing w:val="5"/>
    </w:rPr>
  </w:style>
  <w:style w:type="paragraph" w:styleId="aa">
    <w:name w:val="footer"/>
    <w:basedOn w:val="a"/>
    <w:link w:val="Char3"/>
    <w:uiPriority w:val="99"/>
    <w:unhideWhenUsed/>
    <w:rsid w:val="00B06C7C"/>
    <w:pPr>
      <w:tabs>
        <w:tab w:val="center" w:pos="4513"/>
        <w:tab w:val="right" w:pos="9026"/>
      </w:tabs>
      <w:snapToGrid w:val="0"/>
    </w:pPr>
  </w:style>
  <w:style w:type="character" w:customStyle="1" w:styleId="Char3">
    <w:name w:val="바닥글 Char"/>
    <w:basedOn w:val="a0"/>
    <w:link w:val="aa"/>
    <w:uiPriority w:val="99"/>
    <w:rsid w:val="00B06C7C"/>
  </w:style>
  <w:style w:type="table" w:styleId="ab">
    <w:name w:val="Table Grid"/>
    <w:basedOn w:val="a1"/>
    <w:uiPriority w:val="59"/>
    <w:rsid w:val="00B06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Char4"/>
    <w:uiPriority w:val="99"/>
    <w:unhideWhenUsed/>
    <w:rsid w:val="00BF7EF7"/>
    <w:pPr>
      <w:tabs>
        <w:tab w:val="center" w:pos="4513"/>
        <w:tab w:val="right" w:pos="9026"/>
      </w:tabs>
      <w:snapToGrid w:val="0"/>
    </w:pPr>
  </w:style>
  <w:style w:type="character" w:customStyle="1" w:styleId="Char4">
    <w:name w:val="머리글 Char"/>
    <w:basedOn w:val="a0"/>
    <w:link w:val="ac"/>
    <w:uiPriority w:val="99"/>
    <w:rsid w:val="00BF7EF7"/>
  </w:style>
  <w:style w:type="paragraph" w:customStyle="1" w:styleId="12pt">
    <w:name w:val="표준 + 12pt"/>
    <w:basedOn w:val="a"/>
    <w:rsid w:val="00562B10"/>
    <w:pPr>
      <w:wordWrap/>
      <w:spacing w:after="0" w:line="480" w:lineRule="auto"/>
    </w:pPr>
    <w:rPr>
      <w:rFonts w:ascii="Times New Roman" w:eastAsia="바탕" w:hAnsi="Times New Roman" w:cs="Times New Roman"/>
      <w:bCs/>
      <w:sz w:val="24"/>
      <w:szCs w:val="24"/>
    </w:rPr>
  </w:style>
  <w:style w:type="character" w:styleId="ad">
    <w:name w:val="Hyperlink"/>
    <w:basedOn w:val="a0"/>
    <w:uiPriority w:val="99"/>
    <w:unhideWhenUsed/>
    <w:rsid w:val="00562B10"/>
    <w:rPr>
      <w:color w:val="467886" w:themeColor="hyperlink"/>
      <w:u w:val="single"/>
    </w:rPr>
  </w:style>
  <w:style w:type="character" w:customStyle="1" w:styleId="10">
    <w:name w:val="확인되지 않은 멘션1"/>
    <w:basedOn w:val="a0"/>
    <w:uiPriority w:val="99"/>
    <w:semiHidden/>
    <w:unhideWhenUsed/>
    <w:rsid w:val="00562B10"/>
    <w:rPr>
      <w:color w:val="605E5C"/>
      <w:shd w:val="clear" w:color="auto" w:fill="E1DFDD"/>
    </w:rPr>
  </w:style>
  <w:style w:type="paragraph" w:customStyle="1" w:styleId="MsDefault">
    <w:name w:val="Ms Default"/>
    <w:uiPriority w:val="1"/>
    <w:rsid w:val="00BB746C"/>
    <w:pPr>
      <w:widowControl w:val="0"/>
      <w:autoSpaceDE w:val="0"/>
      <w:autoSpaceDN w:val="0"/>
      <w:adjustRightInd w:val="0"/>
      <w:spacing w:after="0" w:line="240" w:lineRule="atLeast"/>
      <w:jc w:val="left"/>
      <w:textAlignment w:val="baseline"/>
    </w:pPr>
    <w:rPr>
      <w:rFonts w:ascii="한컴바탕" w:eastAsia="한컴바탕" w:hAnsi="한컴바탕" w:cs="한컴바탕"/>
      <w:color w:val="000000"/>
      <w:kern w:val="0"/>
      <w:szCs w:val="20"/>
    </w:rPr>
  </w:style>
  <w:style w:type="paragraph" w:styleId="ae">
    <w:name w:val="caption"/>
    <w:basedOn w:val="a"/>
    <w:next w:val="a"/>
    <w:uiPriority w:val="35"/>
    <w:unhideWhenUsed/>
    <w:qFormat/>
    <w:rsid w:val="00EF6F06"/>
    <w:pPr>
      <w:spacing w:after="200" w:line="240" w:lineRule="auto"/>
    </w:pPr>
    <w:rPr>
      <w:i/>
      <w:iCs/>
      <w:color w:val="0E2841" w:themeColor="text2"/>
      <w:sz w:val="18"/>
      <w:szCs w:val="18"/>
    </w:rPr>
  </w:style>
  <w:style w:type="character" w:styleId="af">
    <w:name w:val="Placeholder Text"/>
    <w:basedOn w:val="a0"/>
    <w:uiPriority w:val="99"/>
    <w:semiHidden/>
    <w:rsid w:val="0058228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13485">
      <w:bodyDiv w:val="1"/>
      <w:marLeft w:val="0"/>
      <w:marRight w:val="0"/>
      <w:marTop w:val="0"/>
      <w:marBottom w:val="0"/>
      <w:divBdr>
        <w:top w:val="none" w:sz="0" w:space="0" w:color="auto"/>
        <w:left w:val="none" w:sz="0" w:space="0" w:color="auto"/>
        <w:bottom w:val="none" w:sz="0" w:space="0" w:color="auto"/>
        <w:right w:val="none" w:sz="0" w:space="0" w:color="auto"/>
      </w:divBdr>
    </w:div>
    <w:div w:id="252589598">
      <w:bodyDiv w:val="1"/>
      <w:marLeft w:val="0"/>
      <w:marRight w:val="0"/>
      <w:marTop w:val="0"/>
      <w:marBottom w:val="0"/>
      <w:divBdr>
        <w:top w:val="none" w:sz="0" w:space="0" w:color="auto"/>
        <w:left w:val="none" w:sz="0" w:space="0" w:color="auto"/>
        <w:bottom w:val="none" w:sz="0" w:space="0" w:color="auto"/>
        <w:right w:val="none" w:sz="0" w:space="0" w:color="auto"/>
      </w:divBdr>
    </w:div>
    <w:div w:id="287972839">
      <w:bodyDiv w:val="1"/>
      <w:marLeft w:val="0"/>
      <w:marRight w:val="0"/>
      <w:marTop w:val="0"/>
      <w:marBottom w:val="0"/>
      <w:divBdr>
        <w:top w:val="none" w:sz="0" w:space="0" w:color="auto"/>
        <w:left w:val="none" w:sz="0" w:space="0" w:color="auto"/>
        <w:bottom w:val="none" w:sz="0" w:space="0" w:color="auto"/>
        <w:right w:val="none" w:sz="0" w:space="0" w:color="auto"/>
      </w:divBdr>
    </w:div>
    <w:div w:id="552354210">
      <w:bodyDiv w:val="1"/>
      <w:marLeft w:val="0"/>
      <w:marRight w:val="0"/>
      <w:marTop w:val="0"/>
      <w:marBottom w:val="0"/>
      <w:divBdr>
        <w:top w:val="none" w:sz="0" w:space="0" w:color="auto"/>
        <w:left w:val="none" w:sz="0" w:space="0" w:color="auto"/>
        <w:bottom w:val="none" w:sz="0" w:space="0" w:color="auto"/>
        <w:right w:val="none" w:sz="0" w:space="0" w:color="auto"/>
      </w:divBdr>
    </w:div>
    <w:div w:id="766971981">
      <w:bodyDiv w:val="1"/>
      <w:marLeft w:val="0"/>
      <w:marRight w:val="0"/>
      <w:marTop w:val="0"/>
      <w:marBottom w:val="0"/>
      <w:divBdr>
        <w:top w:val="none" w:sz="0" w:space="0" w:color="auto"/>
        <w:left w:val="none" w:sz="0" w:space="0" w:color="auto"/>
        <w:bottom w:val="none" w:sz="0" w:space="0" w:color="auto"/>
        <w:right w:val="none" w:sz="0" w:space="0" w:color="auto"/>
      </w:divBdr>
    </w:div>
    <w:div w:id="867178841">
      <w:bodyDiv w:val="1"/>
      <w:marLeft w:val="0"/>
      <w:marRight w:val="0"/>
      <w:marTop w:val="0"/>
      <w:marBottom w:val="0"/>
      <w:divBdr>
        <w:top w:val="none" w:sz="0" w:space="0" w:color="auto"/>
        <w:left w:val="none" w:sz="0" w:space="0" w:color="auto"/>
        <w:bottom w:val="none" w:sz="0" w:space="0" w:color="auto"/>
        <w:right w:val="none" w:sz="0" w:space="0" w:color="auto"/>
      </w:divBdr>
    </w:div>
    <w:div w:id="994841245">
      <w:bodyDiv w:val="1"/>
      <w:marLeft w:val="0"/>
      <w:marRight w:val="0"/>
      <w:marTop w:val="0"/>
      <w:marBottom w:val="0"/>
      <w:divBdr>
        <w:top w:val="none" w:sz="0" w:space="0" w:color="auto"/>
        <w:left w:val="none" w:sz="0" w:space="0" w:color="auto"/>
        <w:bottom w:val="none" w:sz="0" w:space="0" w:color="auto"/>
        <w:right w:val="none" w:sz="0" w:space="0" w:color="auto"/>
      </w:divBdr>
    </w:div>
    <w:div w:id="1211649233">
      <w:bodyDiv w:val="1"/>
      <w:marLeft w:val="0"/>
      <w:marRight w:val="0"/>
      <w:marTop w:val="0"/>
      <w:marBottom w:val="0"/>
      <w:divBdr>
        <w:top w:val="none" w:sz="0" w:space="0" w:color="auto"/>
        <w:left w:val="none" w:sz="0" w:space="0" w:color="auto"/>
        <w:bottom w:val="none" w:sz="0" w:space="0" w:color="auto"/>
        <w:right w:val="none" w:sz="0" w:space="0" w:color="auto"/>
      </w:divBdr>
    </w:div>
    <w:div w:id="1321349351">
      <w:bodyDiv w:val="1"/>
      <w:marLeft w:val="0"/>
      <w:marRight w:val="0"/>
      <w:marTop w:val="0"/>
      <w:marBottom w:val="0"/>
      <w:divBdr>
        <w:top w:val="none" w:sz="0" w:space="0" w:color="auto"/>
        <w:left w:val="none" w:sz="0" w:space="0" w:color="auto"/>
        <w:bottom w:val="none" w:sz="0" w:space="0" w:color="auto"/>
        <w:right w:val="none" w:sz="0" w:space="0" w:color="auto"/>
      </w:divBdr>
    </w:div>
    <w:div w:id="1369262745">
      <w:bodyDiv w:val="1"/>
      <w:marLeft w:val="0"/>
      <w:marRight w:val="0"/>
      <w:marTop w:val="0"/>
      <w:marBottom w:val="0"/>
      <w:divBdr>
        <w:top w:val="none" w:sz="0" w:space="0" w:color="auto"/>
        <w:left w:val="none" w:sz="0" w:space="0" w:color="auto"/>
        <w:bottom w:val="none" w:sz="0" w:space="0" w:color="auto"/>
        <w:right w:val="none" w:sz="0" w:space="0" w:color="auto"/>
      </w:divBdr>
    </w:div>
    <w:div w:id="1563173256">
      <w:bodyDiv w:val="1"/>
      <w:marLeft w:val="0"/>
      <w:marRight w:val="0"/>
      <w:marTop w:val="0"/>
      <w:marBottom w:val="0"/>
      <w:divBdr>
        <w:top w:val="none" w:sz="0" w:space="0" w:color="auto"/>
        <w:left w:val="none" w:sz="0" w:space="0" w:color="auto"/>
        <w:bottom w:val="none" w:sz="0" w:space="0" w:color="auto"/>
        <w:right w:val="none" w:sz="0" w:space="0" w:color="auto"/>
      </w:divBdr>
    </w:div>
    <w:div w:id="1581405807">
      <w:bodyDiv w:val="1"/>
      <w:marLeft w:val="0"/>
      <w:marRight w:val="0"/>
      <w:marTop w:val="0"/>
      <w:marBottom w:val="0"/>
      <w:divBdr>
        <w:top w:val="none" w:sz="0" w:space="0" w:color="auto"/>
        <w:left w:val="none" w:sz="0" w:space="0" w:color="auto"/>
        <w:bottom w:val="none" w:sz="0" w:space="0" w:color="auto"/>
        <w:right w:val="none" w:sz="0" w:space="0" w:color="auto"/>
      </w:divBdr>
    </w:div>
    <w:div w:id="1756324203">
      <w:bodyDiv w:val="1"/>
      <w:marLeft w:val="0"/>
      <w:marRight w:val="0"/>
      <w:marTop w:val="0"/>
      <w:marBottom w:val="0"/>
      <w:divBdr>
        <w:top w:val="none" w:sz="0" w:space="0" w:color="auto"/>
        <w:left w:val="none" w:sz="0" w:space="0" w:color="auto"/>
        <w:bottom w:val="none" w:sz="0" w:space="0" w:color="auto"/>
        <w:right w:val="none" w:sz="0" w:space="0" w:color="auto"/>
      </w:divBdr>
    </w:div>
    <w:div w:id="2046247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perez.rodriguez@ifw-dresden.de" TargetMode="Externa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jsrhyee@khu.ac.kr" TargetMode="External"/><Relationship Id="rId14"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C17C6-5D64-4B52-B060-11EF86A55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2505</Words>
  <Characters>13980</Characters>
  <Application>Microsoft Office Word</Application>
  <DocSecurity>0</DocSecurity>
  <Lines>317</Lines>
  <Paragraphs>124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이종수</dc:creator>
  <cp:keywords/>
  <dc:description/>
  <cp:lastModifiedBy>이종수</cp:lastModifiedBy>
  <cp:revision>6</cp:revision>
  <dcterms:created xsi:type="dcterms:W3CDTF">2025-12-16T01:07:00Z</dcterms:created>
  <dcterms:modified xsi:type="dcterms:W3CDTF">2025-12-21T12:21:00Z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121a15ee484b92db493994b3a47baf4283526858fcc0249a5b0a04cae2ebca8b</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http://www.zotero.org/styles/materials-today-physics</vt:lpwstr>
  </property>
  <property fmtid="{D5CDD505-2E9C-101B-9397-08002B2CF9AE}" pid="16" name="Mendeley Recent Style Name 6_1">
    <vt:lpwstr>Materials Today Physics</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4th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b3ea7582-c3b9-3fd7-bbe6-aeddda5ee0e6</vt:lpwstr>
  </property>
  <property fmtid="{D5CDD505-2E9C-101B-9397-08002B2CF9AE}" pid="25" name="Mendeley Citation Style_1">
    <vt:lpwstr>http://www.zotero.org/styles/nature</vt:lpwstr>
  </property>
</Properties>
</file>