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DB686">
      <w:r>
        <w:rPr>
          <w:b/>
        </w:rPr>
        <w:t xml:space="preserve">Supplementary Table S4. </w:t>
      </w:r>
      <w:bookmarkStart w:id="0" w:name="_GoBack"/>
      <w:r>
        <w:rPr>
          <w:b/>
        </w:rPr>
        <w:t>Topic distribution across the four dissemination quadrants</w:t>
      </w:r>
      <w:bookmarkEnd w:id="0"/>
      <w:r>
        <w:rPr>
          <w:b/>
        </w:rPr>
        <w:t>.</w:t>
      </w:r>
    </w:p>
    <w:p w14:paraId="20EBC3A0">
      <w:r>
        <w:rPr>
          <w:i/>
        </w:rPr>
        <w:t>Counts are shown as n (%), where percentages are calculated within each quadrant.</w:t>
      </w:r>
    </w:p>
    <w:tbl>
      <w:tblPr>
        <w:tblStyle w:val="32"/>
        <w:tblW w:w="0" w:type="auto"/>
        <w:tblInd w:w="0" w:type="dxa"/>
        <w:tblLayout w:type="fixed"/>
        <w:tblCellMar>
          <w:top w:w="0" w:type="dxa"/>
          <w:left w:w="108" w:type="dxa"/>
          <w:bottom w:w="0" w:type="dxa"/>
          <w:right w:w="108" w:type="dxa"/>
        </w:tblCellMar>
      </w:tblPr>
      <w:tblGrid>
        <w:gridCol w:w="1440"/>
        <w:gridCol w:w="1440"/>
        <w:gridCol w:w="1440"/>
        <w:gridCol w:w="1440"/>
        <w:gridCol w:w="1440"/>
        <w:gridCol w:w="1440"/>
      </w:tblGrid>
      <w:tr w14:paraId="3C4B45CE">
        <w:tblPrEx>
          <w:tblCellMar>
            <w:top w:w="0" w:type="dxa"/>
            <w:left w:w="108" w:type="dxa"/>
            <w:bottom w:w="0" w:type="dxa"/>
            <w:right w:w="108" w:type="dxa"/>
          </w:tblCellMar>
        </w:tblPrEx>
        <w:tc>
          <w:tcPr>
            <w:tcW w:w="1008" w:type="dxa"/>
            <w:tcBorders>
              <w:top w:val="single" w:color="000000" w:sz="12" w:space="0"/>
              <w:left w:val="nil"/>
              <w:bottom w:val="single" w:color="000000" w:sz="12" w:space="0"/>
              <w:right w:val="nil"/>
            </w:tcBorders>
          </w:tcPr>
          <w:p w14:paraId="37EF3DE4">
            <w:pPr>
              <w:spacing w:after="0"/>
            </w:pPr>
            <w:r>
              <w:rPr>
                <w:b/>
              </w:rPr>
              <w:t>Topic</w:t>
            </w:r>
          </w:p>
        </w:tc>
        <w:tc>
          <w:tcPr>
            <w:tcW w:w="2304" w:type="dxa"/>
            <w:tcBorders>
              <w:top w:val="single" w:color="000000" w:sz="12" w:space="0"/>
              <w:left w:val="nil"/>
              <w:bottom w:val="single" w:color="000000" w:sz="12" w:space="0"/>
              <w:right w:val="nil"/>
            </w:tcBorders>
          </w:tcPr>
          <w:p w14:paraId="18E04D5A">
            <w:pPr>
              <w:spacing w:after="0"/>
            </w:pPr>
            <w:r>
              <w:rPr>
                <w:b/>
              </w:rPr>
              <w:t>Low-quality / Low-dissemination</w:t>
            </w:r>
          </w:p>
        </w:tc>
        <w:tc>
          <w:tcPr>
            <w:tcW w:w="2304" w:type="dxa"/>
            <w:tcBorders>
              <w:top w:val="single" w:color="000000" w:sz="12" w:space="0"/>
              <w:left w:val="nil"/>
              <w:bottom w:val="single" w:color="000000" w:sz="12" w:space="0"/>
              <w:right w:val="nil"/>
            </w:tcBorders>
          </w:tcPr>
          <w:p w14:paraId="6DEA8D1C">
            <w:pPr>
              <w:spacing w:after="0"/>
            </w:pPr>
            <w:r>
              <w:rPr>
                <w:b/>
              </w:rPr>
              <w:t>Low-quality / High-dissemination</w:t>
            </w:r>
          </w:p>
        </w:tc>
        <w:tc>
          <w:tcPr>
            <w:tcW w:w="2304" w:type="dxa"/>
            <w:tcBorders>
              <w:top w:val="single" w:color="000000" w:sz="12" w:space="0"/>
              <w:left w:val="nil"/>
              <w:bottom w:val="single" w:color="000000" w:sz="12" w:space="0"/>
              <w:right w:val="nil"/>
            </w:tcBorders>
          </w:tcPr>
          <w:p w14:paraId="2BC26987">
            <w:pPr>
              <w:spacing w:after="0"/>
            </w:pPr>
            <w:r>
              <w:rPr>
                <w:b/>
              </w:rPr>
              <w:t>High-quality / Low-dissemination</w:t>
            </w:r>
          </w:p>
        </w:tc>
        <w:tc>
          <w:tcPr>
            <w:tcW w:w="2304" w:type="dxa"/>
            <w:tcBorders>
              <w:top w:val="single" w:color="000000" w:sz="12" w:space="0"/>
              <w:left w:val="nil"/>
              <w:bottom w:val="single" w:color="000000" w:sz="12" w:space="0"/>
              <w:right w:val="nil"/>
            </w:tcBorders>
          </w:tcPr>
          <w:p w14:paraId="6A33B817">
            <w:pPr>
              <w:spacing w:after="0"/>
            </w:pPr>
            <w:r>
              <w:rPr>
                <w:b/>
              </w:rPr>
              <w:t>High-quality / High-dissemination</w:t>
            </w:r>
          </w:p>
        </w:tc>
        <w:tc>
          <w:tcPr>
            <w:tcW w:w="1440" w:type="dxa"/>
            <w:tcBorders>
              <w:top w:val="single" w:color="000000" w:sz="12" w:space="0"/>
              <w:left w:val="nil"/>
              <w:bottom w:val="single" w:color="000000" w:sz="12" w:space="0"/>
              <w:right w:val="nil"/>
            </w:tcBorders>
          </w:tcPr>
          <w:p w14:paraId="1FDF9CBE">
            <w:pPr>
              <w:spacing w:after="0"/>
            </w:pPr>
            <w:r>
              <w:rPr>
                <w:b/>
              </w:rPr>
              <w:t>Total</w:t>
            </w:r>
          </w:p>
        </w:tc>
      </w:tr>
      <w:tr w14:paraId="58C277AB">
        <w:tblPrEx>
          <w:tblCellMar>
            <w:top w:w="0" w:type="dxa"/>
            <w:left w:w="108" w:type="dxa"/>
            <w:bottom w:w="0" w:type="dxa"/>
            <w:right w:w="108" w:type="dxa"/>
          </w:tblCellMar>
        </w:tblPrEx>
        <w:tc>
          <w:tcPr>
            <w:tcW w:w="1440" w:type="dxa"/>
            <w:tcBorders>
              <w:top w:val="nil"/>
              <w:left w:val="nil"/>
              <w:bottom w:val="nil"/>
              <w:right w:val="nil"/>
            </w:tcBorders>
          </w:tcPr>
          <w:p w14:paraId="3D156859">
            <w:pPr>
              <w:spacing w:after="0"/>
            </w:pPr>
            <w:r>
              <w:t>1</w:t>
            </w:r>
          </w:p>
        </w:tc>
        <w:tc>
          <w:tcPr>
            <w:tcW w:w="1440" w:type="dxa"/>
            <w:tcBorders>
              <w:top w:val="nil"/>
              <w:left w:val="nil"/>
              <w:bottom w:val="nil"/>
              <w:right w:val="nil"/>
            </w:tcBorders>
          </w:tcPr>
          <w:p w14:paraId="3BCE54AE">
            <w:pPr>
              <w:spacing w:after="0"/>
            </w:pPr>
            <w:r>
              <w:t>9 (2.07%)</w:t>
            </w:r>
          </w:p>
        </w:tc>
        <w:tc>
          <w:tcPr>
            <w:tcW w:w="1440" w:type="dxa"/>
            <w:tcBorders>
              <w:top w:val="nil"/>
              <w:left w:val="nil"/>
              <w:bottom w:val="nil"/>
              <w:right w:val="nil"/>
            </w:tcBorders>
          </w:tcPr>
          <w:p w14:paraId="521D7A3E">
            <w:pPr>
              <w:spacing w:after="0"/>
            </w:pPr>
            <w:r>
              <w:t>10 (2.36%)</w:t>
            </w:r>
          </w:p>
        </w:tc>
        <w:tc>
          <w:tcPr>
            <w:tcW w:w="1440" w:type="dxa"/>
            <w:tcBorders>
              <w:top w:val="nil"/>
              <w:left w:val="nil"/>
              <w:bottom w:val="nil"/>
              <w:right w:val="nil"/>
            </w:tcBorders>
          </w:tcPr>
          <w:p w14:paraId="5F8DD694">
            <w:pPr>
              <w:spacing w:after="0"/>
            </w:pPr>
            <w:r>
              <w:t>14 (2.62%)</w:t>
            </w:r>
          </w:p>
        </w:tc>
        <w:tc>
          <w:tcPr>
            <w:tcW w:w="1440" w:type="dxa"/>
            <w:tcBorders>
              <w:top w:val="nil"/>
              <w:left w:val="nil"/>
              <w:bottom w:val="nil"/>
              <w:right w:val="nil"/>
            </w:tcBorders>
          </w:tcPr>
          <w:p w14:paraId="0A476366">
            <w:pPr>
              <w:spacing w:after="0"/>
            </w:pPr>
            <w:r>
              <w:t>15 (2.44%)</w:t>
            </w:r>
          </w:p>
        </w:tc>
        <w:tc>
          <w:tcPr>
            <w:tcW w:w="1440" w:type="dxa"/>
            <w:tcBorders>
              <w:top w:val="nil"/>
              <w:left w:val="nil"/>
              <w:bottom w:val="nil"/>
              <w:right w:val="nil"/>
            </w:tcBorders>
          </w:tcPr>
          <w:p w14:paraId="634CF599">
            <w:pPr>
              <w:spacing w:after="0"/>
            </w:pPr>
            <w:r>
              <w:t>48 (2.39%)</w:t>
            </w:r>
          </w:p>
        </w:tc>
      </w:tr>
      <w:tr w14:paraId="5885F145">
        <w:tblPrEx>
          <w:tblCellMar>
            <w:top w:w="0" w:type="dxa"/>
            <w:left w:w="108" w:type="dxa"/>
            <w:bottom w:w="0" w:type="dxa"/>
            <w:right w:w="108" w:type="dxa"/>
          </w:tblCellMar>
        </w:tblPrEx>
        <w:tc>
          <w:tcPr>
            <w:tcW w:w="1440" w:type="dxa"/>
            <w:tcBorders>
              <w:top w:val="nil"/>
              <w:left w:val="nil"/>
              <w:bottom w:val="nil"/>
              <w:right w:val="nil"/>
            </w:tcBorders>
          </w:tcPr>
          <w:p w14:paraId="4408B219">
            <w:pPr>
              <w:spacing w:after="0"/>
            </w:pPr>
            <w:r>
              <w:t>2</w:t>
            </w:r>
          </w:p>
        </w:tc>
        <w:tc>
          <w:tcPr>
            <w:tcW w:w="1440" w:type="dxa"/>
            <w:tcBorders>
              <w:top w:val="nil"/>
              <w:left w:val="nil"/>
              <w:bottom w:val="nil"/>
              <w:right w:val="nil"/>
            </w:tcBorders>
          </w:tcPr>
          <w:p w14:paraId="0FFC7C14">
            <w:pPr>
              <w:spacing w:after="0"/>
            </w:pPr>
            <w:r>
              <w:t>366 (84.33%)</w:t>
            </w:r>
          </w:p>
        </w:tc>
        <w:tc>
          <w:tcPr>
            <w:tcW w:w="1440" w:type="dxa"/>
            <w:tcBorders>
              <w:top w:val="nil"/>
              <w:left w:val="nil"/>
              <w:bottom w:val="nil"/>
              <w:right w:val="nil"/>
            </w:tcBorders>
          </w:tcPr>
          <w:p w14:paraId="478D522E">
            <w:pPr>
              <w:spacing w:after="0"/>
            </w:pPr>
            <w:r>
              <w:t>275 (65.01%)</w:t>
            </w:r>
          </w:p>
        </w:tc>
        <w:tc>
          <w:tcPr>
            <w:tcW w:w="1440" w:type="dxa"/>
            <w:tcBorders>
              <w:top w:val="nil"/>
              <w:left w:val="nil"/>
              <w:bottom w:val="nil"/>
              <w:right w:val="nil"/>
            </w:tcBorders>
          </w:tcPr>
          <w:p w14:paraId="681C4BCB">
            <w:pPr>
              <w:spacing w:after="0"/>
            </w:pPr>
            <w:r>
              <w:t>389 (72.71%)</w:t>
            </w:r>
          </w:p>
        </w:tc>
        <w:tc>
          <w:tcPr>
            <w:tcW w:w="1440" w:type="dxa"/>
            <w:tcBorders>
              <w:top w:val="nil"/>
              <w:left w:val="nil"/>
              <w:bottom w:val="nil"/>
              <w:right w:val="nil"/>
            </w:tcBorders>
          </w:tcPr>
          <w:p w14:paraId="673B65D5">
            <w:pPr>
              <w:spacing w:after="0"/>
            </w:pPr>
            <w:r>
              <w:t>508 (82.60%)</w:t>
            </w:r>
          </w:p>
        </w:tc>
        <w:tc>
          <w:tcPr>
            <w:tcW w:w="1440" w:type="dxa"/>
            <w:tcBorders>
              <w:top w:val="nil"/>
              <w:left w:val="nil"/>
              <w:bottom w:val="nil"/>
              <w:right w:val="nil"/>
            </w:tcBorders>
          </w:tcPr>
          <w:p w14:paraId="4E13C5F1">
            <w:pPr>
              <w:spacing w:after="0"/>
            </w:pPr>
            <w:r>
              <w:t>1,538 (76.63%)</w:t>
            </w:r>
          </w:p>
        </w:tc>
      </w:tr>
      <w:tr w14:paraId="51270696">
        <w:tblPrEx>
          <w:tblCellMar>
            <w:top w:w="0" w:type="dxa"/>
            <w:left w:w="108" w:type="dxa"/>
            <w:bottom w:w="0" w:type="dxa"/>
            <w:right w:w="108" w:type="dxa"/>
          </w:tblCellMar>
        </w:tblPrEx>
        <w:tc>
          <w:tcPr>
            <w:tcW w:w="1440" w:type="dxa"/>
            <w:tcBorders>
              <w:top w:val="nil"/>
              <w:left w:val="nil"/>
              <w:bottom w:val="nil"/>
              <w:right w:val="nil"/>
            </w:tcBorders>
          </w:tcPr>
          <w:p w14:paraId="071C844D">
            <w:pPr>
              <w:spacing w:after="0"/>
            </w:pPr>
            <w:r>
              <w:t>3</w:t>
            </w:r>
          </w:p>
        </w:tc>
        <w:tc>
          <w:tcPr>
            <w:tcW w:w="1440" w:type="dxa"/>
            <w:tcBorders>
              <w:top w:val="nil"/>
              <w:left w:val="nil"/>
              <w:bottom w:val="nil"/>
              <w:right w:val="nil"/>
            </w:tcBorders>
          </w:tcPr>
          <w:p w14:paraId="754699B6">
            <w:pPr>
              <w:spacing w:after="0"/>
            </w:pPr>
            <w:r>
              <w:t>13 (3.00%)</w:t>
            </w:r>
          </w:p>
        </w:tc>
        <w:tc>
          <w:tcPr>
            <w:tcW w:w="1440" w:type="dxa"/>
            <w:tcBorders>
              <w:top w:val="nil"/>
              <w:left w:val="nil"/>
              <w:bottom w:val="nil"/>
              <w:right w:val="nil"/>
            </w:tcBorders>
          </w:tcPr>
          <w:p w14:paraId="4B305749">
            <w:pPr>
              <w:spacing w:after="0"/>
            </w:pPr>
            <w:r>
              <w:t>51 (12.06%)</w:t>
            </w:r>
          </w:p>
        </w:tc>
        <w:tc>
          <w:tcPr>
            <w:tcW w:w="1440" w:type="dxa"/>
            <w:tcBorders>
              <w:top w:val="nil"/>
              <w:left w:val="nil"/>
              <w:bottom w:val="nil"/>
              <w:right w:val="nil"/>
            </w:tcBorders>
          </w:tcPr>
          <w:p w14:paraId="7F48FEC3">
            <w:pPr>
              <w:spacing w:after="0"/>
            </w:pPr>
            <w:r>
              <w:t>43 (8.04%)</w:t>
            </w:r>
          </w:p>
        </w:tc>
        <w:tc>
          <w:tcPr>
            <w:tcW w:w="1440" w:type="dxa"/>
            <w:tcBorders>
              <w:top w:val="nil"/>
              <w:left w:val="nil"/>
              <w:bottom w:val="nil"/>
              <w:right w:val="nil"/>
            </w:tcBorders>
          </w:tcPr>
          <w:p w14:paraId="510768A3">
            <w:pPr>
              <w:spacing w:after="0"/>
            </w:pPr>
            <w:r>
              <w:t>30 (4.88%)</w:t>
            </w:r>
          </w:p>
        </w:tc>
        <w:tc>
          <w:tcPr>
            <w:tcW w:w="1440" w:type="dxa"/>
            <w:tcBorders>
              <w:top w:val="nil"/>
              <w:left w:val="nil"/>
              <w:bottom w:val="nil"/>
              <w:right w:val="nil"/>
            </w:tcBorders>
          </w:tcPr>
          <w:p w14:paraId="08F4551E">
            <w:pPr>
              <w:spacing w:after="0"/>
            </w:pPr>
            <w:r>
              <w:t>137 (6.83%)</w:t>
            </w:r>
          </w:p>
        </w:tc>
      </w:tr>
      <w:tr w14:paraId="412E5B6C">
        <w:tblPrEx>
          <w:tblCellMar>
            <w:top w:w="0" w:type="dxa"/>
            <w:left w:w="108" w:type="dxa"/>
            <w:bottom w:w="0" w:type="dxa"/>
            <w:right w:w="108" w:type="dxa"/>
          </w:tblCellMar>
        </w:tblPrEx>
        <w:tc>
          <w:tcPr>
            <w:tcW w:w="1440" w:type="dxa"/>
            <w:tcBorders>
              <w:top w:val="nil"/>
              <w:left w:val="nil"/>
              <w:bottom w:val="nil"/>
              <w:right w:val="nil"/>
            </w:tcBorders>
          </w:tcPr>
          <w:p w14:paraId="12C79468">
            <w:pPr>
              <w:spacing w:after="0"/>
            </w:pPr>
            <w:r>
              <w:t>4</w:t>
            </w:r>
          </w:p>
        </w:tc>
        <w:tc>
          <w:tcPr>
            <w:tcW w:w="1440" w:type="dxa"/>
            <w:tcBorders>
              <w:top w:val="nil"/>
              <w:left w:val="nil"/>
              <w:bottom w:val="nil"/>
              <w:right w:val="nil"/>
            </w:tcBorders>
          </w:tcPr>
          <w:p w14:paraId="4BB54E76">
            <w:pPr>
              <w:spacing w:after="0"/>
            </w:pPr>
            <w:r>
              <w:t>13 (3.00%)</w:t>
            </w:r>
          </w:p>
        </w:tc>
        <w:tc>
          <w:tcPr>
            <w:tcW w:w="1440" w:type="dxa"/>
            <w:tcBorders>
              <w:top w:val="nil"/>
              <w:left w:val="nil"/>
              <w:bottom w:val="nil"/>
              <w:right w:val="nil"/>
            </w:tcBorders>
          </w:tcPr>
          <w:p w14:paraId="1EE33F15">
            <w:pPr>
              <w:spacing w:after="0"/>
            </w:pPr>
            <w:r>
              <w:t>61 (14.42%)</w:t>
            </w:r>
          </w:p>
        </w:tc>
        <w:tc>
          <w:tcPr>
            <w:tcW w:w="1440" w:type="dxa"/>
            <w:tcBorders>
              <w:top w:val="nil"/>
              <w:left w:val="nil"/>
              <w:bottom w:val="nil"/>
              <w:right w:val="nil"/>
            </w:tcBorders>
          </w:tcPr>
          <w:p w14:paraId="462DB5C8">
            <w:pPr>
              <w:spacing w:after="0"/>
            </w:pPr>
            <w:r>
              <w:t>65 (12.15%)</w:t>
            </w:r>
          </w:p>
        </w:tc>
        <w:tc>
          <w:tcPr>
            <w:tcW w:w="1440" w:type="dxa"/>
            <w:tcBorders>
              <w:top w:val="nil"/>
              <w:left w:val="nil"/>
              <w:bottom w:val="nil"/>
              <w:right w:val="nil"/>
            </w:tcBorders>
          </w:tcPr>
          <w:p w14:paraId="411B4ADB">
            <w:pPr>
              <w:spacing w:after="0"/>
            </w:pPr>
            <w:r>
              <w:t>22 (3.58%)</w:t>
            </w:r>
          </w:p>
        </w:tc>
        <w:tc>
          <w:tcPr>
            <w:tcW w:w="1440" w:type="dxa"/>
            <w:tcBorders>
              <w:top w:val="nil"/>
              <w:left w:val="nil"/>
              <w:bottom w:val="nil"/>
              <w:right w:val="nil"/>
            </w:tcBorders>
          </w:tcPr>
          <w:p w14:paraId="451D13CA">
            <w:pPr>
              <w:spacing w:after="0"/>
            </w:pPr>
            <w:r>
              <w:t>161 (8.02%)</w:t>
            </w:r>
          </w:p>
        </w:tc>
      </w:tr>
      <w:tr w14:paraId="00905D2C">
        <w:tblPrEx>
          <w:tblCellMar>
            <w:top w:w="0" w:type="dxa"/>
            <w:left w:w="108" w:type="dxa"/>
            <w:bottom w:w="0" w:type="dxa"/>
            <w:right w:w="108" w:type="dxa"/>
          </w:tblCellMar>
        </w:tblPrEx>
        <w:tc>
          <w:tcPr>
            <w:tcW w:w="1440" w:type="dxa"/>
            <w:tcBorders>
              <w:top w:val="nil"/>
              <w:left w:val="nil"/>
              <w:bottom w:val="nil"/>
              <w:right w:val="nil"/>
            </w:tcBorders>
          </w:tcPr>
          <w:p w14:paraId="17704667">
            <w:pPr>
              <w:spacing w:after="0"/>
            </w:pPr>
            <w:r>
              <w:t>5</w:t>
            </w:r>
          </w:p>
        </w:tc>
        <w:tc>
          <w:tcPr>
            <w:tcW w:w="1440" w:type="dxa"/>
            <w:tcBorders>
              <w:top w:val="nil"/>
              <w:left w:val="nil"/>
              <w:bottom w:val="nil"/>
              <w:right w:val="nil"/>
            </w:tcBorders>
          </w:tcPr>
          <w:p w14:paraId="77DEE0FC">
            <w:pPr>
              <w:spacing w:after="0"/>
            </w:pPr>
            <w:r>
              <w:t>33 (7.60%)</w:t>
            </w:r>
          </w:p>
        </w:tc>
        <w:tc>
          <w:tcPr>
            <w:tcW w:w="1440" w:type="dxa"/>
            <w:tcBorders>
              <w:top w:val="nil"/>
              <w:left w:val="nil"/>
              <w:bottom w:val="nil"/>
              <w:right w:val="nil"/>
            </w:tcBorders>
          </w:tcPr>
          <w:p w14:paraId="7B93DA91">
            <w:pPr>
              <w:spacing w:after="0"/>
            </w:pPr>
            <w:r>
              <w:t>26 (6.15%)</w:t>
            </w:r>
          </w:p>
        </w:tc>
        <w:tc>
          <w:tcPr>
            <w:tcW w:w="1440" w:type="dxa"/>
            <w:tcBorders>
              <w:top w:val="nil"/>
              <w:left w:val="nil"/>
              <w:bottom w:val="nil"/>
              <w:right w:val="nil"/>
            </w:tcBorders>
          </w:tcPr>
          <w:p w14:paraId="25DC9306">
            <w:pPr>
              <w:spacing w:after="0"/>
            </w:pPr>
            <w:r>
              <w:t>24 (4.49%)</w:t>
            </w:r>
          </w:p>
        </w:tc>
        <w:tc>
          <w:tcPr>
            <w:tcW w:w="1440" w:type="dxa"/>
            <w:tcBorders>
              <w:top w:val="nil"/>
              <w:left w:val="nil"/>
              <w:bottom w:val="nil"/>
              <w:right w:val="nil"/>
            </w:tcBorders>
          </w:tcPr>
          <w:p w14:paraId="3D9073BA">
            <w:pPr>
              <w:spacing w:after="0"/>
            </w:pPr>
            <w:r>
              <w:t>40 (6.50%)</w:t>
            </w:r>
          </w:p>
        </w:tc>
        <w:tc>
          <w:tcPr>
            <w:tcW w:w="1440" w:type="dxa"/>
            <w:tcBorders>
              <w:top w:val="nil"/>
              <w:left w:val="nil"/>
              <w:bottom w:val="nil"/>
              <w:right w:val="nil"/>
            </w:tcBorders>
          </w:tcPr>
          <w:p w14:paraId="78CE14A4">
            <w:pPr>
              <w:spacing w:after="0"/>
            </w:pPr>
            <w:r>
              <w:t>123 (6.13%)</w:t>
            </w:r>
          </w:p>
        </w:tc>
      </w:tr>
      <w:tr w14:paraId="577DA46D">
        <w:tblPrEx>
          <w:tblCellMar>
            <w:top w:w="0" w:type="dxa"/>
            <w:left w:w="108" w:type="dxa"/>
            <w:bottom w:w="0" w:type="dxa"/>
            <w:right w:w="108" w:type="dxa"/>
          </w:tblCellMar>
        </w:tblPrEx>
        <w:tc>
          <w:tcPr>
            <w:tcW w:w="1440" w:type="dxa"/>
            <w:tcBorders>
              <w:top w:val="nil"/>
              <w:left w:val="nil"/>
              <w:bottom w:val="single" w:color="000000" w:sz="12" w:space="0"/>
              <w:right w:val="nil"/>
            </w:tcBorders>
          </w:tcPr>
          <w:p w14:paraId="6495F081">
            <w:pPr>
              <w:spacing w:after="0"/>
            </w:pPr>
            <w:r>
              <w:rPr>
                <w:b/>
              </w:rPr>
              <w:t>Total</w:t>
            </w:r>
          </w:p>
        </w:tc>
        <w:tc>
          <w:tcPr>
            <w:tcW w:w="1440" w:type="dxa"/>
            <w:tcBorders>
              <w:top w:val="nil"/>
              <w:left w:val="nil"/>
              <w:bottom w:val="single" w:color="000000" w:sz="12" w:space="0"/>
              <w:right w:val="nil"/>
            </w:tcBorders>
          </w:tcPr>
          <w:p w14:paraId="1BD66B4F">
            <w:pPr>
              <w:spacing w:after="0"/>
            </w:pPr>
            <w:r>
              <w:rPr>
                <w:b/>
              </w:rPr>
              <w:t>434 (100%)</w:t>
            </w:r>
          </w:p>
        </w:tc>
        <w:tc>
          <w:tcPr>
            <w:tcW w:w="1440" w:type="dxa"/>
            <w:tcBorders>
              <w:top w:val="nil"/>
              <w:left w:val="nil"/>
              <w:bottom w:val="single" w:color="000000" w:sz="12" w:space="0"/>
              <w:right w:val="nil"/>
            </w:tcBorders>
          </w:tcPr>
          <w:p w14:paraId="6E3811FC">
            <w:pPr>
              <w:spacing w:after="0"/>
            </w:pPr>
            <w:r>
              <w:rPr>
                <w:b/>
              </w:rPr>
              <w:t>423 (100%)</w:t>
            </w:r>
          </w:p>
        </w:tc>
        <w:tc>
          <w:tcPr>
            <w:tcW w:w="1440" w:type="dxa"/>
            <w:tcBorders>
              <w:top w:val="nil"/>
              <w:left w:val="nil"/>
              <w:bottom w:val="single" w:color="000000" w:sz="12" w:space="0"/>
              <w:right w:val="nil"/>
            </w:tcBorders>
          </w:tcPr>
          <w:p w14:paraId="649A1C87">
            <w:pPr>
              <w:spacing w:after="0"/>
            </w:pPr>
            <w:r>
              <w:rPr>
                <w:b/>
              </w:rPr>
              <w:t>535 (100%)</w:t>
            </w:r>
          </w:p>
        </w:tc>
        <w:tc>
          <w:tcPr>
            <w:tcW w:w="1440" w:type="dxa"/>
            <w:tcBorders>
              <w:top w:val="nil"/>
              <w:left w:val="nil"/>
              <w:bottom w:val="single" w:color="000000" w:sz="12" w:space="0"/>
              <w:right w:val="nil"/>
            </w:tcBorders>
          </w:tcPr>
          <w:p w14:paraId="0B2E1CCD">
            <w:pPr>
              <w:spacing w:after="0"/>
            </w:pPr>
            <w:r>
              <w:rPr>
                <w:b/>
              </w:rPr>
              <w:t>615 (100%)</w:t>
            </w:r>
          </w:p>
        </w:tc>
        <w:tc>
          <w:tcPr>
            <w:tcW w:w="1440" w:type="dxa"/>
            <w:tcBorders>
              <w:top w:val="nil"/>
              <w:left w:val="nil"/>
              <w:bottom w:val="single" w:color="000000" w:sz="12" w:space="0"/>
              <w:right w:val="nil"/>
            </w:tcBorders>
          </w:tcPr>
          <w:p w14:paraId="039D21F7">
            <w:pPr>
              <w:spacing w:after="0"/>
            </w:pPr>
            <w:r>
              <w:rPr>
                <w:b/>
              </w:rPr>
              <w:t>2,007 (100%)</w:t>
            </w:r>
          </w:p>
        </w:tc>
      </w:tr>
    </w:tbl>
    <w:p w14:paraId="0C05B385">
      <w:r>
        <w:t>Note: Percentages represent the proportion of comments within each quadrant. Totals may not sum exactly due to rounding. Topic assignments are based on the same topic model applied to the full analytic corpus (n = 2,007).</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33356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139</Words>
  <Characters>758</Characters>
  <Lines>0</Lines>
  <Paragraphs>0</Paragraphs>
  <TotalTime>0</TotalTime>
  <ScaleCrop>false</ScaleCrop>
  <LinksUpToDate>false</LinksUpToDate>
  <CharactersWithSpaces>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Ss</cp:lastModifiedBy>
  <dcterms:modified xsi:type="dcterms:W3CDTF">2025-12-31T12:05:51Z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80FB3673D40E44C4B869D853076FBE0C_13</vt:lpwstr>
  </property>
</Properties>
</file>