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E92D8A" w14:textId="77777777" w:rsidR="006C378C" w:rsidRPr="0067753C" w:rsidRDefault="00A90E71" w:rsidP="00521BED">
      <w:pPr>
        <w:rPr>
          <w:rFonts w:ascii="Times New Roman" w:hAnsi="Times New Roman" w:cs="Times New Roman"/>
          <w:b/>
          <w:sz w:val="24"/>
          <w:szCs w:val="24"/>
        </w:rPr>
      </w:pPr>
      <w:r w:rsidRPr="0067753C">
        <w:rPr>
          <w:rFonts w:ascii="Times New Roman" w:hAnsi="Times New Roman" w:cs="Times New Roman"/>
          <w:b/>
          <w:sz w:val="24"/>
          <w:szCs w:val="24"/>
        </w:rPr>
        <w:t>Supplemental appendix</w:t>
      </w:r>
    </w:p>
    <w:p w14:paraId="20E92D8B" w14:textId="77777777" w:rsidR="006C378C" w:rsidRDefault="006C378C" w:rsidP="00521BED">
      <w:pPr>
        <w:rPr>
          <w:b/>
        </w:rPr>
      </w:pPr>
    </w:p>
    <w:p w14:paraId="20E92D8C" w14:textId="77777777" w:rsidR="006C378C" w:rsidRDefault="00A90E71" w:rsidP="006C378C">
      <w:pPr>
        <w:jc w:val="center"/>
        <w:rPr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Effectiveness and safety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regdanvimab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in patients with mild-to-moderate COVID-19: A retrospective cohort study</w:t>
      </w:r>
      <w:r w:rsidRPr="006C378C">
        <w:rPr>
          <w:b/>
        </w:rPr>
        <w:t xml:space="preserve"> </w:t>
      </w:r>
    </w:p>
    <w:p w14:paraId="20E92D8D" w14:textId="77777777" w:rsidR="006C378C" w:rsidRDefault="006C378C" w:rsidP="006C378C">
      <w:pPr>
        <w:jc w:val="center"/>
        <w:rPr>
          <w:b/>
        </w:rPr>
      </w:pPr>
    </w:p>
    <w:p w14:paraId="20E92D8E" w14:textId="71BB72DF" w:rsidR="006C378C" w:rsidRPr="00A21D2D" w:rsidRDefault="00A90E71" w:rsidP="006C378C">
      <w:pPr>
        <w:rPr>
          <w:rFonts w:ascii="Times New Roman" w:hAnsi="Times New Roman" w:cs="Times New Roman"/>
          <w:b/>
          <w:sz w:val="24"/>
          <w:szCs w:val="24"/>
        </w:rPr>
      </w:pPr>
      <w:r w:rsidRPr="00A21D2D">
        <w:rPr>
          <w:rFonts w:ascii="Times New Roman" w:hAnsi="Times New Roman" w:cs="Times New Roman"/>
          <w:b/>
          <w:sz w:val="24"/>
          <w:szCs w:val="24"/>
        </w:rPr>
        <w:t>Table of contents</w:t>
      </w:r>
      <w:r w:rsidR="009F1032">
        <w:rPr>
          <w:rFonts w:ascii="Times New Roman" w:hAnsi="Times New Roman" w:cs="Times New Roman"/>
          <w:b/>
          <w:sz w:val="24"/>
          <w:szCs w:val="24"/>
        </w:rPr>
        <w:t xml:space="preserve"> (page)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7178"/>
      </w:tblGrid>
      <w:tr w:rsidR="00847ABA" w:rsidRPr="009F1032" w14:paraId="20E92D91" w14:textId="77777777" w:rsidTr="006C378C">
        <w:trPr>
          <w:trHeight w:val="1059"/>
        </w:trPr>
        <w:tc>
          <w:tcPr>
            <w:tcW w:w="1838" w:type="dxa"/>
          </w:tcPr>
          <w:p w14:paraId="20E92D8F" w14:textId="3BFA80C5" w:rsidR="006C378C" w:rsidRPr="00A21D2D" w:rsidRDefault="00A90E71" w:rsidP="006C37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78" w:type="dxa"/>
          </w:tcPr>
          <w:p w14:paraId="20E92D90" w14:textId="61C3A7BC" w:rsidR="006C378C" w:rsidRPr="00A21D2D" w:rsidRDefault="00A90E71" w:rsidP="00F80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Supplemental Figure 1. Distribution of covariates before and after </w:t>
            </w:r>
            <w:r w:rsidR="009F1032">
              <w:rPr>
                <w:rFonts w:ascii="Times New Roman" w:hAnsi="Times New Roman" w:cs="Times New Roman"/>
                <w:sz w:val="24"/>
                <w:szCs w:val="24"/>
              </w:rPr>
              <w:t xml:space="preserve">propensity </w:t>
            </w: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matching study </w:t>
            </w:r>
            <w:r w:rsidR="009F1032">
              <w:rPr>
                <w:rFonts w:ascii="Times New Roman" w:hAnsi="Times New Roman" w:cs="Times New Roman"/>
                <w:sz w:val="24"/>
                <w:szCs w:val="24"/>
              </w:rPr>
              <w:t>patients</w:t>
            </w:r>
            <w:r w:rsidR="009F1032"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who </w:t>
            </w:r>
            <w:r w:rsidR="009F1032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r w:rsidR="009F1032"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="009F1032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r w:rsidR="009F1032"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not </w:t>
            </w:r>
            <w:r w:rsidR="009F1032">
              <w:rPr>
                <w:rFonts w:ascii="Times New Roman" w:hAnsi="Times New Roman" w:cs="Times New Roman"/>
                <w:sz w:val="24"/>
                <w:szCs w:val="24"/>
              </w:rPr>
              <w:t>treated with</w:t>
            </w: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1D2D">
              <w:rPr>
                <w:rFonts w:ascii="Times New Roman" w:hAnsi="Times New Roman" w:cs="Times New Roman"/>
                <w:sz w:val="24"/>
                <w:szCs w:val="24"/>
              </w:rPr>
              <w:t>regdanvimab</w:t>
            </w:r>
            <w:proofErr w:type="spellEnd"/>
            <w:r w:rsidR="009F10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7ABA" w:rsidRPr="009F1032" w14:paraId="20E92D94" w14:textId="77777777" w:rsidTr="006C378C">
        <w:trPr>
          <w:trHeight w:val="1059"/>
        </w:trPr>
        <w:tc>
          <w:tcPr>
            <w:tcW w:w="1838" w:type="dxa"/>
          </w:tcPr>
          <w:p w14:paraId="20E92D92" w14:textId="2A06BE2D" w:rsidR="006C378C" w:rsidRPr="00A21D2D" w:rsidRDefault="00F80FDE" w:rsidP="00F80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78" w:type="dxa"/>
          </w:tcPr>
          <w:p w14:paraId="20E92D93" w14:textId="5FBA86E2" w:rsidR="006C378C" w:rsidRPr="00A21D2D" w:rsidRDefault="00A90E71" w:rsidP="00F80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>Supplemental Figure 2. Standardized mean differences in unadjusted and adjusted cohorts</w:t>
            </w:r>
            <w:r w:rsidR="009F10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7ABA" w:rsidRPr="009F1032" w14:paraId="20E92D97" w14:textId="77777777" w:rsidTr="006C378C">
        <w:trPr>
          <w:trHeight w:val="1059"/>
        </w:trPr>
        <w:tc>
          <w:tcPr>
            <w:tcW w:w="1838" w:type="dxa"/>
          </w:tcPr>
          <w:p w14:paraId="20E92D95" w14:textId="11D57155" w:rsidR="006C378C" w:rsidRPr="00A21D2D" w:rsidRDefault="00F80FDE" w:rsidP="00F80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78" w:type="dxa"/>
          </w:tcPr>
          <w:p w14:paraId="20E92D96" w14:textId="2DEF2021" w:rsidR="006C378C" w:rsidRPr="00A21D2D" w:rsidRDefault="00A90E71" w:rsidP="006C37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>Supplemental Table 1. Missing baseline laboratory data in propensity score</w:t>
            </w:r>
            <w:r w:rsidR="009F1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>matched cohort</w:t>
            </w:r>
            <w:r w:rsidR="009F10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476D3" w:rsidRPr="009F1032" w14:paraId="50B43E35" w14:textId="77777777" w:rsidTr="006C378C">
        <w:trPr>
          <w:trHeight w:val="1059"/>
        </w:trPr>
        <w:tc>
          <w:tcPr>
            <w:tcW w:w="1838" w:type="dxa"/>
          </w:tcPr>
          <w:p w14:paraId="48C8D51C" w14:textId="347DE6DD" w:rsidR="007476D3" w:rsidRPr="00A21D2D" w:rsidRDefault="007476D3" w:rsidP="00F80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7178" w:type="dxa"/>
          </w:tcPr>
          <w:p w14:paraId="5BA47F4B" w14:textId="72686F20" w:rsidR="007476D3" w:rsidRPr="007476D3" w:rsidRDefault="007476D3" w:rsidP="006C37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6D3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Supplemental Table 2. Associations between </w:t>
            </w:r>
            <w:proofErr w:type="spellStart"/>
            <w:r w:rsidRPr="007476D3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regdanvimab</w:t>
            </w:r>
            <w:proofErr w:type="spellEnd"/>
            <w:r w:rsidRPr="007476D3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and primary endpoint in propensity score-matched and overall cohorts</w:t>
            </w:r>
            <w:r w:rsidRPr="007476D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847ABA" w:rsidRPr="009F1032" w14:paraId="20E92D9A" w14:textId="77777777" w:rsidTr="006C378C">
        <w:trPr>
          <w:trHeight w:val="1059"/>
        </w:trPr>
        <w:tc>
          <w:tcPr>
            <w:tcW w:w="1838" w:type="dxa"/>
          </w:tcPr>
          <w:p w14:paraId="20E92D98" w14:textId="66809E20" w:rsidR="006C378C" w:rsidRPr="00A21D2D" w:rsidRDefault="007476D3" w:rsidP="00F80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78" w:type="dxa"/>
          </w:tcPr>
          <w:p w14:paraId="20E92D99" w14:textId="0EE4DBEB" w:rsidR="006C378C" w:rsidRPr="00A21D2D" w:rsidRDefault="00A90E71" w:rsidP="0074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Supplemental Table </w:t>
            </w:r>
            <w:r w:rsidR="007476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>. Clinical outcomes in overall cohort</w:t>
            </w:r>
            <w:r w:rsidR="009F10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7ABA" w:rsidRPr="009F1032" w14:paraId="20E92D9D" w14:textId="77777777" w:rsidTr="006C378C">
        <w:trPr>
          <w:trHeight w:val="1059"/>
        </w:trPr>
        <w:tc>
          <w:tcPr>
            <w:tcW w:w="1838" w:type="dxa"/>
          </w:tcPr>
          <w:p w14:paraId="20E92D9B" w14:textId="6F3F0EFC" w:rsidR="006C378C" w:rsidRPr="00A21D2D" w:rsidRDefault="007476D3" w:rsidP="006C37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78" w:type="dxa"/>
          </w:tcPr>
          <w:p w14:paraId="20E92D9C" w14:textId="7CD56D68" w:rsidR="006C378C" w:rsidRPr="00A21D2D" w:rsidRDefault="00A90E71" w:rsidP="0074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Supplemental Table </w:t>
            </w:r>
            <w:r w:rsidR="007476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 xml:space="preserve">. Other exposures for </w:t>
            </w:r>
            <w:r w:rsidR="009F1032" w:rsidRPr="002073F6">
              <w:rPr>
                <w:rFonts w:ascii="Times New Roman" w:hAnsi="Times New Roman" w:cs="Times New Roman"/>
                <w:sz w:val="24"/>
                <w:szCs w:val="24"/>
              </w:rPr>
              <w:t>treat</w:t>
            </w:r>
            <w:r w:rsidR="009F1032"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r w:rsidR="009F1032" w:rsidRPr="00207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D2D">
              <w:rPr>
                <w:rFonts w:ascii="Times New Roman" w:hAnsi="Times New Roman" w:cs="Times New Roman"/>
                <w:sz w:val="24"/>
                <w:szCs w:val="24"/>
              </w:rPr>
              <w:t>COVID-19 in propensity score matched cohort</w:t>
            </w:r>
            <w:r w:rsidR="009F10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20E92D9E" w14:textId="77777777" w:rsidR="00521BED" w:rsidRPr="006C378C" w:rsidRDefault="00A90E71" w:rsidP="006C378C">
      <w:pPr>
        <w:rPr>
          <w:b/>
        </w:rPr>
      </w:pPr>
      <w:r w:rsidRPr="00A21D2D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403E589" w14:textId="1B6C3350" w:rsidR="009F1032" w:rsidRPr="009270AC" w:rsidRDefault="009F1032" w:rsidP="00BF78E3">
      <w:pPr>
        <w:pStyle w:val="2"/>
      </w:pPr>
      <w:r w:rsidRPr="004926BC">
        <w:rPr>
          <w:rFonts w:ascii="Times New Roman" w:hAnsi="Times New Roman" w:cs="Times New Roman"/>
          <w:sz w:val="24"/>
          <w:szCs w:val="24"/>
        </w:rPr>
        <w:lastRenderedPageBreak/>
        <w:t xml:space="preserve">Supplemental Figure 1. Distribution of covariates before and after </w:t>
      </w:r>
      <w:r>
        <w:rPr>
          <w:rFonts w:ascii="Times New Roman" w:hAnsi="Times New Roman" w:cs="Times New Roman"/>
          <w:sz w:val="24"/>
          <w:szCs w:val="24"/>
        </w:rPr>
        <w:t xml:space="preserve">propensity </w:t>
      </w:r>
      <w:r w:rsidRPr="004926BC">
        <w:rPr>
          <w:rFonts w:ascii="Times New Roman" w:hAnsi="Times New Roman" w:cs="Times New Roman"/>
          <w:sz w:val="24"/>
          <w:szCs w:val="24"/>
        </w:rPr>
        <w:t xml:space="preserve">matching study </w:t>
      </w:r>
      <w:r>
        <w:rPr>
          <w:rFonts w:ascii="Times New Roman" w:hAnsi="Times New Roman" w:cs="Times New Roman"/>
          <w:sz w:val="24"/>
          <w:szCs w:val="24"/>
        </w:rPr>
        <w:t>patients</w:t>
      </w:r>
      <w:r w:rsidRPr="004926BC">
        <w:rPr>
          <w:rFonts w:ascii="Times New Roman" w:hAnsi="Times New Roman" w:cs="Times New Roman"/>
          <w:sz w:val="24"/>
          <w:szCs w:val="24"/>
        </w:rPr>
        <w:t xml:space="preserve"> who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4926BC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4926BC">
        <w:rPr>
          <w:rFonts w:ascii="Times New Roman" w:hAnsi="Times New Roman" w:cs="Times New Roman"/>
          <w:sz w:val="24"/>
          <w:szCs w:val="24"/>
        </w:rPr>
        <w:t xml:space="preserve"> not </w:t>
      </w:r>
      <w:r>
        <w:rPr>
          <w:rFonts w:ascii="Times New Roman" w:hAnsi="Times New Roman" w:cs="Times New Roman"/>
          <w:sz w:val="24"/>
          <w:szCs w:val="24"/>
        </w:rPr>
        <w:t>treated with</w:t>
      </w:r>
      <w:r w:rsidRPr="004926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6BC">
        <w:rPr>
          <w:rFonts w:ascii="Times New Roman" w:hAnsi="Times New Roman" w:cs="Times New Roman"/>
          <w:sz w:val="24"/>
          <w:szCs w:val="24"/>
        </w:rPr>
        <w:t>regdanvimab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4926B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E92DA0" w14:textId="77777777" w:rsidR="0006142C" w:rsidRPr="008D7386" w:rsidRDefault="00A90E71" w:rsidP="00CD6EFF">
      <w:pPr>
        <w:spacing w:after="0" w:line="240" w:lineRule="auto"/>
        <w:rPr>
          <w:szCs w:val="20"/>
        </w:rPr>
      </w:pPr>
      <w:r w:rsidRPr="008D7386">
        <w:rPr>
          <w:rFonts w:ascii="맑은 고딕" w:eastAsia="맑은 고딕" w:hAnsi="맑은 고딕" w:cs="굴림"/>
          <w:b/>
          <w:bCs/>
          <w:noProof/>
          <w:color w:val="000000"/>
          <w:kern w:val="0"/>
          <w:szCs w:val="20"/>
        </w:rPr>
        <w:drawing>
          <wp:inline distT="0" distB="0" distL="0" distR="0" wp14:anchorId="20E92E3D" wp14:editId="20E92E3E">
            <wp:extent cx="2772000" cy="2772000"/>
            <wp:effectExtent l="0" t="0" r="9525" b="952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555546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0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7386">
        <w:rPr>
          <w:rFonts w:ascii="맑은 고딕" w:eastAsia="맑은 고딕" w:hAnsi="맑은 고딕" w:cs="굴림"/>
          <w:b/>
          <w:bCs/>
          <w:noProof/>
          <w:color w:val="000000"/>
          <w:kern w:val="0"/>
          <w:szCs w:val="20"/>
        </w:rPr>
        <w:drawing>
          <wp:inline distT="0" distB="0" distL="0" distR="0" wp14:anchorId="20E92E3F" wp14:editId="20E92E40">
            <wp:extent cx="2772000" cy="2772000"/>
            <wp:effectExtent l="0" t="0" r="9525" b="952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132941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0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7386">
        <w:rPr>
          <w:rFonts w:ascii="맑은 고딕" w:eastAsia="맑은 고딕" w:hAnsi="맑은 고딕" w:cs="굴림"/>
          <w:b/>
          <w:bCs/>
          <w:noProof/>
          <w:color w:val="000000"/>
          <w:kern w:val="0"/>
          <w:szCs w:val="20"/>
        </w:rPr>
        <w:drawing>
          <wp:inline distT="0" distB="0" distL="0" distR="0" wp14:anchorId="20E92E41" wp14:editId="20E92E42">
            <wp:extent cx="2772000" cy="2772000"/>
            <wp:effectExtent l="0" t="0" r="9525" b="952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420565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0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7386">
        <w:rPr>
          <w:noProof/>
          <w:szCs w:val="20"/>
        </w:rPr>
        <w:drawing>
          <wp:inline distT="0" distB="0" distL="0" distR="0" wp14:anchorId="20E92E43" wp14:editId="20E92E44">
            <wp:extent cx="2772000" cy="2772000"/>
            <wp:effectExtent l="0" t="0" r="9525" b="952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911149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0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7386">
        <w:rPr>
          <w:noProof/>
          <w:szCs w:val="20"/>
        </w:rPr>
        <w:drawing>
          <wp:inline distT="0" distB="0" distL="0" distR="0" wp14:anchorId="20E92E45" wp14:editId="20E92E46">
            <wp:extent cx="2772000" cy="2772000"/>
            <wp:effectExtent l="0" t="0" r="9525" b="952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353754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0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7386">
        <w:rPr>
          <w:rFonts w:hint="eastAsia"/>
          <w:szCs w:val="20"/>
        </w:rPr>
        <w:t xml:space="preserve"> </w:t>
      </w:r>
      <w:r w:rsidR="008D7386">
        <w:rPr>
          <w:szCs w:val="20"/>
        </w:rPr>
        <w:t xml:space="preserve"> </w:t>
      </w:r>
      <w:r w:rsidRPr="008D7386">
        <w:rPr>
          <w:noProof/>
          <w:szCs w:val="20"/>
        </w:rPr>
        <w:drawing>
          <wp:inline distT="0" distB="0" distL="0" distR="0" wp14:anchorId="20E92E47" wp14:editId="20E92E48">
            <wp:extent cx="2772000" cy="2772000"/>
            <wp:effectExtent l="0" t="0" r="9525" b="952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99193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0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92DA1" w14:textId="77777777" w:rsidR="00BF78E3" w:rsidRDefault="00A90E71" w:rsidP="00CD6EFF">
      <w:pPr>
        <w:spacing w:after="0" w:line="240" w:lineRule="auto"/>
        <w:rPr>
          <w:szCs w:val="20"/>
        </w:rPr>
      </w:pPr>
      <w:r w:rsidRPr="008D7386">
        <w:rPr>
          <w:noProof/>
          <w:szCs w:val="20"/>
        </w:rPr>
        <w:lastRenderedPageBreak/>
        <w:drawing>
          <wp:inline distT="0" distB="0" distL="0" distR="0" wp14:anchorId="20E92E49" wp14:editId="20E92E4A">
            <wp:extent cx="2772000" cy="2772000"/>
            <wp:effectExtent l="0" t="0" r="9525" b="952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717004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0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7386">
        <w:rPr>
          <w:noProof/>
          <w:szCs w:val="20"/>
        </w:rPr>
        <w:drawing>
          <wp:inline distT="0" distB="0" distL="0" distR="0" wp14:anchorId="20E92E4B" wp14:editId="20E92E4C">
            <wp:extent cx="2772000" cy="2772000"/>
            <wp:effectExtent l="0" t="0" r="9525" b="952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434689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0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7386">
        <w:rPr>
          <w:noProof/>
          <w:szCs w:val="20"/>
        </w:rPr>
        <w:drawing>
          <wp:inline distT="0" distB="0" distL="0" distR="0" wp14:anchorId="20E92E4D" wp14:editId="20E92E4E">
            <wp:extent cx="2772000" cy="2772000"/>
            <wp:effectExtent l="0" t="0" r="9525" b="952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679021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0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7386">
        <w:rPr>
          <w:rFonts w:hint="eastAsia"/>
          <w:szCs w:val="20"/>
        </w:rPr>
        <w:t xml:space="preserve"> </w:t>
      </w:r>
      <w:r w:rsidR="008D7386">
        <w:rPr>
          <w:szCs w:val="20"/>
        </w:rPr>
        <w:t xml:space="preserve"> </w:t>
      </w:r>
      <w:r w:rsidRPr="008D7386">
        <w:rPr>
          <w:rFonts w:hint="eastAsia"/>
          <w:noProof/>
          <w:szCs w:val="20"/>
        </w:rPr>
        <w:drawing>
          <wp:inline distT="0" distB="0" distL="0" distR="0" wp14:anchorId="20E92E4F" wp14:editId="20E92E50">
            <wp:extent cx="2772000" cy="2772000"/>
            <wp:effectExtent l="0" t="0" r="9525" b="952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01861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0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0"/>
        </w:rPr>
        <w:br w:type="page"/>
      </w:r>
    </w:p>
    <w:p w14:paraId="28684BBB" w14:textId="77777777" w:rsidR="001C4BFE" w:rsidRPr="001C4BFE" w:rsidRDefault="009F1032" w:rsidP="001C4BFE">
      <w:pPr>
        <w:pStyle w:val="2"/>
        <w:rPr>
          <w:rFonts w:ascii="Times New Roman" w:hAnsi="Times New Roman" w:cs="Times New Roman"/>
          <w:sz w:val="24"/>
          <w:szCs w:val="24"/>
        </w:rPr>
      </w:pPr>
      <w:r w:rsidRPr="001C4BFE">
        <w:rPr>
          <w:rFonts w:ascii="Times New Roman" w:hAnsi="Times New Roman" w:cs="Times New Roman"/>
          <w:sz w:val="24"/>
          <w:szCs w:val="24"/>
        </w:rPr>
        <w:lastRenderedPageBreak/>
        <w:t>Supplemental Figure 2. Standardized mean differences in unadjusted and adjusted cohorts.</w:t>
      </w:r>
    </w:p>
    <w:p w14:paraId="20E92DA3" w14:textId="3B578A7A" w:rsidR="00F80FDE" w:rsidRDefault="00A90E71" w:rsidP="00521BED">
      <w:pPr>
        <w:spacing w:after="0" w:line="240" w:lineRule="auto"/>
        <w:jc w:val="center"/>
        <w:rPr>
          <w:szCs w:val="20"/>
        </w:rPr>
      </w:pPr>
      <w:r>
        <w:rPr>
          <w:rFonts w:hint="eastAsia"/>
          <w:noProof/>
          <w:szCs w:val="20"/>
        </w:rPr>
        <w:drawing>
          <wp:inline distT="0" distB="0" distL="0" distR="0" wp14:anchorId="20E92E51" wp14:editId="20E92E52">
            <wp:extent cx="4318000" cy="4133850"/>
            <wp:effectExtent l="0" t="0" r="635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04515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20"/>
        </w:rPr>
        <w:drawing>
          <wp:inline distT="0" distB="0" distL="0" distR="0" wp14:anchorId="20E92E53" wp14:editId="20E92E54">
            <wp:extent cx="4210050" cy="4210050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161967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0"/>
        </w:rPr>
        <w:br w:type="page"/>
      </w:r>
    </w:p>
    <w:p w14:paraId="55554C45" w14:textId="5596D29B" w:rsidR="00A90E71" w:rsidRDefault="00A90E71" w:rsidP="00F80FDE">
      <w:pPr>
        <w:pStyle w:val="2"/>
        <w:rPr>
          <w:rFonts w:ascii="Times New Roman" w:hAnsi="Times New Roman" w:cs="Times New Roman"/>
          <w:sz w:val="24"/>
          <w:szCs w:val="24"/>
        </w:rPr>
      </w:pPr>
      <w:r w:rsidRPr="001C4BFE">
        <w:rPr>
          <w:rFonts w:ascii="Times New Roman" w:hAnsi="Times New Roman" w:cs="Times New Roman"/>
          <w:sz w:val="24"/>
          <w:szCs w:val="24"/>
        </w:rPr>
        <w:lastRenderedPageBreak/>
        <w:t>Supplemental Table 1. Missing baseline laboratory data in propensity score-matched cohort.</w:t>
      </w:r>
    </w:p>
    <w:tbl>
      <w:tblPr>
        <w:tblpPr w:leftFromText="142" w:rightFromText="142" w:vertAnchor="page" w:horzAnchor="margin" w:tblpY="2656"/>
        <w:tblW w:w="905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2874"/>
        <w:gridCol w:w="3207"/>
      </w:tblGrid>
      <w:tr w:rsidR="00491110" w:rsidRPr="001C4BFE" w14:paraId="6AB3BDA7" w14:textId="77777777" w:rsidTr="0077047B">
        <w:trPr>
          <w:trHeight w:val="310"/>
        </w:trPr>
        <w:tc>
          <w:tcPr>
            <w:tcW w:w="297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49F3C39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7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6BD61498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No </w:t>
            </w:r>
            <w:proofErr w:type="spellStart"/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Regdanvimab</w:t>
            </w:r>
            <w:proofErr w:type="spellEnd"/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(</w:t>
            </w:r>
            <w:r w:rsidRPr="001C4BFE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=377)</w:t>
            </w:r>
          </w:p>
        </w:tc>
        <w:tc>
          <w:tcPr>
            <w:tcW w:w="320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EE10CC6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Regdanvimab</w:t>
            </w:r>
            <w:proofErr w:type="spellEnd"/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(</w:t>
            </w:r>
            <w:r w:rsidRPr="001C4BFE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=377)</w:t>
            </w:r>
          </w:p>
        </w:tc>
      </w:tr>
      <w:tr w:rsidR="00491110" w:rsidRPr="001C4BFE" w14:paraId="355063AD" w14:textId="77777777" w:rsidTr="0077047B">
        <w:trPr>
          <w:trHeight w:val="310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C7F9294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sz w:val="24"/>
                <w:szCs w:val="24"/>
              </w:rPr>
              <w:t>White blood cell count</w:t>
            </w:r>
          </w:p>
        </w:tc>
        <w:tc>
          <w:tcPr>
            <w:tcW w:w="2874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1526E241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FC28AB8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91110" w:rsidRPr="001C4BFE" w14:paraId="493E4EC4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  <w:vAlign w:val="bottom"/>
          </w:tcPr>
          <w:p w14:paraId="680CAB7A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Hemoglobin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491B5A09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959E8A2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91110" w:rsidRPr="001C4BFE" w14:paraId="19A6C87A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  <w:vAlign w:val="center"/>
          </w:tcPr>
          <w:p w14:paraId="76608CB7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Platelet count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71034EAD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26EE28FA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91110" w:rsidRPr="001C4BFE" w14:paraId="5CA177F7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  <w:vAlign w:val="center"/>
          </w:tcPr>
          <w:p w14:paraId="2E65B901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sz w:val="24"/>
                <w:szCs w:val="24"/>
              </w:rPr>
              <w:t>Absolute neutrophil count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F77162F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669AD31A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91110" w:rsidRPr="001C4BFE" w14:paraId="1226BA62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  <w:vAlign w:val="center"/>
          </w:tcPr>
          <w:p w14:paraId="398431AC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sz w:val="24"/>
                <w:szCs w:val="24"/>
              </w:rPr>
              <w:t>Absolute lymphocyte count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1F725F64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1C232E2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91110" w:rsidRPr="001C4BFE" w14:paraId="784F850D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  <w:vAlign w:val="center"/>
          </w:tcPr>
          <w:p w14:paraId="72C8F082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21BF90D5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4D23FA8B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91110" w:rsidRPr="001C4BFE" w14:paraId="2B7A190C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  <w:vAlign w:val="center"/>
          </w:tcPr>
          <w:p w14:paraId="1DB04CC5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K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F7DDD96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6AAA89EC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91110" w:rsidRPr="001C4BFE" w14:paraId="2E2A57EE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  <w:vAlign w:val="center"/>
          </w:tcPr>
          <w:p w14:paraId="061FB3EF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sz w:val="24"/>
                <w:szCs w:val="24"/>
              </w:rPr>
              <w:t>Creatinine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94691BF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73520F85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91110" w:rsidRPr="001C4BFE" w14:paraId="7C2B103F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  <w:vAlign w:val="center"/>
          </w:tcPr>
          <w:p w14:paraId="297C0D9E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Glomerular filtration rate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17233D2B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DEE5B23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91110" w:rsidRPr="001C4BFE" w14:paraId="461A81C3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  <w:vAlign w:val="center"/>
          </w:tcPr>
          <w:p w14:paraId="1B1B4C7B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sz w:val="24"/>
                <w:szCs w:val="24"/>
              </w:rPr>
              <w:t>AST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151CD73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A43622F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91110" w:rsidRPr="001C4BFE" w14:paraId="3BC20FC9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  <w:vAlign w:val="center"/>
          </w:tcPr>
          <w:p w14:paraId="01F0EF3C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sz w:val="24"/>
                <w:szCs w:val="24"/>
              </w:rPr>
              <w:t>ALT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131678A9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601FB726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91110" w:rsidRPr="001C4BFE" w14:paraId="422EC16C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  <w:vAlign w:val="center"/>
          </w:tcPr>
          <w:p w14:paraId="1EE469D6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sz w:val="24"/>
                <w:szCs w:val="24"/>
              </w:rPr>
              <w:t>Total bilirubin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BBD0C16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5E857D8F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91110" w:rsidRPr="001C4BFE" w14:paraId="1F4EAD88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</w:tcPr>
          <w:p w14:paraId="16BF2A59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CRP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EC85134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25E00C90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</w:tr>
      <w:tr w:rsidR="00491110" w:rsidRPr="001C4BFE" w14:paraId="7F5BAA94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</w:tcPr>
          <w:p w14:paraId="2863FD3E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LDH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1EF70E44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(0.5%)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6EAF8E9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1 (0.3%)</w:t>
            </w:r>
          </w:p>
        </w:tc>
      </w:tr>
      <w:tr w:rsidR="00491110" w:rsidRPr="001C4BFE" w14:paraId="3F1BC80D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</w:tcPr>
          <w:p w14:paraId="7AABE8D9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D-dimer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010BB0E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33 (8.8%)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CE4C30F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49 (13.0%)</w:t>
            </w:r>
          </w:p>
        </w:tc>
      </w:tr>
      <w:tr w:rsidR="00491110" w:rsidRPr="001C4BFE" w14:paraId="1AAD7BF7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</w:tcPr>
          <w:p w14:paraId="27D67E01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Troponin I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6AACB9B0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23 (6.1%)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7F5C8028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48 (12.7%)</w:t>
            </w:r>
          </w:p>
        </w:tc>
      </w:tr>
      <w:tr w:rsidR="00491110" w:rsidRPr="001C4BFE" w14:paraId="1CCFE9F0" w14:textId="77777777" w:rsidTr="0077047B">
        <w:trPr>
          <w:trHeight w:val="310"/>
        </w:trPr>
        <w:tc>
          <w:tcPr>
            <w:tcW w:w="2977" w:type="dxa"/>
            <w:shd w:val="clear" w:color="auto" w:fill="auto"/>
            <w:noWrap/>
            <w:hideMark/>
          </w:tcPr>
          <w:p w14:paraId="0C7968E8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Ferritin</w:t>
            </w:r>
          </w:p>
        </w:tc>
        <w:tc>
          <w:tcPr>
            <w:tcW w:w="2874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8BA4C46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59 (15.6%)</w:t>
            </w:r>
          </w:p>
        </w:tc>
        <w:tc>
          <w:tcPr>
            <w:tcW w:w="3207" w:type="dxa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0E0CD18E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62 (16.4%)</w:t>
            </w:r>
          </w:p>
        </w:tc>
      </w:tr>
      <w:tr w:rsidR="00491110" w:rsidRPr="001C4BFE" w14:paraId="7C29FBB9" w14:textId="77777777" w:rsidTr="0077047B">
        <w:trPr>
          <w:trHeight w:val="310"/>
        </w:trPr>
        <w:tc>
          <w:tcPr>
            <w:tcW w:w="2977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6F4E5C40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C4BFE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Creatine</w:t>
            </w:r>
            <w:proofErr w:type="spellEnd"/>
            <w:r w:rsidRPr="001C4BFE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 xml:space="preserve"> kinase</w:t>
            </w:r>
          </w:p>
        </w:tc>
        <w:tc>
          <w:tcPr>
            <w:tcW w:w="2874" w:type="dxa"/>
            <w:tcBorders>
              <w:bottom w:val="single" w:sz="8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C35E8B4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21 (5.6%)</w:t>
            </w:r>
          </w:p>
        </w:tc>
        <w:tc>
          <w:tcPr>
            <w:tcW w:w="3207" w:type="dxa"/>
            <w:tcBorders>
              <w:bottom w:val="single" w:sz="8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B2D1922" w14:textId="77777777" w:rsidR="00491110" w:rsidRPr="001C4BFE" w:rsidRDefault="00491110" w:rsidP="007704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47 (12.5%)</w:t>
            </w:r>
          </w:p>
        </w:tc>
      </w:tr>
    </w:tbl>
    <w:p w14:paraId="161A6FC2" w14:textId="77777777" w:rsidR="00491110" w:rsidRPr="00491110" w:rsidRDefault="00491110" w:rsidP="00491110">
      <w:pPr>
        <w:rPr>
          <w:rFonts w:hint="eastAsia"/>
        </w:rPr>
      </w:pPr>
      <w:bookmarkStart w:id="0" w:name="_GoBack"/>
      <w:bookmarkEnd w:id="0"/>
    </w:p>
    <w:p w14:paraId="20E92DA5" w14:textId="77777777" w:rsidR="00F80FDE" w:rsidRPr="001C4BFE" w:rsidRDefault="00A90E71" w:rsidP="00F80FD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C4BFE">
        <w:rPr>
          <w:rFonts w:ascii="Times New Roman" w:hAnsi="Times New Roman" w:cs="Times New Roman"/>
          <w:sz w:val="24"/>
          <w:szCs w:val="24"/>
        </w:rPr>
        <w:t>ALT, alanine transaminase; AST, aspartate transaminase; CRP, C-reactive protein; LDH, lactate dehydrogenase.</w:t>
      </w:r>
    </w:p>
    <w:p w14:paraId="724F7B7A" w14:textId="77777777" w:rsidR="004E74BF" w:rsidRDefault="00A90E71" w:rsidP="00A072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4BFE">
        <w:rPr>
          <w:rFonts w:ascii="Times New Roman" w:hAnsi="Times New Roman" w:cs="Times New Roman"/>
          <w:sz w:val="24"/>
          <w:szCs w:val="24"/>
        </w:rPr>
        <w:br w:type="page"/>
      </w:r>
    </w:p>
    <w:p w14:paraId="78D2C5C0" w14:textId="77852913" w:rsidR="004E74BF" w:rsidRPr="001C4BFE" w:rsidRDefault="004E74BF" w:rsidP="004E74BF">
      <w:pPr>
        <w:pStyle w:val="2"/>
        <w:rPr>
          <w:rFonts w:ascii="Times New Roman" w:hAnsi="Times New Roman" w:cs="Times New Roman"/>
          <w:sz w:val="24"/>
          <w:szCs w:val="24"/>
        </w:rPr>
      </w:pPr>
      <w:r w:rsidRPr="001C4BFE">
        <w:rPr>
          <w:rFonts w:ascii="Times New Roman" w:hAnsi="Times New Roman" w:cs="Times New Roman"/>
          <w:sz w:val="24"/>
          <w:szCs w:val="24"/>
        </w:rPr>
        <w:lastRenderedPageBreak/>
        <w:t xml:space="preserve">Supplemental Table </w:t>
      </w:r>
      <w:r w:rsidRPr="004E74BF">
        <w:rPr>
          <w:rFonts w:ascii="Times New Roman" w:hAnsi="Times New Roman" w:cs="Times New Roman"/>
          <w:sz w:val="24"/>
          <w:szCs w:val="24"/>
        </w:rPr>
        <w:t xml:space="preserve">2. Associations between </w:t>
      </w:r>
      <w:proofErr w:type="spellStart"/>
      <w:r w:rsidRPr="004E74BF">
        <w:rPr>
          <w:rFonts w:ascii="Times New Roman" w:hAnsi="Times New Roman" w:cs="Times New Roman"/>
          <w:sz w:val="24"/>
          <w:szCs w:val="24"/>
        </w:rPr>
        <w:t>regdanvimab</w:t>
      </w:r>
      <w:proofErr w:type="spellEnd"/>
      <w:r w:rsidRPr="004E74BF">
        <w:rPr>
          <w:rFonts w:ascii="Times New Roman" w:hAnsi="Times New Roman" w:cs="Times New Roman"/>
          <w:sz w:val="24"/>
          <w:szCs w:val="24"/>
        </w:rPr>
        <w:t xml:space="preserve"> and primary endpoint in propensity score-matched and overall cohorts.</w:t>
      </w:r>
    </w:p>
    <w:tbl>
      <w:tblPr>
        <w:tblW w:w="90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40"/>
        <w:gridCol w:w="1538"/>
        <w:gridCol w:w="2268"/>
        <w:gridCol w:w="2080"/>
      </w:tblGrid>
      <w:tr w:rsidR="007476D3" w:rsidRPr="00447CEA" w14:paraId="4B3C4EE4" w14:textId="77777777" w:rsidTr="0075356A">
        <w:trPr>
          <w:trHeight w:val="340"/>
        </w:trPr>
        <w:tc>
          <w:tcPr>
            <w:tcW w:w="31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E0ED06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F1C697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OR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5C464D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95% CI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801E1B3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447CEA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7476D3" w:rsidRPr="00447CEA" w14:paraId="651EE935" w14:textId="77777777" w:rsidTr="0075356A">
        <w:trPr>
          <w:trHeight w:val="340"/>
        </w:trPr>
        <w:tc>
          <w:tcPr>
            <w:tcW w:w="3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69E0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PS-matched cohort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A98A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9F3F2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D0321B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7476D3" w:rsidRPr="00447CEA" w14:paraId="7E8346AD" w14:textId="77777777" w:rsidTr="0075356A">
        <w:trPr>
          <w:trHeight w:val="34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8751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Univariate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5324D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81D3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0.112-0.320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D6C4AED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476D3" w:rsidRPr="00447CEA" w14:paraId="38E5EBD9" w14:textId="77777777" w:rsidTr="0075356A">
        <w:trPr>
          <w:trHeight w:val="34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6039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Multivariable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2A79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2D89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0.095-0.289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2C0C8D9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476D3" w:rsidRPr="00447CEA" w14:paraId="61A3EFDA" w14:textId="77777777" w:rsidTr="0075356A">
        <w:trPr>
          <w:trHeight w:val="34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5B475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Multivariable (by stepwise)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C810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00CAB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0.095-0.287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5D2C387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476D3" w:rsidRPr="00447CEA" w14:paraId="561F2746" w14:textId="77777777" w:rsidTr="0075356A">
        <w:trPr>
          <w:trHeight w:val="34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567EB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Overall cohort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08786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01C4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79C66C3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7476D3" w:rsidRPr="00447CEA" w14:paraId="31B8B551" w14:textId="77777777" w:rsidTr="0075356A">
        <w:trPr>
          <w:trHeight w:val="340"/>
        </w:trPr>
        <w:tc>
          <w:tcPr>
            <w:tcW w:w="3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84F8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Multivariable</w:t>
            </w:r>
          </w:p>
        </w:tc>
        <w:tc>
          <w:tcPr>
            <w:tcW w:w="15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DE16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0.148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BAA1C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0.084-0.247</w:t>
            </w: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</w:tcPr>
          <w:p w14:paraId="7289F63F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476D3" w:rsidRPr="00447CEA" w14:paraId="736180D9" w14:textId="77777777" w:rsidTr="0075356A">
        <w:trPr>
          <w:trHeight w:val="340"/>
        </w:trPr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0A398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Multivariable (by stepwise)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0B66B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0.151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42E32F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0.087-0.251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5128ABE" w14:textId="77777777" w:rsidR="007476D3" w:rsidRPr="00447CEA" w:rsidRDefault="007476D3" w:rsidP="0075356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47CE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</w:tbl>
    <w:p w14:paraId="7E98FF43" w14:textId="77777777" w:rsidR="007476D3" w:rsidRPr="00447CEA" w:rsidRDefault="007476D3" w:rsidP="007476D3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7CEA">
        <w:rPr>
          <w:rFonts w:ascii="Times New Roman" w:eastAsiaTheme="minorHAnsi" w:hAnsi="Times New Roman" w:cs="Times New Roman"/>
          <w:sz w:val="24"/>
          <w:szCs w:val="24"/>
        </w:rPr>
        <w:t>CI, confidence interval; OR, odds ratio; PS, propensity score.</w:t>
      </w:r>
      <w:r w:rsidRPr="00447CE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447CEA">
        <w:rPr>
          <w:rFonts w:ascii="Times New Roman" w:hAnsi="Times New Roman" w:cs="Times New Roman"/>
          <w:b/>
          <w:sz w:val="24"/>
          <w:szCs w:val="24"/>
        </w:rPr>
        <w:instrText xml:space="preserve"> ADDIN </w:instrText>
      </w:r>
      <w:r w:rsidRPr="00447CEA"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p w14:paraId="44425E3B" w14:textId="689FC6BA" w:rsidR="007476D3" w:rsidRDefault="007476D3" w:rsidP="00F80F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0E92DF3" w14:textId="08084AC0" w:rsidR="00F80FDE" w:rsidRPr="001C4BFE" w:rsidRDefault="00A90E71" w:rsidP="00F80FDE">
      <w:pPr>
        <w:pStyle w:val="2"/>
        <w:rPr>
          <w:rFonts w:ascii="Times New Roman" w:hAnsi="Times New Roman" w:cs="Times New Roman"/>
          <w:sz w:val="24"/>
          <w:szCs w:val="24"/>
        </w:rPr>
      </w:pPr>
      <w:r w:rsidRPr="001C4BFE">
        <w:rPr>
          <w:rFonts w:ascii="Times New Roman" w:hAnsi="Times New Roman" w:cs="Times New Roman"/>
          <w:sz w:val="24"/>
          <w:szCs w:val="24"/>
        </w:rPr>
        <w:lastRenderedPageBreak/>
        <w:t xml:space="preserve">Supplemental Table </w:t>
      </w:r>
      <w:r w:rsidR="00A072C7">
        <w:rPr>
          <w:rFonts w:ascii="Times New Roman" w:hAnsi="Times New Roman" w:cs="Times New Roman"/>
          <w:sz w:val="24"/>
          <w:szCs w:val="24"/>
        </w:rPr>
        <w:t>3</w:t>
      </w:r>
      <w:r w:rsidRPr="001C4BFE">
        <w:rPr>
          <w:rFonts w:ascii="Times New Roman" w:hAnsi="Times New Roman" w:cs="Times New Roman"/>
          <w:sz w:val="24"/>
          <w:szCs w:val="24"/>
        </w:rPr>
        <w:t>. Clinical outcomes in overall cohort.</w:t>
      </w:r>
    </w:p>
    <w:tbl>
      <w:tblPr>
        <w:tblpPr w:leftFromText="142" w:rightFromText="142" w:vertAnchor="page" w:horzAnchor="margin" w:tblpY="2351"/>
        <w:tblW w:w="900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1134"/>
        <w:gridCol w:w="1418"/>
        <w:gridCol w:w="992"/>
        <w:gridCol w:w="1417"/>
        <w:gridCol w:w="1065"/>
      </w:tblGrid>
      <w:tr w:rsidR="00847ABA" w:rsidRPr="001C4BFE" w14:paraId="20E92DFA" w14:textId="77777777" w:rsidTr="00A21D2D">
        <w:trPr>
          <w:trHeight w:val="659"/>
        </w:trPr>
        <w:tc>
          <w:tcPr>
            <w:tcW w:w="297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92DF4" w14:textId="77777777" w:rsidR="00F80FDE" w:rsidRPr="001C4BFE" w:rsidRDefault="00F80FDE" w:rsidP="000278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hideMark/>
          </w:tcPr>
          <w:p w14:paraId="20E92DF5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No </w:t>
            </w:r>
            <w:proofErr w:type="spellStart"/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Regdanvimab</w:t>
            </w:r>
            <w:proofErr w:type="spellEnd"/>
          </w:p>
          <w:p w14:paraId="20E92DF6" w14:textId="0AFD4F4D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(n=520, 58.0%)</w:t>
            </w:r>
          </w:p>
        </w:tc>
        <w:tc>
          <w:tcPr>
            <w:tcW w:w="2409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hideMark/>
          </w:tcPr>
          <w:p w14:paraId="20E92DF7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Regdanvimab</w:t>
            </w:r>
            <w:proofErr w:type="spellEnd"/>
          </w:p>
          <w:p w14:paraId="20E92DF8" w14:textId="210DBF01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(n=377, 42.0%)</w:t>
            </w:r>
          </w:p>
        </w:tc>
        <w:tc>
          <w:tcPr>
            <w:tcW w:w="106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92DF9" w14:textId="23E81F00" w:rsidR="00F80FDE" w:rsidRPr="001C4BFE" w:rsidRDefault="00A90E71" w:rsidP="00A21D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847ABA" w:rsidRPr="001C4BFE" w14:paraId="20E92E01" w14:textId="77777777" w:rsidTr="00027830">
        <w:trPr>
          <w:trHeight w:val="339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92DFB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Death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DFC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DFD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(3.3%)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DFE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DFF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(0.0%)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92E00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&lt;0.001</w:t>
            </w:r>
          </w:p>
        </w:tc>
      </w:tr>
      <w:tr w:rsidR="00847ABA" w:rsidRPr="001C4BFE" w14:paraId="20E92E08" w14:textId="77777777" w:rsidTr="00027830">
        <w:trPr>
          <w:trHeight w:val="339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0E92E02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Disease aggravation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03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418" w:type="dxa"/>
            <w:tcBorders>
              <w:lef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04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(25.4%)</w:t>
            </w:r>
          </w:p>
        </w:tc>
        <w:tc>
          <w:tcPr>
            <w:tcW w:w="992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05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06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(5.0%)</w:t>
            </w:r>
          </w:p>
        </w:tc>
        <w:tc>
          <w:tcPr>
            <w:tcW w:w="1065" w:type="dxa"/>
            <w:shd w:val="clear" w:color="auto" w:fill="auto"/>
            <w:noWrap/>
            <w:vAlign w:val="bottom"/>
            <w:hideMark/>
          </w:tcPr>
          <w:p w14:paraId="20E92E07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&lt;0.001</w:t>
            </w:r>
          </w:p>
        </w:tc>
      </w:tr>
      <w:tr w:rsidR="00847ABA" w:rsidRPr="001C4BFE" w14:paraId="20E92E0F" w14:textId="77777777" w:rsidTr="00027830">
        <w:trPr>
          <w:trHeight w:val="339"/>
        </w:trPr>
        <w:tc>
          <w:tcPr>
            <w:tcW w:w="297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92E09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Composite primary endpoint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0A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418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0B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(25.6%)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0C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0D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(5.0%)</w:t>
            </w:r>
          </w:p>
        </w:tc>
        <w:tc>
          <w:tcPr>
            <w:tcW w:w="1065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E92E0E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20E92E10" w14:textId="77777777" w:rsidR="00F80FDE" w:rsidRPr="001C4BFE" w:rsidRDefault="00A90E71" w:rsidP="00F80F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4BFE">
        <w:rPr>
          <w:rFonts w:ascii="Times New Roman" w:hAnsi="Times New Roman" w:cs="Times New Roman"/>
          <w:sz w:val="24"/>
          <w:szCs w:val="24"/>
        </w:rPr>
        <w:br w:type="page"/>
      </w:r>
    </w:p>
    <w:p w14:paraId="20E92E11" w14:textId="5D1E0AB9" w:rsidR="00F80FDE" w:rsidRPr="001C4BFE" w:rsidRDefault="00A90E71" w:rsidP="00F80FDE">
      <w:pPr>
        <w:pStyle w:val="2"/>
        <w:rPr>
          <w:rFonts w:ascii="Times New Roman" w:hAnsi="Times New Roman" w:cs="Times New Roman"/>
          <w:sz w:val="24"/>
          <w:szCs w:val="24"/>
        </w:rPr>
      </w:pPr>
      <w:r w:rsidRPr="001C4BFE">
        <w:rPr>
          <w:rFonts w:ascii="Times New Roman" w:hAnsi="Times New Roman" w:cs="Times New Roman"/>
          <w:sz w:val="24"/>
          <w:szCs w:val="24"/>
        </w:rPr>
        <w:lastRenderedPageBreak/>
        <w:t xml:space="preserve">Supplemental Table </w:t>
      </w:r>
      <w:r w:rsidR="00A072C7">
        <w:rPr>
          <w:rFonts w:ascii="Times New Roman" w:hAnsi="Times New Roman" w:cs="Times New Roman"/>
          <w:sz w:val="24"/>
          <w:szCs w:val="24"/>
        </w:rPr>
        <w:t>4</w:t>
      </w:r>
      <w:r w:rsidRPr="001C4BFE">
        <w:rPr>
          <w:rFonts w:ascii="Times New Roman" w:hAnsi="Times New Roman" w:cs="Times New Roman"/>
          <w:sz w:val="24"/>
          <w:szCs w:val="24"/>
        </w:rPr>
        <w:t xml:space="preserve">. Other exposures for </w:t>
      </w:r>
      <w:r w:rsidR="009F1032" w:rsidRPr="001C4BFE">
        <w:rPr>
          <w:rFonts w:ascii="Times New Roman" w:hAnsi="Times New Roman" w:cs="Times New Roman"/>
          <w:sz w:val="24"/>
          <w:szCs w:val="24"/>
        </w:rPr>
        <w:t xml:space="preserve">treating </w:t>
      </w:r>
      <w:r w:rsidRPr="001C4BFE">
        <w:rPr>
          <w:rFonts w:ascii="Times New Roman" w:hAnsi="Times New Roman" w:cs="Times New Roman"/>
          <w:sz w:val="24"/>
          <w:szCs w:val="24"/>
        </w:rPr>
        <w:t>COVID-19 in propensity score-matched cohort.</w:t>
      </w:r>
    </w:p>
    <w:tbl>
      <w:tblPr>
        <w:tblpPr w:leftFromText="142" w:rightFromText="142" w:vertAnchor="page" w:horzAnchor="margin" w:tblpY="2701"/>
        <w:tblW w:w="900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850"/>
        <w:gridCol w:w="1134"/>
        <w:gridCol w:w="1276"/>
        <w:gridCol w:w="1453"/>
        <w:gridCol w:w="1171"/>
      </w:tblGrid>
      <w:tr w:rsidR="00847ABA" w:rsidRPr="001C4BFE" w14:paraId="20E92E16" w14:textId="77777777" w:rsidTr="00A21D2D">
        <w:trPr>
          <w:trHeight w:val="659"/>
        </w:trPr>
        <w:tc>
          <w:tcPr>
            <w:tcW w:w="311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92E12" w14:textId="77777777" w:rsidR="00F80FDE" w:rsidRPr="001C4BFE" w:rsidRDefault="00F80FDE" w:rsidP="000278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hideMark/>
          </w:tcPr>
          <w:p w14:paraId="20E92E13" w14:textId="73740369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No </w:t>
            </w:r>
            <w:proofErr w:type="spellStart"/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Regdanvimab</w:t>
            </w:r>
            <w:proofErr w:type="spellEnd"/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(</w:t>
            </w:r>
            <w:r w:rsidRPr="001C4BFE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=377)</w:t>
            </w:r>
          </w:p>
        </w:tc>
        <w:tc>
          <w:tcPr>
            <w:tcW w:w="2729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hideMark/>
          </w:tcPr>
          <w:p w14:paraId="20E92E14" w14:textId="4038E0AB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Regdanvimab</w:t>
            </w:r>
            <w:proofErr w:type="spellEnd"/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(</w:t>
            </w:r>
            <w:r w:rsidRPr="001C4BFE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1C4BFE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=377)</w:t>
            </w:r>
          </w:p>
        </w:tc>
        <w:tc>
          <w:tcPr>
            <w:tcW w:w="117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14:paraId="20E92E15" w14:textId="3DAF0CE0" w:rsidR="00F80FDE" w:rsidRPr="001C4BFE" w:rsidRDefault="00A90E71" w:rsidP="00A21D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C4BFE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847ABA" w:rsidRPr="001C4BFE" w14:paraId="20E92E1D" w14:textId="77777777" w:rsidTr="00027830">
        <w:trPr>
          <w:trHeight w:val="339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92E17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Remdesivir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18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19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(16.4%)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1A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53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1B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(2.7%)</w:t>
            </w:r>
          </w:p>
        </w:tc>
        <w:tc>
          <w:tcPr>
            <w:tcW w:w="1171" w:type="dxa"/>
            <w:tcBorders>
              <w:top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bottom"/>
            <w:hideMark/>
          </w:tcPr>
          <w:p w14:paraId="20E92E1C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&lt;0.001</w:t>
            </w:r>
          </w:p>
        </w:tc>
      </w:tr>
      <w:tr w:rsidR="00847ABA" w:rsidRPr="001C4BFE" w14:paraId="20E92E24" w14:textId="77777777" w:rsidTr="00027830">
        <w:trPr>
          <w:trHeight w:val="339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0E92E1E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Hydroxychloroquine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1F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20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(0.3%)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21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22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(0.3%)</w:t>
            </w:r>
          </w:p>
        </w:tc>
        <w:tc>
          <w:tcPr>
            <w:tcW w:w="1171" w:type="dxa"/>
            <w:shd w:val="clear" w:color="auto" w:fill="auto"/>
            <w:noWrap/>
            <w:tcMar>
              <w:right w:w="142" w:type="dxa"/>
            </w:tcMar>
            <w:vAlign w:val="bottom"/>
            <w:hideMark/>
          </w:tcPr>
          <w:p w14:paraId="20E92E23" w14:textId="07FB7846" w:rsidR="00F80FDE" w:rsidRPr="001C4BFE" w:rsidRDefault="00A90E71" w:rsidP="001C4B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1.000</w:t>
            </w:r>
            <w:r w:rsidR="001C4BFE" w:rsidRPr="001C4BFE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847ABA" w:rsidRPr="001C4BFE" w14:paraId="20E92E2B" w14:textId="77777777" w:rsidTr="00027830">
        <w:trPr>
          <w:trHeight w:val="339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0E92E25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Azithromycin</w:t>
            </w:r>
          </w:p>
        </w:tc>
        <w:tc>
          <w:tcPr>
            <w:tcW w:w="85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26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27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(62.3%)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28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5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29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(5.6%)</w:t>
            </w:r>
          </w:p>
        </w:tc>
        <w:tc>
          <w:tcPr>
            <w:tcW w:w="1171" w:type="dxa"/>
            <w:shd w:val="clear" w:color="auto" w:fill="auto"/>
            <w:noWrap/>
            <w:tcMar>
              <w:right w:w="142" w:type="dxa"/>
            </w:tcMar>
            <w:vAlign w:val="bottom"/>
            <w:hideMark/>
          </w:tcPr>
          <w:p w14:paraId="20E92E2A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&lt;0.001</w:t>
            </w:r>
          </w:p>
        </w:tc>
      </w:tr>
      <w:tr w:rsidR="00847ABA" w:rsidRPr="001C4BFE" w14:paraId="20E92E32" w14:textId="77777777" w:rsidTr="00027830">
        <w:trPr>
          <w:trHeight w:val="339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0E92E2C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Lopinavir</w:t>
            </w:r>
            <w:proofErr w:type="spellEnd"/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/ritonavir</w:t>
            </w:r>
          </w:p>
        </w:tc>
        <w:tc>
          <w:tcPr>
            <w:tcW w:w="85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2D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2E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(15.6%)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2F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30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(0.0%)</w:t>
            </w:r>
          </w:p>
        </w:tc>
        <w:tc>
          <w:tcPr>
            <w:tcW w:w="1171" w:type="dxa"/>
            <w:shd w:val="clear" w:color="auto" w:fill="auto"/>
            <w:noWrap/>
            <w:tcMar>
              <w:right w:w="142" w:type="dxa"/>
            </w:tcMar>
            <w:vAlign w:val="bottom"/>
            <w:hideMark/>
          </w:tcPr>
          <w:p w14:paraId="20E92E31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&lt;0.001</w:t>
            </w:r>
          </w:p>
        </w:tc>
      </w:tr>
      <w:tr w:rsidR="00847ABA" w:rsidRPr="001C4BFE" w14:paraId="20E92E39" w14:textId="77777777" w:rsidTr="00027830">
        <w:trPr>
          <w:trHeight w:val="359"/>
        </w:trPr>
        <w:tc>
          <w:tcPr>
            <w:tcW w:w="311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92E33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Corticosteroids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34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35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(47.7%)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36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53" w:type="dxa"/>
            <w:tcBorders>
              <w:bottom w:val="single" w:sz="8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E92E37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(23.9%)</w:t>
            </w:r>
          </w:p>
        </w:tc>
        <w:tc>
          <w:tcPr>
            <w:tcW w:w="1171" w:type="dxa"/>
            <w:tcBorders>
              <w:bottom w:val="single" w:sz="8" w:space="0" w:color="auto"/>
            </w:tcBorders>
            <w:shd w:val="clear" w:color="auto" w:fill="auto"/>
            <w:noWrap/>
            <w:tcMar>
              <w:right w:w="142" w:type="dxa"/>
            </w:tcMar>
            <w:vAlign w:val="bottom"/>
            <w:hideMark/>
          </w:tcPr>
          <w:p w14:paraId="20E92E38" w14:textId="77777777" w:rsidR="00F80FDE" w:rsidRPr="001C4BFE" w:rsidRDefault="00A90E71" w:rsidP="00027830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1C4BFE">
              <w:rPr>
                <w:rFonts w:ascii="Times New Roman" w:eastAsia="맑은 고딕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20E92E3A" w14:textId="5B3D7BB9" w:rsidR="00F80FDE" w:rsidRPr="001C4BFE" w:rsidRDefault="009F1032" w:rsidP="00F80FDE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1C4BFE">
        <w:rPr>
          <w:rFonts w:ascii="Times New Roman" w:hAnsi="Times New Roman" w:cs="Times New Roman"/>
          <w:sz w:val="24"/>
          <w:szCs w:val="24"/>
        </w:rPr>
        <w:t xml:space="preserve">Variables </w:t>
      </w:r>
      <w:r w:rsidR="00D377EE" w:rsidRPr="001C4BFE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D377EE" w:rsidRPr="001C4BFE">
        <w:rPr>
          <w:rFonts w:ascii="Times New Roman" w:eastAsiaTheme="minorHAnsi" w:hAnsi="Times New Roman" w:cs="Times New Roman"/>
          <w:sz w:val="24"/>
          <w:szCs w:val="24"/>
        </w:rPr>
        <w:t>hydroxychloroquine</w:t>
      </w:r>
      <w:proofErr w:type="spellEnd"/>
      <w:r w:rsidR="00D377EE" w:rsidRPr="001C4BFE">
        <w:rPr>
          <w:rFonts w:ascii="Times New Roman" w:hAnsi="Times New Roman" w:cs="Times New Roman"/>
          <w:sz w:val="24"/>
          <w:szCs w:val="24"/>
        </w:rPr>
        <w:t xml:space="preserve"> </w:t>
      </w:r>
      <w:r w:rsidRPr="001C4BFE">
        <w:rPr>
          <w:rFonts w:ascii="Times New Roman" w:hAnsi="Times New Roman" w:cs="Times New Roman"/>
          <w:sz w:val="24"/>
          <w:szCs w:val="24"/>
        </w:rPr>
        <w:t>were</w:t>
      </w:r>
      <w:r w:rsidR="00D377EE" w:rsidRPr="001C4BFE">
        <w:rPr>
          <w:rFonts w:ascii="Times New Roman" w:hAnsi="Times New Roman" w:cs="Times New Roman"/>
          <w:sz w:val="24"/>
          <w:szCs w:val="24"/>
        </w:rPr>
        <w:t xml:space="preserve"> </w:t>
      </w:r>
      <w:r w:rsidR="009E7726" w:rsidRPr="001C4BFE">
        <w:rPr>
          <w:rFonts w:ascii="Times New Roman" w:eastAsiaTheme="minorHAnsi" w:hAnsi="Times New Roman" w:cs="Times New Roman"/>
          <w:sz w:val="24"/>
          <w:szCs w:val="24"/>
        </w:rPr>
        <w:t xml:space="preserve">respectively </w:t>
      </w:r>
      <w:r w:rsidRPr="001C4BFE">
        <w:rPr>
          <w:rFonts w:ascii="Times New Roman" w:eastAsia="맑은 고딕" w:hAnsi="Times New Roman" w:cs="Times New Roman"/>
          <w:sz w:val="24"/>
          <w:szCs w:val="24"/>
        </w:rPr>
        <w:t>analyzed u</w:t>
      </w:r>
      <w:r w:rsidR="00D377EE" w:rsidRPr="001C4BFE">
        <w:rPr>
          <w:rFonts w:ascii="Times New Roman" w:eastAsia="맑은 고딕" w:hAnsi="Times New Roman" w:cs="Times New Roman"/>
          <w:sz w:val="24"/>
          <w:szCs w:val="24"/>
        </w:rPr>
        <w:t>sing</w:t>
      </w:r>
      <w:r w:rsidRPr="001C4BFE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A90E71" w:rsidRPr="001C4BFE">
        <w:rPr>
          <w:rFonts w:ascii="Times New Roman" w:eastAsia="맑은 고딕" w:hAnsi="Times New Roman" w:cs="Times New Roman"/>
          <w:sz w:val="24"/>
          <w:szCs w:val="24"/>
        </w:rPr>
        <w:t xml:space="preserve">chi-squared </w:t>
      </w:r>
      <w:r w:rsidR="00D377EE" w:rsidRPr="001C4BFE">
        <w:rPr>
          <w:rFonts w:ascii="Times New Roman" w:eastAsia="맑은 고딕" w:hAnsi="Times New Roman" w:cs="Times New Roman"/>
          <w:sz w:val="24"/>
          <w:szCs w:val="24"/>
        </w:rPr>
        <w:t xml:space="preserve">and </w:t>
      </w:r>
      <w:r w:rsidR="009E7726" w:rsidRPr="001C4BFE">
        <w:rPr>
          <w:rFonts w:ascii="Times New Roman" w:eastAsia="맑은 고딕" w:hAnsi="Times New Roman" w:cs="Times New Roman"/>
          <w:sz w:val="24"/>
          <w:szCs w:val="24"/>
        </w:rPr>
        <w:t>*</w:t>
      </w:r>
      <w:r w:rsidR="00A90E71" w:rsidRPr="001C4BFE">
        <w:rPr>
          <w:rFonts w:ascii="Times New Roman" w:eastAsiaTheme="minorHAnsi" w:hAnsi="Times New Roman" w:cs="Times New Roman"/>
          <w:sz w:val="24"/>
          <w:szCs w:val="24"/>
        </w:rPr>
        <w:t>Fisher’s exact test</w:t>
      </w:r>
      <w:r w:rsidR="009E7726" w:rsidRPr="001C4BFE">
        <w:rPr>
          <w:rFonts w:ascii="Times New Roman" w:eastAsiaTheme="minorHAnsi" w:hAnsi="Times New Roman" w:cs="Times New Roman"/>
          <w:sz w:val="24"/>
          <w:szCs w:val="24"/>
        </w:rPr>
        <w:t>.</w:t>
      </w:r>
    </w:p>
    <w:p w14:paraId="20E92E3C" w14:textId="29CFC84A" w:rsidR="00707082" w:rsidRPr="001C4BFE" w:rsidRDefault="00707082" w:rsidP="00F80F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07082" w:rsidRPr="001C4BFE" w:rsidSect="006C378C">
      <w:footerReference w:type="default" r:id="rId19"/>
      <w:pgSz w:w="11906" w:h="16838"/>
      <w:pgMar w:top="1701" w:right="1440" w:bottom="851" w:left="1440" w:header="0" w:footer="0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2FCFEB1" w16cid:durableId="24A02392"/>
  <w16cid:commentId w16cid:paraId="1BB829EA" w16cid:durableId="24A0236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A2654B" w14:textId="77777777" w:rsidR="00264A7A" w:rsidRDefault="00264A7A">
      <w:pPr>
        <w:spacing w:after="0" w:line="240" w:lineRule="auto"/>
      </w:pPr>
      <w:r>
        <w:separator/>
      </w:r>
    </w:p>
  </w:endnote>
  <w:endnote w:type="continuationSeparator" w:id="0">
    <w:p w14:paraId="5F2FDB72" w14:textId="77777777" w:rsidR="00264A7A" w:rsidRDefault="00264A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93568487"/>
      <w:docPartObj>
        <w:docPartGallery w:val="Page Numbers (Bottom of Page)"/>
        <w:docPartUnique/>
      </w:docPartObj>
    </w:sdtPr>
    <w:sdtEndPr/>
    <w:sdtContent>
      <w:p w14:paraId="20E92E55" w14:textId="391726E2" w:rsidR="006C378C" w:rsidRDefault="00A90E7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1110" w:rsidRPr="00491110">
          <w:rPr>
            <w:noProof/>
            <w:lang w:val="ko-KR"/>
          </w:rPr>
          <w:t>5</w:t>
        </w:r>
        <w:r>
          <w:fldChar w:fldCharType="end"/>
        </w:r>
      </w:p>
    </w:sdtContent>
  </w:sdt>
  <w:p w14:paraId="20E92E56" w14:textId="77777777" w:rsidR="006C378C" w:rsidRDefault="006C378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89DF30" w14:textId="77777777" w:rsidR="00264A7A" w:rsidRDefault="00264A7A">
      <w:pPr>
        <w:spacing w:after="0" w:line="240" w:lineRule="auto"/>
      </w:pPr>
      <w:r>
        <w:separator/>
      </w:r>
    </w:p>
  </w:footnote>
  <w:footnote w:type="continuationSeparator" w:id="0">
    <w:p w14:paraId="74575AC7" w14:textId="77777777" w:rsidR="00264A7A" w:rsidRDefault="00264A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C41"/>
    <w:rsid w:val="00027830"/>
    <w:rsid w:val="0006142C"/>
    <w:rsid w:val="000A001C"/>
    <w:rsid w:val="00122D30"/>
    <w:rsid w:val="001C4BFE"/>
    <w:rsid w:val="00264A7A"/>
    <w:rsid w:val="0026509B"/>
    <w:rsid w:val="00293E8F"/>
    <w:rsid w:val="002A3C41"/>
    <w:rsid w:val="002A62C5"/>
    <w:rsid w:val="002D3C3A"/>
    <w:rsid w:val="00336526"/>
    <w:rsid w:val="00355420"/>
    <w:rsid w:val="003A7E4C"/>
    <w:rsid w:val="003C07EF"/>
    <w:rsid w:val="00402010"/>
    <w:rsid w:val="00485392"/>
    <w:rsid w:val="00491110"/>
    <w:rsid w:val="004E74BF"/>
    <w:rsid w:val="00521BED"/>
    <w:rsid w:val="00521DA7"/>
    <w:rsid w:val="00562BDD"/>
    <w:rsid w:val="00583603"/>
    <w:rsid w:val="005D4B48"/>
    <w:rsid w:val="006219A8"/>
    <w:rsid w:val="0067753C"/>
    <w:rsid w:val="00686AB0"/>
    <w:rsid w:val="006C378C"/>
    <w:rsid w:val="00707082"/>
    <w:rsid w:val="007476D3"/>
    <w:rsid w:val="007E646C"/>
    <w:rsid w:val="00821DA6"/>
    <w:rsid w:val="00831072"/>
    <w:rsid w:val="00847ABA"/>
    <w:rsid w:val="00882684"/>
    <w:rsid w:val="008D0E9D"/>
    <w:rsid w:val="008D7386"/>
    <w:rsid w:val="009270AC"/>
    <w:rsid w:val="00957B47"/>
    <w:rsid w:val="009A0B2D"/>
    <w:rsid w:val="009B2EA1"/>
    <w:rsid w:val="009E7726"/>
    <w:rsid w:val="009F1032"/>
    <w:rsid w:val="00A072C7"/>
    <w:rsid w:val="00A21D2D"/>
    <w:rsid w:val="00A53BF5"/>
    <w:rsid w:val="00A90E71"/>
    <w:rsid w:val="00AA398F"/>
    <w:rsid w:val="00B160C7"/>
    <w:rsid w:val="00BF78E3"/>
    <w:rsid w:val="00C332F4"/>
    <w:rsid w:val="00C86BC7"/>
    <w:rsid w:val="00CD6EFF"/>
    <w:rsid w:val="00D377EE"/>
    <w:rsid w:val="00D44F96"/>
    <w:rsid w:val="00E26B35"/>
    <w:rsid w:val="00EC268F"/>
    <w:rsid w:val="00F80FDE"/>
    <w:rsid w:val="00F83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E92D8A"/>
  <w15:chartTrackingRefBased/>
  <w15:docId w15:val="{7DF8D86D-8F3B-4B80-A501-94A1902DC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BF78E3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78E3"/>
    <w:pPr>
      <w:keepNext/>
      <w:outlineLvl w:val="1"/>
    </w:pPr>
    <w:rPr>
      <w:rFonts w:asciiTheme="majorHAnsi" w:eastAsiaTheme="majorEastAsia" w:hAnsiTheme="majorHAnsi" w:cstheme="majorBidi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3C3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D3C3A"/>
  </w:style>
  <w:style w:type="paragraph" w:styleId="a4">
    <w:name w:val="footer"/>
    <w:basedOn w:val="a"/>
    <w:link w:val="Char0"/>
    <w:uiPriority w:val="99"/>
    <w:unhideWhenUsed/>
    <w:rsid w:val="002D3C3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D3C3A"/>
  </w:style>
  <w:style w:type="character" w:customStyle="1" w:styleId="1Char">
    <w:name w:val="제목 1 Char"/>
    <w:basedOn w:val="a0"/>
    <w:link w:val="1"/>
    <w:uiPriority w:val="9"/>
    <w:rsid w:val="00BF78E3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BF78E3"/>
    <w:rPr>
      <w:rFonts w:asciiTheme="majorHAnsi" w:eastAsiaTheme="majorEastAsia" w:hAnsiTheme="majorHAnsi" w:cstheme="majorBidi"/>
      <w:b/>
    </w:rPr>
  </w:style>
  <w:style w:type="paragraph" w:styleId="TOC">
    <w:name w:val="TOC Heading"/>
    <w:basedOn w:val="1"/>
    <w:next w:val="a"/>
    <w:uiPriority w:val="39"/>
    <w:unhideWhenUsed/>
    <w:qFormat/>
    <w:rsid w:val="00521BED"/>
    <w:pPr>
      <w:keepLines/>
      <w:widowControl/>
      <w:wordWrap/>
      <w:autoSpaceDE/>
      <w:autoSpaceDN/>
      <w:spacing w:before="240" w:after="0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521BED"/>
    <w:pPr>
      <w:ind w:leftChars="200" w:left="425"/>
    </w:pPr>
  </w:style>
  <w:style w:type="character" w:styleId="a5">
    <w:name w:val="Hyperlink"/>
    <w:basedOn w:val="a0"/>
    <w:uiPriority w:val="99"/>
    <w:unhideWhenUsed/>
    <w:rsid w:val="00521BED"/>
    <w:rPr>
      <w:color w:val="0563C1" w:themeColor="hyperlink"/>
      <w:u w:val="single"/>
    </w:rPr>
  </w:style>
  <w:style w:type="table" w:styleId="a6">
    <w:name w:val="Table Grid"/>
    <w:basedOn w:val="a1"/>
    <w:uiPriority w:val="39"/>
    <w:rsid w:val="006C37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A21D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A21D2D"/>
    <w:rPr>
      <w:rFonts w:ascii="Segoe UI" w:hAnsi="Segoe UI" w:cs="Segoe U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A21D2D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A21D2D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9"/>
    <w:uiPriority w:val="99"/>
    <w:semiHidden/>
    <w:rsid w:val="00A21D2D"/>
    <w:rPr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A21D2D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A21D2D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microsoft.com/office/2016/09/relationships/commentsIds" Target="commentsIds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722D46-A70F-49BA-97A3-A673783CE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박수신</dc:creator>
  <cp:lastModifiedBy>박수신</cp:lastModifiedBy>
  <cp:revision>4</cp:revision>
  <cp:lastPrinted>2021-07-06T11:36:00Z</cp:lastPrinted>
  <dcterms:created xsi:type="dcterms:W3CDTF">2021-08-09T05:25:00Z</dcterms:created>
  <dcterms:modified xsi:type="dcterms:W3CDTF">2021-08-23T00:44:00Z</dcterms:modified>
</cp:coreProperties>
</file>