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highlight w:val="none"/>
          <w:lang w:eastAsia="zh-CN"/>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1</w:t>
      </w:r>
    </w:p>
    <w:p>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5273675" cy="7107555"/>
            <wp:effectExtent l="0" t="0" r="3175" b="4445"/>
            <wp:docPr id="1" name="图片 1" descr="s 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 figure1"/>
                    <pic:cNvPicPr>
                      <a:picLocks noChangeAspect="1"/>
                    </pic:cNvPicPr>
                  </pic:nvPicPr>
                  <pic:blipFill>
                    <a:blip r:embed="rId4"/>
                    <a:stretch>
                      <a:fillRect/>
                    </a:stretch>
                  </pic:blipFill>
                  <pic:spPr>
                    <a:xfrm>
                      <a:off x="0" y="0"/>
                      <a:ext cx="5273675" cy="7107555"/>
                    </a:xfrm>
                    <a:prstGeom prst="rect">
                      <a:avLst/>
                    </a:prstGeom>
                  </pic:spPr>
                </pic:pic>
              </a:graphicData>
            </a:graphic>
          </wp:inline>
        </w:drawing>
      </w:r>
    </w:p>
    <w:p>
      <w:pPr>
        <w:spacing w:line="480" w:lineRule="auto"/>
        <w:rPr>
          <w:rFonts w:hint="default" w:ascii="Times New Roman" w:hAnsi="Times New Roman"/>
          <w:bCs/>
          <w:color w:val="000000"/>
          <w:sz w:val="24"/>
          <w:highlight w:val="none"/>
          <w:lang w:val="en-US"/>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1. Construction of gefitinib-resistant cell lines, establishment of miR-323a-3p over-expressing cell lines</w:t>
      </w:r>
      <w:r>
        <w:rPr>
          <w:rFonts w:ascii="Times New Roman" w:hAnsi="Times New Roman"/>
          <w:color w:val="000000"/>
          <w:sz w:val="24"/>
          <w:highlight w:val="none"/>
        </w:rPr>
        <w:t>,</w:t>
      </w:r>
      <w:r>
        <w:rPr>
          <w:rFonts w:hint="eastAsia" w:ascii="Times New Roman" w:hAnsi="Times New Roman"/>
          <w:color w:val="000000"/>
          <w:sz w:val="24"/>
          <w:highlight w:val="none"/>
        </w:rPr>
        <w:t xml:space="preserve"> and detection </w:t>
      </w:r>
      <w:r>
        <w:rPr>
          <w:rFonts w:hint="eastAsia" w:ascii="Times New Roman" w:hAnsi="Times New Roman"/>
          <w:color w:val="000000"/>
          <w:sz w:val="24"/>
          <w:highlight w:val="none"/>
          <w:lang w:val="en-US" w:eastAsia="zh-CN"/>
        </w:rPr>
        <w:t>the</w:t>
      </w:r>
      <w:r>
        <w:rPr>
          <w:rFonts w:hint="eastAsia" w:ascii="Times New Roman" w:hAnsi="Times New Roman"/>
          <w:color w:val="000000"/>
          <w:sz w:val="24"/>
          <w:highlight w:val="none"/>
        </w:rPr>
        <w:t xml:space="preserve"> RTK phosphorylation</w:t>
      </w:r>
      <w:r>
        <w:rPr>
          <w:rFonts w:hint="eastAsia" w:ascii="Times New Roman" w:hAnsi="Times New Roman"/>
          <w:color w:val="000000"/>
          <w:sz w:val="24"/>
          <w:highlight w:val="none"/>
          <w:lang w:val="en-US" w:eastAsia="zh-CN"/>
        </w:rPr>
        <w:t xml:space="preserve"> level in </w:t>
      </w:r>
      <w:r>
        <w:rPr>
          <w:rFonts w:hint="eastAsia" w:ascii="Times New Roman" w:hAnsi="Times New Roman"/>
          <w:color w:val="000000"/>
          <w:sz w:val="24"/>
          <w:highlight w:val="none"/>
        </w:rPr>
        <w:t>drug-resistant cell line</w:t>
      </w:r>
      <w:r>
        <w:rPr>
          <w:rFonts w:hint="eastAsia" w:ascii="Times New Roman" w:hAnsi="Times New Roman"/>
          <w:color w:val="000000"/>
          <w:sz w:val="24"/>
          <w:highlight w:val="none"/>
          <w:lang w:val="en-US" w:eastAsia="zh-CN"/>
        </w:rPr>
        <w:t>s</w:t>
      </w:r>
      <w:r>
        <w:rPr>
          <w:rFonts w:hint="eastAsia" w:ascii="Times New Roman" w:hAnsi="Times New Roman"/>
          <w:color w:val="000000"/>
          <w:sz w:val="24"/>
          <w:highlight w:val="none"/>
        </w:rPr>
        <w:t xml:space="preserve">. A. Raw data of RTK phosphorylation </w:t>
      </w:r>
      <w:r>
        <w:rPr>
          <w:rFonts w:hint="eastAsia" w:ascii="Times New Roman" w:hAnsi="Times New Roman"/>
          <w:color w:val="000000"/>
          <w:sz w:val="24"/>
          <w:highlight w:val="none"/>
          <w:lang w:val="en-US" w:eastAsia="zh-CN"/>
        </w:rPr>
        <w:t xml:space="preserve">level </w:t>
      </w:r>
      <w:r>
        <w:rPr>
          <w:rFonts w:hint="eastAsia" w:ascii="Times New Roman" w:hAnsi="Times New Roman"/>
          <w:color w:val="000000"/>
          <w:sz w:val="24"/>
          <w:highlight w:val="none"/>
        </w:rPr>
        <w:t xml:space="preserve">in HCT116, LoVo, </w:t>
      </w:r>
      <w:r>
        <w:rPr>
          <w:rFonts w:hint="eastAsia" w:ascii="Times New Roman" w:hAnsi="Times New Roman"/>
          <w:color w:val="000000"/>
          <w:sz w:val="24"/>
          <w:highlight w:val="none"/>
          <w:lang w:val="en-US" w:eastAsia="zh-CN"/>
        </w:rPr>
        <w:t xml:space="preserve">and </w:t>
      </w:r>
      <w:r>
        <w:rPr>
          <w:rFonts w:hint="eastAsia" w:ascii="Times New Roman" w:hAnsi="Times New Roman"/>
          <w:color w:val="000000"/>
          <w:sz w:val="24"/>
          <w:highlight w:val="none"/>
        </w:rPr>
        <w:t xml:space="preserve">SW620. B. </w:t>
      </w:r>
      <w:r>
        <w:rPr>
          <w:rFonts w:hint="eastAsia" w:ascii="Times New Roman" w:hAnsi="Times New Roman"/>
          <w:color w:val="000000"/>
          <w:sz w:val="24"/>
          <w:highlight w:val="none"/>
          <w:lang w:val="en-US" w:eastAsia="zh-CN"/>
        </w:rPr>
        <w:t xml:space="preserve">There is no </w:t>
      </w:r>
      <w:r>
        <w:rPr>
          <w:rFonts w:hint="eastAsia" w:ascii="Times New Roman" w:hAnsi="Times New Roman"/>
          <w:color w:val="000000"/>
          <w:sz w:val="24"/>
          <w:highlight w:val="none"/>
        </w:rPr>
        <w:t>mutation in EGFR T790M</w:t>
      </w:r>
      <w:r>
        <w:rPr>
          <w:rFonts w:hint="eastAsia" w:ascii="Times New Roman" w:hAnsi="Times New Roman"/>
          <w:color w:val="000000"/>
          <w:sz w:val="24"/>
          <w:highlight w:val="none"/>
          <w:lang w:val="en-US" w:eastAsia="zh-CN"/>
        </w:rPr>
        <w:t xml:space="preserve"> in </w:t>
      </w:r>
      <w:r>
        <w:rPr>
          <w:rFonts w:hint="eastAsia" w:ascii="Times New Roman" w:hAnsi="Times New Roman"/>
          <w:color w:val="000000"/>
          <w:sz w:val="24"/>
          <w:highlight w:val="none"/>
        </w:rPr>
        <w:t>MiR-323a-3p combined with gefitinib</w:t>
      </w:r>
      <w:r>
        <w:rPr>
          <w:rFonts w:hint="eastAsia" w:ascii="Times New Roman" w:hAnsi="Times New Roman"/>
          <w:color w:val="000000"/>
          <w:sz w:val="24"/>
          <w:highlight w:val="none"/>
          <w:lang w:val="en-US" w:eastAsia="zh-CN"/>
        </w:rPr>
        <w:t xml:space="preserve"> treatment</w:t>
      </w:r>
      <w:r>
        <w:rPr>
          <w:rFonts w:hint="eastAsia" w:ascii="Times New Roman" w:hAnsi="Times New Roman"/>
          <w:color w:val="000000"/>
          <w:sz w:val="24"/>
          <w:highlight w:val="none"/>
        </w:rPr>
        <w:t xml:space="preserve"> subcutaneous tumor tissues. C. There was no EGFR T790M mutation in gefitinib-resistant CRC cell lines, and HCC827 was </w:t>
      </w:r>
      <w:r>
        <w:rPr>
          <w:rFonts w:hint="eastAsia" w:ascii="Times New Roman" w:hAnsi="Times New Roman"/>
          <w:color w:val="000000"/>
          <w:sz w:val="24"/>
          <w:highlight w:val="none"/>
          <w:lang w:val="en-US" w:eastAsia="zh-CN"/>
        </w:rPr>
        <w:t>a</w:t>
      </w:r>
      <w:r>
        <w:rPr>
          <w:rFonts w:hint="eastAsia" w:ascii="Times New Roman" w:hAnsi="Times New Roman"/>
          <w:color w:val="000000"/>
          <w:sz w:val="24"/>
          <w:highlight w:val="none"/>
        </w:rPr>
        <w:t xml:space="preserve"> positive control. D. Mi</w:t>
      </w:r>
      <w:r>
        <w:rPr>
          <w:rFonts w:hint="eastAsia" w:ascii="Times New Roman" w:hAnsi="Times New Roman"/>
          <w:color w:val="000000"/>
          <w:sz w:val="24"/>
          <w:highlight w:val="none"/>
          <w:lang w:val="en-US" w:eastAsia="zh-CN"/>
        </w:rPr>
        <w:t>R</w:t>
      </w:r>
      <w:r>
        <w:rPr>
          <w:rFonts w:hint="eastAsia" w:ascii="Times New Roman" w:hAnsi="Times New Roman"/>
          <w:color w:val="000000"/>
          <w:sz w:val="24"/>
          <w:highlight w:val="none"/>
        </w:rPr>
        <w:t xml:space="preserve">-323a-3p inhibited the </w:t>
      </w:r>
      <w:r>
        <w:rPr>
          <w:rFonts w:hint="eastAsia" w:ascii="Times New Roman" w:hAnsi="Times New Roman"/>
          <w:color w:val="000000"/>
          <w:sz w:val="24"/>
          <w:highlight w:val="none"/>
          <w:lang w:val="en-US" w:eastAsia="zh-CN"/>
        </w:rPr>
        <w:t>protein level</w:t>
      </w:r>
      <w:r>
        <w:rPr>
          <w:rFonts w:hint="eastAsia" w:ascii="Times New Roman" w:hAnsi="Times New Roman"/>
          <w:color w:val="000000"/>
          <w:sz w:val="24"/>
          <w:highlight w:val="none"/>
        </w:rPr>
        <w:t xml:space="preserve"> of EGFR/ErbB3 in </w:t>
      </w:r>
      <w:r>
        <w:rPr>
          <w:rFonts w:ascii="Times New Roman" w:hAnsi="Times New Roman"/>
          <w:color w:val="000000"/>
          <w:sz w:val="24"/>
          <w:highlight w:val="none"/>
        </w:rPr>
        <w:t xml:space="preserve">the </w:t>
      </w:r>
      <w:r>
        <w:rPr>
          <w:rFonts w:hint="eastAsia" w:ascii="Times New Roman" w:hAnsi="Times New Roman"/>
          <w:color w:val="000000"/>
          <w:sz w:val="24"/>
          <w:highlight w:val="none"/>
        </w:rPr>
        <w:t>HCT-8 cell line. E. Construction of four stable over-expression 323 cell lines (HCT116, HCT-8, LoVo</w:t>
      </w:r>
      <w:r>
        <w:rPr>
          <w:rFonts w:ascii="Times New Roman" w:hAnsi="Times New Roman"/>
          <w:color w:val="000000"/>
          <w:sz w:val="24"/>
          <w:highlight w:val="none"/>
        </w:rPr>
        <w:t>,</w:t>
      </w:r>
      <w:r>
        <w:rPr>
          <w:rFonts w:hint="eastAsia" w:ascii="Times New Roman" w:hAnsi="Times New Roman"/>
          <w:color w:val="000000"/>
          <w:sz w:val="24"/>
          <w:highlight w:val="none"/>
        </w:rPr>
        <w:t xml:space="preserve"> and SW480).</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Levels of miR-323a-3p following miRNA overexpression were evaluated in</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HCT116, HCT-8, LoVo, and SW480</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monoclonal</w:t>
      </w:r>
      <w:r>
        <w:rPr>
          <w:rFonts w:hint="eastAsia" w:ascii="Times New Roman" w:hAnsi="Times New Roman"/>
          <w:color w:val="000000"/>
          <w:sz w:val="24"/>
          <w:highlight w:val="none"/>
          <w:lang w:val="en-US" w:eastAsia="zh-CN"/>
        </w:rPr>
        <w:t xml:space="preserve"> cells. F. </w:t>
      </w:r>
      <w:r>
        <w:rPr>
          <w:rFonts w:hint="eastAsia" w:ascii="Times New Roman" w:hAnsi="Times New Roman"/>
          <w:color w:val="000000"/>
          <w:sz w:val="24"/>
          <w:highlight w:val="none"/>
        </w:rPr>
        <w:t>The number of patients for each subset</w:t>
      </w:r>
      <w:r>
        <w:rPr>
          <w:rFonts w:hint="eastAsia" w:ascii="Times New Roman" w:hAnsi="Times New Roman"/>
          <w:color w:val="000000"/>
          <w:sz w:val="24"/>
          <w:highlight w:val="none"/>
          <w:lang w:val="en-US" w:eastAsia="zh-CN"/>
        </w:rPr>
        <w:t xml:space="preserve"> in survival analysis </w:t>
      </w:r>
      <w:r>
        <w:rPr>
          <w:rFonts w:ascii="Times New Roman" w:hAnsi="Times New Roman"/>
          <w:bCs/>
          <w:color w:val="000000"/>
          <w:sz w:val="24"/>
          <w:highlight w:val="none"/>
        </w:rPr>
        <w:t>(TCGA datasets)</w:t>
      </w:r>
      <w:r>
        <w:rPr>
          <w:rFonts w:hint="eastAsia" w:ascii="Times New Roman" w:hAnsi="Times New Roman"/>
          <w:color w:val="000000"/>
          <w:sz w:val="24"/>
          <w:highlight w:val="none"/>
          <w:lang w:val="en-US" w:eastAsia="zh-CN"/>
        </w:rPr>
        <w:t>.</w:t>
      </w:r>
    </w:p>
    <w:p>
      <w:pPr>
        <w:spacing w:line="480" w:lineRule="auto"/>
        <w:rPr>
          <w:rFonts w:hint="eastAsia" w:ascii="Times New Roman" w:hAnsi="Times New Roman"/>
          <w:color w:val="000000"/>
          <w:sz w:val="24"/>
          <w:highlight w:val="none"/>
        </w:rPr>
      </w:pPr>
    </w:p>
    <w:p>
      <w:pPr>
        <w:spacing w:line="480" w:lineRule="auto"/>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2</w:t>
      </w:r>
    </w:p>
    <w:p>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4930775" cy="4831080"/>
            <wp:effectExtent l="0" t="0" r="3175" b="7620"/>
            <wp:docPr id="7" name="图片 7" descr="s 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 figure2"/>
                    <pic:cNvPicPr>
                      <a:picLocks noChangeAspect="1"/>
                    </pic:cNvPicPr>
                  </pic:nvPicPr>
                  <pic:blipFill>
                    <a:blip r:embed="rId5"/>
                    <a:stretch>
                      <a:fillRect/>
                    </a:stretch>
                  </pic:blipFill>
                  <pic:spPr>
                    <a:xfrm>
                      <a:off x="0" y="0"/>
                      <a:ext cx="4930775" cy="4831080"/>
                    </a:xfrm>
                    <a:prstGeom prst="rect">
                      <a:avLst/>
                    </a:prstGeom>
                  </pic:spPr>
                </pic:pic>
              </a:graphicData>
            </a:graphic>
          </wp:inline>
        </w:drawing>
      </w:r>
    </w:p>
    <w:p>
      <w:pPr>
        <w:spacing w:line="480" w:lineRule="auto"/>
        <w:rPr>
          <w:rFonts w:hint="eastAsia" w:ascii="Times New Roman" w:hAnsi="Times New Roman"/>
          <w:color w:val="000000"/>
          <w:sz w:val="24"/>
          <w:highlight w:val="none"/>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 xml:space="preserve">2. MiR-323a-3p inhibits tumor </w:t>
      </w:r>
      <w:r>
        <w:rPr>
          <w:rFonts w:hint="eastAsia" w:ascii="Times New Roman" w:hAnsi="Times New Roman"/>
          <w:color w:val="000000"/>
          <w:sz w:val="24"/>
          <w:highlight w:val="none"/>
          <w:lang w:val="en-US" w:eastAsia="zh-CN"/>
        </w:rPr>
        <w:t>growth</w:t>
      </w:r>
      <w:r>
        <w:rPr>
          <w:rFonts w:hint="eastAsia" w:ascii="Times New Roman" w:hAnsi="Times New Roman"/>
          <w:color w:val="000000"/>
          <w:sz w:val="24"/>
          <w:highlight w:val="none"/>
        </w:rPr>
        <w:t xml:space="preserve"> by targeting EGFR/ERBB3. A. MiR-323a-3p inhibited RNA levels of EGFR/ ErbB3 in HCT116 and HCT-8. B. </w:t>
      </w:r>
      <w:r>
        <w:rPr>
          <w:rFonts w:hint="eastAsia" w:ascii="Times New Roman" w:hAnsi="Times New Roman"/>
          <w:color w:val="000000"/>
          <w:sz w:val="24"/>
          <w:highlight w:val="none"/>
          <w:lang w:val="en-US" w:eastAsia="zh-CN"/>
        </w:rPr>
        <w:t>M</w:t>
      </w:r>
      <w:r>
        <w:rPr>
          <w:rFonts w:hint="eastAsia" w:ascii="Times New Roman" w:hAnsi="Times New Roman"/>
          <w:color w:val="000000"/>
          <w:sz w:val="24"/>
          <w:highlight w:val="none"/>
        </w:rPr>
        <w:t xml:space="preserve">iR-323a-3p inhibited the proliferation </w:t>
      </w:r>
      <w:r>
        <w:rPr>
          <w:rFonts w:hint="eastAsia" w:ascii="Times New Roman" w:hAnsi="Times New Roman"/>
          <w:color w:val="000000"/>
          <w:sz w:val="24"/>
          <w:highlight w:val="none"/>
          <w:lang w:val="en-US" w:eastAsia="zh-CN"/>
        </w:rPr>
        <w:t>in</w:t>
      </w:r>
      <w:r>
        <w:rPr>
          <w:rFonts w:hint="eastAsia" w:ascii="Times New Roman" w:hAnsi="Times New Roman"/>
          <w:color w:val="000000"/>
          <w:sz w:val="24"/>
          <w:highlight w:val="none"/>
        </w:rPr>
        <w:t xml:space="preserve"> SW480 and HCT-8 cells. C. MiR-323a-3p inhibited the migration </w:t>
      </w:r>
      <w:r>
        <w:rPr>
          <w:rFonts w:hint="eastAsia" w:ascii="Times New Roman" w:hAnsi="Times New Roman"/>
          <w:color w:val="000000"/>
          <w:sz w:val="24"/>
          <w:highlight w:val="none"/>
          <w:lang w:val="en-US" w:eastAsia="zh-CN"/>
        </w:rPr>
        <w:t>in</w:t>
      </w:r>
      <w:r>
        <w:rPr>
          <w:rFonts w:hint="eastAsia" w:ascii="Times New Roman" w:hAnsi="Times New Roman"/>
          <w:color w:val="000000"/>
          <w:sz w:val="24"/>
          <w:highlight w:val="none"/>
        </w:rPr>
        <w:t xml:space="preserve"> HCT116, HCT-8, LOVO</w:t>
      </w:r>
      <w:r>
        <w:rPr>
          <w:rFonts w:ascii="Times New Roman" w:hAnsi="Times New Roman"/>
          <w:color w:val="000000"/>
          <w:sz w:val="24"/>
          <w:highlight w:val="none"/>
        </w:rPr>
        <w:t>,</w:t>
      </w:r>
      <w:r>
        <w:rPr>
          <w:rFonts w:hint="eastAsia" w:ascii="Times New Roman" w:hAnsi="Times New Roman"/>
          <w:color w:val="000000"/>
          <w:sz w:val="24"/>
          <w:highlight w:val="none"/>
        </w:rPr>
        <w:t xml:space="preserve"> and SW480 cell lines. D. MiR-323a-3p inhibited the invasion </w:t>
      </w:r>
      <w:r>
        <w:rPr>
          <w:rFonts w:hint="eastAsia" w:ascii="Times New Roman" w:hAnsi="Times New Roman"/>
          <w:color w:val="000000"/>
          <w:sz w:val="24"/>
          <w:highlight w:val="none"/>
          <w:lang w:val="en-US" w:eastAsia="zh-CN"/>
        </w:rPr>
        <w:t>in</w:t>
      </w:r>
      <w:r>
        <w:rPr>
          <w:rFonts w:hint="eastAsia" w:ascii="Times New Roman" w:hAnsi="Times New Roman"/>
          <w:color w:val="000000"/>
          <w:sz w:val="24"/>
          <w:highlight w:val="none"/>
        </w:rPr>
        <w:t xml:space="preserve"> HCT116, HCT-8, LOVO</w:t>
      </w:r>
      <w:r>
        <w:rPr>
          <w:rFonts w:ascii="Times New Roman" w:hAnsi="Times New Roman"/>
          <w:color w:val="000000"/>
          <w:sz w:val="24"/>
          <w:highlight w:val="none"/>
        </w:rPr>
        <w:t>,</w:t>
      </w:r>
      <w:r>
        <w:rPr>
          <w:rFonts w:hint="eastAsia" w:ascii="Times New Roman" w:hAnsi="Times New Roman"/>
          <w:color w:val="000000"/>
          <w:sz w:val="24"/>
          <w:highlight w:val="none"/>
        </w:rPr>
        <w:t xml:space="preserve"> and SW480 cell lines. E. MiR-323a-3p inhibited the growth </w:t>
      </w:r>
      <w:r>
        <w:rPr>
          <w:rFonts w:hint="eastAsia" w:ascii="Times New Roman" w:hAnsi="Times New Roman"/>
          <w:color w:val="000000"/>
          <w:sz w:val="24"/>
          <w:highlight w:val="none"/>
          <w:lang w:val="en-US" w:eastAsia="zh-CN"/>
        </w:rPr>
        <w:t xml:space="preserve">in </w:t>
      </w:r>
      <w:r>
        <w:rPr>
          <w:rFonts w:hint="eastAsia" w:ascii="Times New Roman" w:hAnsi="Times New Roman"/>
          <w:color w:val="000000"/>
          <w:sz w:val="24"/>
          <w:highlight w:val="none"/>
        </w:rPr>
        <w:t>HCT116</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subcutaneous tumor</w:t>
      </w:r>
      <w:r>
        <w:rPr>
          <w:rFonts w:hint="eastAsia" w:ascii="Times New Roman" w:hAnsi="Times New Roman"/>
          <w:color w:val="000000"/>
          <w:sz w:val="24"/>
          <w:highlight w:val="none"/>
          <w:lang w:val="en-US" w:eastAsia="zh-CN"/>
        </w:rPr>
        <w:t xml:space="preserve"> model</w:t>
      </w:r>
      <w:r>
        <w:rPr>
          <w:rFonts w:hint="eastAsia" w:ascii="Times New Roman" w:hAnsi="Times New Roman"/>
          <w:color w:val="000000"/>
          <w:sz w:val="24"/>
          <w:highlight w:val="none"/>
        </w:rPr>
        <w:t>.</w:t>
      </w:r>
    </w:p>
    <w:p>
      <w:pPr>
        <w:rPr>
          <w:rFonts w:hint="eastAsia" w:eastAsiaTheme="minorEastAsia"/>
          <w:highlight w:val="none"/>
          <w:lang w:eastAsia="zh-CN"/>
        </w:rPr>
      </w:pPr>
    </w:p>
    <w:p>
      <w:pPr>
        <w:rPr>
          <w:rFonts w:hint="eastAsia" w:eastAsiaTheme="minorEastAsia"/>
          <w:highlight w:val="none"/>
          <w:lang w:eastAsia="zh-CN"/>
        </w:rPr>
      </w:pPr>
    </w:p>
    <w:p>
      <w:pPr>
        <w:rPr>
          <w:rFonts w:hint="eastAsia" w:eastAsiaTheme="minorEastAsia"/>
          <w:highlight w:val="none"/>
          <w:lang w:eastAsia="zh-CN"/>
        </w:rPr>
      </w:pPr>
    </w:p>
    <w:p>
      <w:pPr>
        <w:rPr>
          <w:rFonts w:hint="eastAsia" w:eastAsiaTheme="minorEastAsia"/>
          <w:highlight w:val="none"/>
          <w:lang w:eastAsia="zh-CN"/>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3</w:t>
      </w:r>
    </w:p>
    <w:p>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5273040" cy="4471670"/>
            <wp:effectExtent l="0" t="0" r="3810" b="5080"/>
            <wp:docPr id="8" name="图片 8" descr="s fig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 figure3"/>
                    <pic:cNvPicPr>
                      <a:picLocks noChangeAspect="1"/>
                    </pic:cNvPicPr>
                  </pic:nvPicPr>
                  <pic:blipFill>
                    <a:blip r:embed="rId6"/>
                    <a:stretch>
                      <a:fillRect/>
                    </a:stretch>
                  </pic:blipFill>
                  <pic:spPr>
                    <a:xfrm>
                      <a:off x="0" y="0"/>
                      <a:ext cx="5273040" cy="4471670"/>
                    </a:xfrm>
                    <a:prstGeom prst="rect">
                      <a:avLst/>
                    </a:prstGeom>
                  </pic:spPr>
                </pic:pic>
              </a:graphicData>
            </a:graphic>
          </wp:inline>
        </w:drawing>
      </w:r>
    </w:p>
    <w:p>
      <w:pPr>
        <w:spacing w:line="480" w:lineRule="auto"/>
        <w:rPr>
          <w:rFonts w:hint="eastAsia" w:eastAsiaTheme="minorEastAsia"/>
          <w:highlight w:val="none"/>
          <w:lang w:val="en-US" w:eastAsia="zh-CN"/>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3. MiR-323a-3p promotes apoptosis by inhibiting activation of EGFR/ ErbB3-PI3K /Akt. A. MiR-323a-3p inhibits cell proliferation in HCT116, HCT-8, LOVO, HT-29, SW620</w:t>
      </w:r>
      <w:r>
        <w:rPr>
          <w:rFonts w:ascii="Times New Roman" w:hAnsi="Times New Roman"/>
          <w:color w:val="000000"/>
          <w:sz w:val="24"/>
          <w:highlight w:val="none"/>
        </w:rPr>
        <w:t>,</w:t>
      </w:r>
      <w:r>
        <w:rPr>
          <w:rFonts w:hint="eastAsia" w:ascii="Times New Roman" w:hAnsi="Times New Roman"/>
          <w:color w:val="000000"/>
          <w:sz w:val="24"/>
          <w:highlight w:val="none"/>
        </w:rPr>
        <w:t xml:space="preserve"> and SW480. B. MiR-323a-3p promoted the rate of</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apoptosis</w:t>
      </w:r>
      <w:r>
        <w:rPr>
          <w:rFonts w:hint="eastAsia" w:ascii="Times New Roman" w:hAnsi="Times New Roman"/>
          <w:color w:val="000000"/>
          <w:sz w:val="24"/>
          <w:highlight w:val="none"/>
          <w:lang w:val="en-US" w:eastAsia="zh-CN"/>
        </w:rPr>
        <w:t xml:space="preserve"> in </w:t>
      </w:r>
      <w:r>
        <w:rPr>
          <w:rFonts w:hint="eastAsia" w:ascii="Times New Roman" w:hAnsi="Times New Roman"/>
          <w:color w:val="000000"/>
          <w:sz w:val="24"/>
          <w:highlight w:val="none"/>
        </w:rPr>
        <w:t xml:space="preserve">HCT-8 cell line. C. MiR-323a-3p promotes apoptosis marker </w:t>
      </w:r>
      <w:r>
        <w:rPr>
          <w:rFonts w:hint="eastAsia" w:ascii="Times New Roman" w:hAnsi="Times New Roman"/>
          <w:color w:val="000000"/>
          <w:sz w:val="24"/>
          <w:highlight w:val="none"/>
          <w:lang w:val="en-US" w:eastAsia="zh-CN"/>
        </w:rPr>
        <w:t xml:space="preserve">activation </w:t>
      </w:r>
      <w:r>
        <w:rPr>
          <w:rFonts w:hint="eastAsia" w:ascii="Times New Roman" w:hAnsi="Times New Roman"/>
          <w:color w:val="000000"/>
          <w:sz w:val="24"/>
          <w:highlight w:val="none"/>
        </w:rPr>
        <w:t>in HCT-8 cell line. D. Phosphorylated EGFR, ErbB3, PI3K and Akt proteins in HT-29 GR cells did not change after gefitinib administration, but they were significantly reduced after the addition of agomir (n=3 per group)</w:t>
      </w:r>
      <w:r>
        <w:rPr>
          <w:rFonts w:hint="eastAsia" w:ascii="Times New Roman" w:hAnsi="Times New Roman"/>
          <w:color w:val="000000"/>
          <w:sz w:val="24"/>
          <w:highlight w:val="none"/>
          <w:lang w:val="en-US" w:eastAsia="zh-CN"/>
        </w:rPr>
        <w:t>.</w:t>
      </w:r>
    </w:p>
    <w:p>
      <w:pPr>
        <w:rPr>
          <w:rFonts w:hint="eastAsia" w:eastAsiaTheme="minorEastAsia"/>
          <w:highlight w:val="none"/>
          <w:lang w:eastAsia="zh-CN"/>
        </w:rPr>
      </w:pPr>
    </w:p>
    <w:p>
      <w:pPr>
        <w:rPr>
          <w:rFonts w:hint="eastAsia" w:eastAsiaTheme="minorEastAsia"/>
          <w:highlight w:val="none"/>
          <w:lang w:eastAsia="zh-CN"/>
        </w:rPr>
      </w:pPr>
    </w:p>
    <w:p>
      <w:pPr>
        <w:rPr>
          <w:rFonts w:hint="eastAsia" w:eastAsiaTheme="minorEastAsia"/>
          <w:highlight w:val="none"/>
          <w:lang w:eastAsia="zh-CN"/>
        </w:rPr>
      </w:pPr>
      <w:r>
        <w:rPr>
          <w:rFonts w:hint="eastAsia" w:ascii="Times New Roman" w:hAnsi="Times New Roman"/>
          <w:color w:val="000000"/>
          <w:sz w:val="24"/>
          <w:highlight w:val="none"/>
        </w:rPr>
        <w:t>Supp</w:t>
      </w:r>
      <w:r>
        <w:rPr>
          <w:rFonts w:hint="eastAsia" w:ascii="Times New Roman" w:hAnsi="Times New Roman"/>
          <w:color w:val="000000"/>
          <w:sz w:val="24"/>
          <w:highlight w:val="none"/>
          <w:lang w:val="en-US" w:eastAsia="zh-CN"/>
        </w:rPr>
        <w:t>l</w:t>
      </w:r>
      <w:r>
        <w:rPr>
          <w:rFonts w:hint="eastAsia" w:ascii="Times New Roman" w:hAnsi="Times New Roman"/>
          <w:color w:val="000000"/>
          <w:sz w:val="24"/>
          <w:highlight w:val="none"/>
        </w:rPr>
        <w:t>ementary Figure</w:t>
      </w:r>
      <w:r>
        <w:rPr>
          <w:rFonts w:hint="eastAsia" w:ascii="Times New Roman" w:hAnsi="Times New Roman"/>
          <w:color w:val="000000"/>
          <w:sz w:val="24"/>
          <w:highlight w:val="none"/>
          <w:lang w:val="en-US" w:eastAsia="zh-CN"/>
        </w:rPr>
        <w:t xml:space="preserve"> 4</w:t>
      </w:r>
    </w:p>
    <w:p>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4538980" cy="5727700"/>
            <wp:effectExtent l="0" t="0" r="1270" b="0"/>
            <wp:docPr id="9" name="图片 9" descr="s figur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 figure4"/>
                    <pic:cNvPicPr>
                      <a:picLocks noChangeAspect="1"/>
                    </pic:cNvPicPr>
                  </pic:nvPicPr>
                  <pic:blipFill>
                    <a:blip r:embed="rId7"/>
                    <a:stretch>
                      <a:fillRect/>
                    </a:stretch>
                  </pic:blipFill>
                  <pic:spPr>
                    <a:xfrm>
                      <a:off x="0" y="0"/>
                      <a:ext cx="4538980" cy="5727700"/>
                    </a:xfrm>
                    <a:prstGeom prst="rect">
                      <a:avLst/>
                    </a:prstGeom>
                  </pic:spPr>
                </pic:pic>
              </a:graphicData>
            </a:graphic>
          </wp:inline>
        </w:drawing>
      </w:r>
    </w:p>
    <w:p>
      <w:pPr>
        <w:spacing w:line="480" w:lineRule="auto"/>
        <w:rPr>
          <w:rFonts w:hint="eastAsia" w:ascii="Times New Roman" w:hAnsi="Times New Roman"/>
          <w:color w:val="000000"/>
          <w:sz w:val="24"/>
          <w:highlight w:val="none"/>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4. Rescue experiment of miR-323a-3p targeting EGFR/ErbB3. A. Phosphorylated protein expression levels of EGFR and ErbB3 in HCT116 and HCT-8 were significantly increased by NSC228155 (EGFR agonist).</w:t>
      </w:r>
      <w:r>
        <w:rPr>
          <w:rFonts w:hint="eastAsia" w:ascii="Times New Roman" w:hAnsi="Times New Roman"/>
          <w:color w:val="000000"/>
          <w:sz w:val="24"/>
          <w:highlight w:val="none"/>
          <w:lang w:val="en-US" w:eastAsia="zh-CN"/>
        </w:rPr>
        <w:t xml:space="preserve"> The pro-apoptotic effect of agomir was counteracted by NSC228155.</w:t>
      </w:r>
      <w:r>
        <w:rPr>
          <w:rFonts w:hint="eastAsia" w:ascii="Times New Roman" w:hAnsi="Times New Roman"/>
          <w:color w:val="000000"/>
          <w:sz w:val="24"/>
          <w:highlight w:val="none"/>
        </w:rPr>
        <w:t xml:space="preserve"> B. Hoechst 33258 fluorescent dye in HCT116 and HCT-8 were decreased by NSC228155. C. Analysis of the Hoechst 33258 fluorescent dye apoptosis rate. D. Caspase3/7 activity in HCT116 and HCT-8 were decreased by NSC228155.</w:t>
      </w:r>
    </w:p>
    <w:p>
      <w:pPr>
        <w:spacing w:line="480" w:lineRule="auto"/>
        <w:rPr>
          <w:rFonts w:hint="eastAsia" w:ascii="Times New Roman" w:hAnsi="Times New Roman"/>
          <w:color w:val="000000"/>
          <w:sz w:val="24"/>
          <w:highlight w:val="none"/>
        </w:rPr>
      </w:pPr>
    </w:p>
    <w:p>
      <w:pPr>
        <w:spacing w:line="480" w:lineRule="auto"/>
        <w:rPr>
          <w:rFonts w:hint="eastAsia" w:ascii="Times New Roman" w:hAnsi="Times New Roman" w:eastAsiaTheme="minorEastAsia"/>
          <w:color w:val="000000"/>
          <w:sz w:val="24"/>
          <w:highlight w:val="none"/>
          <w:lang w:eastAsia="zh-CN"/>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5</w:t>
      </w:r>
    </w:p>
    <w:p>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4108450" cy="5985510"/>
            <wp:effectExtent l="0" t="0" r="0" b="2540"/>
            <wp:docPr id="10" name="图片 10" descr="s figur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 figure5"/>
                    <pic:cNvPicPr>
                      <a:picLocks noChangeAspect="1"/>
                    </pic:cNvPicPr>
                  </pic:nvPicPr>
                  <pic:blipFill>
                    <a:blip r:embed="rId8"/>
                    <a:stretch>
                      <a:fillRect/>
                    </a:stretch>
                  </pic:blipFill>
                  <pic:spPr>
                    <a:xfrm>
                      <a:off x="0" y="0"/>
                      <a:ext cx="4108450" cy="5985510"/>
                    </a:xfrm>
                    <a:prstGeom prst="rect">
                      <a:avLst/>
                    </a:prstGeom>
                  </pic:spPr>
                </pic:pic>
              </a:graphicData>
            </a:graphic>
          </wp:inline>
        </w:drawing>
      </w:r>
    </w:p>
    <w:p>
      <w:pPr>
        <w:spacing w:line="480" w:lineRule="auto"/>
        <w:rPr>
          <w:rFonts w:hint="eastAsia" w:ascii="Times New Roman" w:hAnsi="Times New Roman"/>
          <w:color w:val="000000"/>
          <w:sz w:val="24"/>
          <w:highlight w:val="none"/>
        </w:rPr>
      </w:pPr>
      <w:r>
        <w:rPr>
          <w:rFonts w:hint="eastAsia" w:ascii="Times New Roman" w:hAnsi="Times New Roman"/>
          <w:color w:val="000000"/>
          <w:sz w:val="24"/>
          <w:highlight w:val="none"/>
        </w:rPr>
        <w:t>Supplementary Figure</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5. MiR-323a-3p and gefitinib synergistically inhibit tumor growth, and miR-323a-3p blocks acquired gefitinib resistance formation in a xenograft model. A. The volume of subcutaneous tumors decreased more significantly with the combination of gefitinib and agomir administration than with single administration. B.</w:t>
      </w:r>
      <w:r>
        <w:rPr>
          <w:rFonts w:hint="eastAsia" w:ascii="Times New Roman" w:hAnsi="Times New Roman"/>
          <w:color w:val="000000"/>
          <w:sz w:val="24"/>
          <w:highlight w:val="none"/>
          <w:lang w:val="en-US" w:eastAsia="zh-CN"/>
        </w:rPr>
        <w:t xml:space="preserve">The </w:t>
      </w:r>
      <w:r>
        <w:rPr>
          <w:rFonts w:hint="eastAsia" w:ascii="Times New Roman" w:hAnsi="Times New Roman" w:eastAsia="宋体" w:cs="Times New Roman"/>
          <w:color w:val="000000"/>
          <w:sz w:val="24"/>
          <w:highlight w:val="none"/>
        </w:rPr>
        <w:t xml:space="preserve">miR-323a-3p </w:t>
      </w:r>
      <w:r>
        <w:rPr>
          <w:rFonts w:hint="eastAsia" w:ascii="Times New Roman" w:hAnsi="Times New Roman" w:eastAsia="宋体" w:cs="Times New Roman"/>
          <w:color w:val="000000"/>
          <w:sz w:val="24"/>
          <w:highlight w:val="none"/>
          <w:lang w:val="en-US" w:eastAsia="zh-CN"/>
        </w:rPr>
        <w:t xml:space="preserve">level </w:t>
      </w:r>
      <w:r>
        <w:rPr>
          <w:rFonts w:hint="eastAsia" w:ascii="Times New Roman" w:hAnsi="Times New Roman" w:eastAsia="宋体" w:cs="Times New Roman"/>
          <w:color w:val="000000"/>
          <w:sz w:val="24"/>
          <w:highlight w:val="none"/>
        </w:rPr>
        <w:t xml:space="preserve">was </w:t>
      </w:r>
      <w:r>
        <w:rPr>
          <w:rFonts w:hint="eastAsia" w:ascii="Times New Roman" w:hAnsi="Times New Roman" w:eastAsia="宋体" w:cs="Times New Roman"/>
          <w:color w:val="000000"/>
          <w:sz w:val="24"/>
          <w:highlight w:val="none"/>
          <w:lang w:val="en-US" w:eastAsia="zh-CN"/>
        </w:rPr>
        <w:t>up-regulated</w:t>
      </w:r>
      <w:r>
        <w:rPr>
          <w:rFonts w:hint="eastAsia" w:ascii="Times New Roman" w:hAnsi="Times New Roman" w:eastAsia="宋体" w:cs="Times New Roman"/>
          <w:color w:val="000000"/>
          <w:sz w:val="24"/>
          <w:highlight w:val="none"/>
        </w:rPr>
        <w:t xml:space="preserve"> in the miR-323a-3p agomiR treated</w:t>
      </w:r>
      <w:r>
        <w:rPr>
          <w:rFonts w:hint="eastAsia" w:ascii="Times New Roman" w:hAnsi="Times New Roman" w:eastAsia="宋体" w:cs="Times New Roman"/>
          <w:color w:val="000000"/>
          <w:sz w:val="24"/>
          <w:highlight w:val="none"/>
          <w:lang w:val="en-US" w:eastAsia="zh-CN"/>
        </w:rPr>
        <w:t xml:space="preserve"> </w:t>
      </w:r>
      <w:r>
        <w:rPr>
          <w:rFonts w:hint="eastAsia" w:ascii="Times New Roman" w:hAnsi="Times New Roman" w:eastAsia="宋体"/>
          <w:color w:val="000000"/>
          <w:sz w:val="24"/>
          <w:highlight w:val="none"/>
          <w:lang w:val="en-US" w:eastAsia="zh-CN"/>
        </w:rPr>
        <w:t>s</w:t>
      </w:r>
      <w:r>
        <w:rPr>
          <w:rFonts w:hint="eastAsia" w:ascii="Times New Roman" w:hAnsi="Times New Roman"/>
          <w:color w:val="000000"/>
          <w:sz w:val="24"/>
          <w:highlight w:val="none"/>
        </w:rPr>
        <w:t>ubcutaneous tumors</w:t>
      </w:r>
      <w:r>
        <w:rPr>
          <w:rFonts w:hint="eastAsia" w:ascii="Times New Roman" w:hAnsi="Times New Roman"/>
          <w:color w:val="000000"/>
          <w:sz w:val="24"/>
          <w:highlight w:val="none"/>
          <w:lang w:val="en-US" w:eastAsia="zh-CN"/>
        </w:rPr>
        <w:t xml:space="preserve"> model</w:t>
      </w:r>
      <w:r>
        <w:rPr>
          <w:rFonts w:hint="eastAsia" w:ascii="Times New Roman" w:hAnsi="Times New Roman" w:eastAsia="宋体" w:cs="Times New Roman"/>
          <w:color w:val="000000"/>
          <w:sz w:val="24"/>
          <w:highlight w:val="none"/>
          <w:lang w:val="en-US" w:eastAsia="zh-CN"/>
        </w:rPr>
        <w:t xml:space="preserve">. </w:t>
      </w:r>
      <w:r>
        <w:rPr>
          <w:rFonts w:hint="eastAsia" w:ascii="Times New Roman" w:hAnsi="Times New Roman"/>
          <w:color w:val="000000"/>
          <w:sz w:val="24"/>
          <w:highlight w:val="none"/>
        </w:rPr>
        <w:t>C. Subcutaneous tumors grew more slowly and survived longer with the combination of gefitinib and agomir than with single dosing of either agent. D. Construction of primary tumor cells. E. The IC50 of gefitinib in tumor progenitor cells in the xenograft model was much lower in the coadministered group than in the single agent-administered group.</w:t>
      </w:r>
    </w:p>
    <w:p>
      <w:pPr>
        <w:spacing w:line="480" w:lineRule="auto"/>
        <w:rPr>
          <w:rFonts w:hint="eastAsia" w:ascii="Times New Roman" w:hAnsi="Times New Roman"/>
          <w:color w:val="000000"/>
          <w:sz w:val="24"/>
          <w:highlight w:val="none"/>
        </w:rPr>
      </w:pPr>
    </w:p>
    <w:p>
      <w:pPr>
        <w:spacing w:line="480" w:lineRule="auto"/>
        <w:rPr>
          <w:rFonts w:hint="eastAsia" w:ascii="Times New Roman" w:hAnsi="Times New Roman"/>
          <w:color w:val="000000"/>
          <w:sz w:val="24"/>
          <w:highlight w:val="none"/>
        </w:rPr>
      </w:pPr>
    </w:p>
    <w:p>
      <w:pPr>
        <w:spacing w:line="480" w:lineRule="auto"/>
        <w:rPr>
          <w:rFonts w:hint="eastAsia" w:ascii="Times New Roman" w:hAnsi="Times New Roman"/>
          <w:b/>
          <w:bCs/>
          <w:color w:val="000000"/>
          <w:sz w:val="24"/>
          <w:highlight w:val="none"/>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6</w:t>
      </w:r>
    </w:p>
    <w:p>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5262880" cy="2928620"/>
            <wp:effectExtent l="0" t="0" r="0" b="5080"/>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9"/>
                    <a:stretch>
                      <a:fillRect/>
                    </a:stretch>
                  </pic:blipFill>
                  <pic:spPr>
                    <a:xfrm>
                      <a:off x="0" y="0"/>
                      <a:ext cx="5262880" cy="2928620"/>
                    </a:xfrm>
                    <a:prstGeom prst="rect">
                      <a:avLst/>
                    </a:prstGeom>
                  </pic:spPr>
                </pic:pic>
              </a:graphicData>
            </a:graphic>
          </wp:inline>
        </w:drawing>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6. The unedited western blot images, corresponding to the gel images in Figure 1D.</w:t>
      </w:r>
    </w:p>
    <w:p>
      <w:pPr>
        <w:rPr>
          <w:rFonts w:hint="eastAsia" w:ascii="Times New Roman" w:hAnsi="Times New Roman"/>
          <w:color w:val="000000"/>
          <w:sz w:val="24"/>
          <w:highlight w:val="none"/>
          <w:lang w:val="en-US" w:eastAsia="zh-CN"/>
        </w:rPr>
      </w:pPr>
    </w:p>
    <w:p>
      <w:pPr>
        <w:rPr>
          <w:rFonts w:hint="eastAsia" w:ascii="Times New Roman" w:hAnsi="Times New Roman"/>
          <w:color w:val="000000"/>
          <w:sz w:val="24"/>
          <w:highlight w:val="none"/>
          <w:lang w:val="en-US" w:eastAsia="zh-CN"/>
        </w:rPr>
      </w:pPr>
    </w:p>
    <w:p>
      <w:pPr>
        <w:rPr>
          <w:rFonts w:hint="eastAsia" w:ascii="Times New Roman" w:hAnsi="Times New Roman"/>
          <w:color w:val="000000"/>
          <w:sz w:val="24"/>
          <w:highlight w:val="none"/>
          <w:lang w:val="en-US" w:eastAsia="zh-CN"/>
        </w:rPr>
      </w:pPr>
    </w:p>
    <w:p>
      <w:pPr>
        <w:rPr>
          <w:rFonts w:hint="eastAsia" w:ascii="Times New Roman" w:hAnsi="Times New Roman"/>
          <w:b/>
          <w:bCs/>
          <w:color w:val="000000"/>
          <w:sz w:val="24"/>
          <w:highlight w:val="none"/>
          <w:lang w:val="en-US" w:eastAsia="zh-CN"/>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7</w:t>
      </w:r>
    </w:p>
    <w:p>
      <w:pPr>
        <w:rPr>
          <w:rFonts w:hint="default" w:ascii="Times New Roman" w:hAnsi="Times New Roman"/>
          <w:color w:val="000000"/>
          <w:sz w:val="24"/>
          <w:highlight w:val="none"/>
          <w:lang w:val="en-US" w:eastAsia="zh-CN"/>
        </w:rPr>
      </w:pPr>
      <w:r>
        <w:rPr>
          <w:rFonts w:hint="default" w:ascii="Times New Roman" w:hAnsi="Times New Roman"/>
          <w:color w:val="000000"/>
          <w:sz w:val="24"/>
          <w:highlight w:val="none"/>
          <w:lang w:val="en-US" w:eastAsia="zh-CN"/>
        </w:rPr>
        <w:drawing>
          <wp:inline distT="0" distB="0" distL="114300" distR="114300">
            <wp:extent cx="4368165" cy="6423025"/>
            <wp:effectExtent l="0" t="0" r="0" b="1587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0"/>
                    <a:srcRect t="11249"/>
                    <a:stretch>
                      <a:fillRect/>
                    </a:stretch>
                  </pic:blipFill>
                  <pic:spPr>
                    <a:xfrm>
                      <a:off x="0" y="0"/>
                      <a:ext cx="4368165" cy="6423025"/>
                    </a:xfrm>
                    <a:prstGeom prst="rect">
                      <a:avLst/>
                    </a:prstGeom>
                  </pic:spPr>
                </pic:pic>
              </a:graphicData>
            </a:graphic>
          </wp:inline>
        </w:drawing>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7. The unedited western blot images, corresponding to the gel images in Figure 2C.</w:t>
      </w: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b/>
          <w:bCs/>
          <w:color w:val="000000"/>
          <w:sz w:val="24"/>
          <w:highlight w:val="none"/>
          <w:lang w:val="en-US" w:eastAsia="zh-CN"/>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8 </w:t>
      </w:r>
    </w:p>
    <w:p>
      <w:pPr>
        <w:rPr>
          <w:rFonts w:hint="default" w:ascii="Times New Roman" w:hAnsi="Times New Roman"/>
          <w:color w:val="000000"/>
          <w:sz w:val="24"/>
          <w:highlight w:val="none"/>
          <w:lang w:val="en-US" w:eastAsia="zh-CN"/>
        </w:rPr>
      </w:pPr>
      <w:r>
        <w:rPr>
          <w:rFonts w:hint="default" w:ascii="Times New Roman" w:hAnsi="Times New Roman"/>
          <w:color w:val="000000"/>
          <w:sz w:val="24"/>
          <w:highlight w:val="none"/>
          <w:lang w:val="en-US" w:eastAsia="zh-CN"/>
        </w:rPr>
        <w:drawing>
          <wp:inline distT="0" distB="0" distL="114300" distR="114300">
            <wp:extent cx="6134100" cy="3329940"/>
            <wp:effectExtent l="0" t="0" r="0" b="317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1"/>
                    <a:stretch>
                      <a:fillRect/>
                    </a:stretch>
                  </pic:blipFill>
                  <pic:spPr>
                    <a:xfrm>
                      <a:off x="0" y="0"/>
                      <a:ext cx="6134100" cy="3329940"/>
                    </a:xfrm>
                    <a:prstGeom prst="rect">
                      <a:avLst/>
                    </a:prstGeom>
                  </pic:spPr>
                </pic:pic>
              </a:graphicData>
            </a:graphic>
          </wp:inline>
        </w:drawing>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8. The unedited western blot images, corresponding to the gel images in Figure 3B, 3C and 3G.</w:t>
      </w:r>
    </w:p>
    <w:p>
      <w:pPr>
        <w:rPr>
          <w:rFonts w:hint="default" w:ascii="Times New Roman" w:hAnsi="Times New Roman"/>
          <w:color w:val="000000"/>
          <w:sz w:val="24"/>
          <w:highlight w:val="none"/>
          <w:lang w:val="en-US" w:eastAsia="zh-CN"/>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eastAsia" w:ascii="Times New Roman" w:hAnsi="Times New Roman"/>
          <w:b/>
          <w:bCs/>
          <w:color w:val="000000"/>
          <w:sz w:val="24"/>
          <w:highlight w:val="none"/>
        </w:rPr>
      </w:pPr>
    </w:p>
    <w:p>
      <w:pPr>
        <w:rPr>
          <w:rFonts w:hint="default" w:ascii="Times New Roman" w:hAnsi="Times New Roman"/>
          <w:b/>
          <w:bCs/>
          <w:color w:val="000000"/>
          <w:sz w:val="24"/>
          <w:highlight w:val="none"/>
          <w:lang w:val="en-US" w:eastAsia="zh-CN"/>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9</w:t>
      </w: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bookmarkStart w:id="0" w:name="_GoBack"/>
      <w:r>
        <w:rPr>
          <w:rFonts w:hint="default" w:ascii="Times New Roman" w:hAnsi="Times New Roman"/>
          <w:color w:val="000000"/>
          <w:sz w:val="24"/>
          <w:highlight w:val="none"/>
          <w:lang w:val="en-US" w:eastAsia="zh-CN"/>
        </w:rPr>
        <w:drawing>
          <wp:inline distT="0" distB="0" distL="114300" distR="114300">
            <wp:extent cx="3696970" cy="6830060"/>
            <wp:effectExtent l="0" t="0" r="0" b="2540"/>
            <wp:docPr id="5" name="图片 5"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4"/>
                    <pic:cNvPicPr>
                      <a:picLocks noChangeAspect="1"/>
                    </pic:cNvPicPr>
                  </pic:nvPicPr>
                  <pic:blipFill>
                    <a:blip r:embed="rId12"/>
                    <a:stretch>
                      <a:fillRect/>
                    </a:stretch>
                  </pic:blipFill>
                  <pic:spPr>
                    <a:xfrm>
                      <a:off x="0" y="0"/>
                      <a:ext cx="3696970" cy="6830060"/>
                    </a:xfrm>
                    <a:prstGeom prst="rect">
                      <a:avLst/>
                    </a:prstGeom>
                  </pic:spPr>
                </pic:pic>
              </a:graphicData>
            </a:graphic>
          </wp:inline>
        </w:drawing>
      </w:r>
      <w:bookmarkEnd w:id="0"/>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9. The unedited western blot images, corresponding to the gel images in Figure 4D.</w:t>
      </w:r>
    </w:p>
    <w:p>
      <w:pPr>
        <w:rPr>
          <w:rFonts w:hint="eastAsia" w:ascii="Times New Roman" w:hAnsi="Times New Roman"/>
          <w:b/>
          <w:bCs/>
          <w:color w:val="000000"/>
          <w:sz w:val="24"/>
          <w:highlight w:val="none"/>
          <w:lang w:val="en-US" w:eastAsia="zh-CN"/>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10</w:t>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lang w:val="en-US" w:eastAsia="zh-CN"/>
        </w:rPr>
        <w:drawing>
          <wp:inline distT="0" distB="0" distL="114300" distR="114300">
            <wp:extent cx="4865370" cy="5174615"/>
            <wp:effectExtent l="0" t="0" r="0" b="6985"/>
            <wp:docPr id="6" name="图片 6"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5"/>
                    <pic:cNvPicPr>
                      <a:picLocks noChangeAspect="1"/>
                    </pic:cNvPicPr>
                  </pic:nvPicPr>
                  <pic:blipFill>
                    <a:blip r:embed="rId13"/>
                    <a:stretch>
                      <a:fillRect/>
                    </a:stretch>
                  </pic:blipFill>
                  <pic:spPr>
                    <a:xfrm>
                      <a:off x="0" y="0"/>
                      <a:ext cx="4865370" cy="5174615"/>
                    </a:xfrm>
                    <a:prstGeom prst="rect">
                      <a:avLst/>
                    </a:prstGeom>
                  </pic:spPr>
                </pic:pic>
              </a:graphicData>
            </a:graphic>
          </wp:inline>
        </w:drawing>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10. The unedited western blot images, corresponding to the gel images in Figure 5A.</w:t>
      </w: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default" w:ascii="Times New Roman" w:hAnsi="Times New Roman"/>
          <w:b/>
          <w:bCs/>
          <w:color w:val="000000"/>
          <w:sz w:val="24"/>
          <w:highlight w:val="none"/>
          <w:lang w:val="en-US" w:eastAsia="zh-CN"/>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11</w:t>
      </w:r>
    </w:p>
    <w:p>
      <w:pPr>
        <w:rPr>
          <w:rFonts w:hint="default" w:ascii="Times New Roman" w:hAnsi="Times New Roman"/>
          <w:color w:val="000000"/>
          <w:sz w:val="24"/>
          <w:highlight w:val="none"/>
          <w:lang w:val="en-US" w:eastAsia="zh-CN"/>
        </w:rPr>
      </w:pPr>
      <w:r>
        <w:rPr>
          <w:rFonts w:hint="default" w:ascii="Times New Roman" w:hAnsi="Times New Roman"/>
          <w:color w:val="000000"/>
          <w:sz w:val="24"/>
          <w:highlight w:val="none"/>
          <w:lang w:val="en-US" w:eastAsia="zh-CN"/>
        </w:rPr>
        <w:drawing>
          <wp:inline distT="0" distB="0" distL="114300" distR="114300">
            <wp:extent cx="5268595" cy="4846320"/>
            <wp:effectExtent l="0" t="0" r="0" b="11430"/>
            <wp:docPr id="11" name="图片 11"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6"/>
                    <pic:cNvPicPr>
                      <a:picLocks noChangeAspect="1"/>
                    </pic:cNvPicPr>
                  </pic:nvPicPr>
                  <pic:blipFill>
                    <a:blip r:embed="rId14"/>
                    <a:stretch>
                      <a:fillRect/>
                    </a:stretch>
                  </pic:blipFill>
                  <pic:spPr>
                    <a:xfrm>
                      <a:off x="0" y="0"/>
                      <a:ext cx="5268595" cy="4846320"/>
                    </a:xfrm>
                    <a:prstGeom prst="rect">
                      <a:avLst/>
                    </a:prstGeom>
                  </pic:spPr>
                </pic:pic>
              </a:graphicData>
            </a:graphic>
          </wp:inline>
        </w:drawing>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11. The unedited western blot images, corresponding to the gel images in Figure 5B.</w:t>
      </w: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default" w:ascii="Times New Roman" w:hAnsi="Times New Roman"/>
          <w:color w:val="000000"/>
          <w:sz w:val="24"/>
          <w:highlight w:val="none"/>
          <w:lang w:val="en-US" w:eastAsia="zh-CN"/>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eastAsia" w:ascii="Times New Roman" w:hAnsi="Times New Roman"/>
          <w:color w:val="000000"/>
          <w:sz w:val="24"/>
          <w:highlight w:val="none"/>
        </w:rPr>
      </w:pPr>
    </w:p>
    <w:p>
      <w:pPr>
        <w:rPr>
          <w:rFonts w:hint="default" w:ascii="Times New Roman" w:hAnsi="Times New Roman"/>
          <w:b/>
          <w:bCs/>
          <w:color w:val="000000"/>
          <w:sz w:val="24"/>
          <w:highlight w:val="none"/>
          <w:lang w:val="en-US" w:eastAsia="zh-CN"/>
        </w:rPr>
      </w:pPr>
      <w:r>
        <w:rPr>
          <w:rFonts w:hint="eastAsia" w:ascii="Times New Roman" w:hAnsi="Times New Roman"/>
          <w:b/>
          <w:bCs/>
          <w:color w:val="000000"/>
          <w:sz w:val="24"/>
          <w:highlight w:val="none"/>
        </w:rPr>
        <w:t>Supplementary</w:t>
      </w:r>
      <w:r>
        <w:rPr>
          <w:rFonts w:hint="eastAsia" w:ascii="Times New Roman" w:hAnsi="Times New Roman"/>
          <w:b/>
          <w:bCs/>
          <w:color w:val="000000"/>
          <w:sz w:val="24"/>
          <w:highlight w:val="none"/>
          <w:lang w:val="en-US" w:eastAsia="zh-CN"/>
        </w:rPr>
        <w:t xml:space="preserve"> </w:t>
      </w:r>
      <w:r>
        <w:rPr>
          <w:rFonts w:hint="eastAsia" w:ascii="Times New Roman" w:hAnsi="Times New Roman"/>
          <w:b/>
          <w:bCs/>
          <w:color w:val="000000"/>
          <w:sz w:val="24"/>
          <w:highlight w:val="none"/>
        </w:rPr>
        <w:t>Figure</w:t>
      </w:r>
      <w:r>
        <w:rPr>
          <w:rFonts w:hint="eastAsia" w:ascii="Times New Roman" w:hAnsi="Times New Roman"/>
          <w:b/>
          <w:bCs/>
          <w:color w:val="000000"/>
          <w:sz w:val="24"/>
          <w:highlight w:val="none"/>
          <w:lang w:val="en-US" w:eastAsia="zh-CN"/>
        </w:rPr>
        <w:t xml:space="preserve"> 12</w:t>
      </w:r>
    </w:p>
    <w:p>
      <w:pPr>
        <w:rPr>
          <w:rFonts w:hint="default" w:ascii="Times New Roman" w:hAnsi="Times New Roman"/>
          <w:color w:val="000000"/>
          <w:sz w:val="24"/>
          <w:highlight w:val="none"/>
          <w:lang w:val="en-US" w:eastAsia="zh-CN"/>
        </w:rPr>
      </w:pPr>
      <w:r>
        <w:rPr>
          <w:rFonts w:hint="default" w:ascii="Times New Roman" w:hAnsi="Times New Roman"/>
          <w:color w:val="000000"/>
          <w:sz w:val="24"/>
          <w:highlight w:val="none"/>
          <w:lang w:val="en-US" w:eastAsia="zh-CN"/>
        </w:rPr>
        <w:drawing>
          <wp:inline distT="0" distB="0" distL="114300" distR="114300">
            <wp:extent cx="3952875" cy="3991610"/>
            <wp:effectExtent l="0" t="0" r="0" b="8255"/>
            <wp:docPr id="12" name="图片 12"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7"/>
                    <pic:cNvPicPr>
                      <a:picLocks noChangeAspect="1"/>
                    </pic:cNvPicPr>
                  </pic:nvPicPr>
                  <pic:blipFill>
                    <a:blip r:embed="rId15"/>
                    <a:stretch>
                      <a:fillRect/>
                    </a:stretch>
                  </pic:blipFill>
                  <pic:spPr>
                    <a:xfrm>
                      <a:off x="0" y="0"/>
                      <a:ext cx="3952875" cy="3991610"/>
                    </a:xfrm>
                    <a:prstGeom prst="rect">
                      <a:avLst/>
                    </a:prstGeom>
                  </pic:spPr>
                </pic:pic>
              </a:graphicData>
            </a:graphic>
          </wp:inline>
        </w:drawing>
      </w:r>
    </w:p>
    <w:p>
      <w:pPr>
        <w:rPr>
          <w:rFonts w:hint="eastAsia" w:ascii="Times New Roman" w:hAnsi="Times New Roman"/>
          <w:color w:val="000000"/>
          <w:sz w:val="24"/>
          <w:highlight w:val="none"/>
          <w:lang w:val="en-US" w:eastAsia="zh-CN"/>
        </w:rPr>
      </w:pPr>
      <w:r>
        <w:rPr>
          <w:rFonts w:hint="eastAsia" w:ascii="Times New Roman" w:hAnsi="Times New Roman"/>
          <w:color w:val="000000"/>
          <w:sz w:val="24"/>
          <w:highlight w:val="none"/>
        </w:rPr>
        <w:t>Supplementary</w:t>
      </w:r>
      <w:r>
        <w:rPr>
          <w:rFonts w:hint="eastAsia" w:ascii="Times New Roman" w:hAnsi="Times New Roman"/>
          <w:color w:val="000000"/>
          <w:sz w:val="24"/>
          <w:highlight w:val="none"/>
          <w:lang w:val="en-US" w:eastAsia="zh-CN"/>
        </w:rPr>
        <w:t xml:space="preserve"> </w:t>
      </w:r>
      <w:r>
        <w:rPr>
          <w:rFonts w:hint="eastAsia" w:ascii="Times New Roman" w:hAnsi="Times New Roman"/>
          <w:color w:val="000000"/>
          <w:sz w:val="24"/>
          <w:highlight w:val="none"/>
        </w:rPr>
        <w:t>Figure</w:t>
      </w:r>
      <w:r>
        <w:rPr>
          <w:rFonts w:hint="eastAsia" w:ascii="Times New Roman" w:hAnsi="Times New Roman"/>
          <w:color w:val="000000"/>
          <w:sz w:val="24"/>
          <w:highlight w:val="none"/>
          <w:lang w:val="en-US" w:eastAsia="zh-CN"/>
        </w:rPr>
        <w:t xml:space="preserve"> 12. The unedited western blot images, corresponding to the gel images in Figure 6E.</w:t>
      </w:r>
    </w:p>
    <w:p>
      <w:pPr>
        <w:rPr>
          <w:rFonts w:hint="default" w:ascii="Times New Roman" w:hAnsi="Times New Roman"/>
          <w:color w:val="000000"/>
          <w:sz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B6A16"/>
    <w:rsid w:val="124F233C"/>
    <w:rsid w:val="1D783847"/>
    <w:rsid w:val="22E77B43"/>
    <w:rsid w:val="25507B50"/>
    <w:rsid w:val="33B2165F"/>
    <w:rsid w:val="3AAB05B6"/>
    <w:rsid w:val="49B32C39"/>
    <w:rsid w:val="4BDB6A16"/>
    <w:rsid w:val="591B1342"/>
    <w:rsid w:val="65856275"/>
    <w:rsid w:val="69B71146"/>
    <w:rsid w:val="6A9C2273"/>
    <w:rsid w:val="719E036C"/>
    <w:rsid w:val="77AB43D3"/>
    <w:rsid w:val="7CFC5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0.tiff"/><Relationship Id="rId14" Type="http://schemas.openxmlformats.org/officeDocument/2006/relationships/image" Target="media/image9.tiff"/><Relationship Id="rId13" Type="http://schemas.openxmlformats.org/officeDocument/2006/relationships/image" Target="media/image8.tiff"/><Relationship Id="rId12" Type="http://schemas.openxmlformats.org/officeDocument/2006/relationships/image" Target="media/image7.tiff"/><Relationship Id="rId11" Type="http://schemas.openxmlformats.org/officeDocument/2006/relationships/image" Target="media/image6.tiff"/><Relationship Id="rId10" Type="http://schemas.openxmlformats.org/officeDocument/2006/relationships/image" Target="media/image5.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2022-02-09T02:39:00Z</dcterms:created>
  <dc:creator>Zhang YZ</dc:creator>
  <cp:lastModifiedBy>Think</cp:lastModifiedBy>
  <dcterms:modified xsi:type="dcterms:W3CDTF">2022-02-23T02:09:22Z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43C99E31C3A243E6A13729CAC5740B07</vt:lpwstr>
  </property>
</Properties>
</file>