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A8F24" w14:textId="5C9B7524" w:rsidR="00F55513" w:rsidRDefault="00237CA3" w:rsidP="00F55513">
      <w:pPr>
        <w:rPr>
          <w:rFonts w:ascii="Times New Roman Regular" w:eastAsia="AdvPSOP-B" w:hAnsi="Times New Roman Regular"/>
          <w:color w:val="000000"/>
          <w:sz w:val="16"/>
          <w:szCs w:val="16"/>
        </w:rPr>
      </w:pPr>
      <w:r w:rsidRPr="002F67D7"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 xml:space="preserve">Additional File </w:t>
      </w:r>
      <w:r>
        <w:rPr>
          <w:rFonts w:ascii="Times New Roman" w:eastAsia="AdvPSOP-B" w:hAnsi="Times New Roman" w:cs="Times New Roman"/>
          <w:b/>
          <w:bCs/>
          <w:color w:val="000000"/>
          <w:sz w:val="16"/>
          <w:szCs w:val="16"/>
        </w:rPr>
        <w:t>6</w:t>
      </w:r>
      <w:r w:rsidR="00F55513">
        <w:rPr>
          <w:rFonts w:ascii="Times New Roman Regular" w:eastAsia="AdvOTc999d02f" w:hAnsi="Times New Roman Regular"/>
          <w:b/>
          <w:bCs/>
          <w:color w:val="000000"/>
          <w:sz w:val="16"/>
          <w:szCs w:val="16"/>
        </w:rPr>
        <w:t>.</w:t>
      </w:r>
      <w:r w:rsidR="00F55513">
        <w:rPr>
          <w:rFonts w:ascii="Times New Roman Regular" w:eastAsia="AdvOTc999d02f" w:hAnsi="Times New Roman Regular" w:cs="Times New Roman" w:hint="eastAsia"/>
          <w:b/>
          <w:bCs/>
          <w:color w:val="000000"/>
          <w:sz w:val="16"/>
          <w:szCs w:val="16"/>
        </w:rPr>
        <w:t xml:space="preserve"> </w:t>
      </w:r>
      <w:r w:rsidR="00F55513">
        <w:rPr>
          <w:rFonts w:ascii="Times New Roman Regular" w:eastAsia="AdvOTc999d02f" w:hAnsi="Times New Roman Regular" w:cs="Times New Roman"/>
          <w:b/>
          <w:bCs/>
          <w:color w:val="000000"/>
          <w:sz w:val="16"/>
          <w:szCs w:val="16"/>
        </w:rPr>
        <w:t>Univariate</w:t>
      </w:r>
      <w:r w:rsidR="00F55513">
        <w:rPr>
          <w:rFonts w:ascii="Times New Roman Regular" w:eastAsia="AdvOTc999d02f" w:hAnsi="Times New Roman Regular"/>
          <w:b/>
          <w:bCs/>
          <w:color w:val="000000"/>
          <w:sz w:val="16"/>
          <w:szCs w:val="16"/>
        </w:rPr>
        <w:t xml:space="preserve"> logistic regression analysis of clinical variables and laboratory variables</w:t>
      </w:r>
    </w:p>
    <w:tbl>
      <w:tblPr>
        <w:tblStyle w:val="ae"/>
        <w:tblW w:w="830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2076"/>
        <w:gridCol w:w="2077"/>
        <w:gridCol w:w="2077"/>
      </w:tblGrid>
      <w:tr w:rsidR="00F55513" w14:paraId="19368324" w14:textId="77777777" w:rsidTr="00F90B01">
        <w:tc>
          <w:tcPr>
            <w:tcW w:w="20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30021E23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20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5C4AF82F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OR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43200A40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95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%</w:t>
            </w: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3617A9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F55513" w14:paraId="5A825EEA" w14:textId="77777777" w:rsidTr="00F90B01">
        <w:tc>
          <w:tcPr>
            <w:tcW w:w="2076" w:type="dxa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5B51C043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2076" w:type="dxa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6A49AF6A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0.9</w:t>
            </w: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7</w:t>
            </w:r>
          </w:p>
        </w:tc>
        <w:tc>
          <w:tcPr>
            <w:tcW w:w="2077" w:type="dxa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27DB76FC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(0.6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1.5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single" w:sz="12" w:space="0" w:color="auto"/>
              <w:bottom w:val="nil"/>
            </w:tcBorders>
            <w:vAlign w:val="center"/>
          </w:tcPr>
          <w:p w14:paraId="29707698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0.891</w:t>
            </w:r>
          </w:p>
        </w:tc>
      </w:tr>
      <w:tr w:rsidR="00F55513" w14:paraId="554E7B07" w14:textId="77777777" w:rsidTr="00F90B01">
        <w:tc>
          <w:tcPr>
            <w:tcW w:w="2076" w:type="dxa"/>
            <w:tcBorders>
              <w:top w:val="nil"/>
            </w:tcBorders>
            <w:shd w:val="clear" w:color="auto" w:fill="FFFFFF"/>
            <w:vAlign w:val="center"/>
          </w:tcPr>
          <w:p w14:paraId="56800B9A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FFFFFF"/>
            <w:vAlign w:val="center"/>
          </w:tcPr>
          <w:p w14:paraId="0949EF8F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0.91</w:t>
            </w:r>
          </w:p>
        </w:tc>
        <w:tc>
          <w:tcPr>
            <w:tcW w:w="2077" w:type="dxa"/>
            <w:tcBorders>
              <w:top w:val="nil"/>
            </w:tcBorders>
            <w:shd w:val="clear" w:color="auto" w:fill="FFFFFF"/>
            <w:vAlign w:val="center"/>
          </w:tcPr>
          <w:p w14:paraId="747807E7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(0.8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0.9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nil"/>
            </w:tcBorders>
            <w:vAlign w:val="center"/>
          </w:tcPr>
          <w:p w14:paraId="3BD429A5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0.002</w:t>
            </w:r>
          </w:p>
        </w:tc>
      </w:tr>
      <w:tr w:rsidR="00F55513" w14:paraId="53A07D5A" w14:textId="77777777" w:rsidTr="00F90B01">
        <w:tc>
          <w:tcPr>
            <w:tcW w:w="2076" w:type="dxa"/>
            <w:shd w:val="clear" w:color="auto" w:fill="FFFFFF"/>
            <w:vAlign w:val="center"/>
          </w:tcPr>
          <w:p w14:paraId="3ED29E73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311572A0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0.99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1EDB3D97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(0.9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1.0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5BD69F0C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0.771</w:t>
            </w:r>
          </w:p>
        </w:tc>
      </w:tr>
      <w:tr w:rsidR="00F55513" w14:paraId="1D3D1B0E" w14:textId="77777777" w:rsidTr="00F90B01">
        <w:tc>
          <w:tcPr>
            <w:tcW w:w="2076" w:type="dxa"/>
            <w:shd w:val="clear" w:color="auto" w:fill="FFFFFF"/>
            <w:vAlign w:val="center"/>
          </w:tcPr>
          <w:p w14:paraId="4EF5D869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eGFR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487C1181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5AB86824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(0.99, 1.0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6F800497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0.684</w:t>
            </w:r>
          </w:p>
        </w:tc>
      </w:tr>
      <w:tr w:rsidR="00F55513" w14:paraId="102737C7" w14:textId="77777777" w:rsidTr="00F90B01">
        <w:tc>
          <w:tcPr>
            <w:tcW w:w="2076" w:type="dxa"/>
            <w:shd w:val="clear" w:color="auto" w:fill="FFFFFF"/>
            <w:vAlign w:val="center"/>
          </w:tcPr>
          <w:p w14:paraId="4C43A7D9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URBC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5A8B1FC6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1.09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264ED702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(1.0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1.1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399B26AB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737DC7F4" w14:textId="77777777" w:rsidTr="00F90B01">
        <w:tc>
          <w:tcPr>
            <w:tcW w:w="2076" w:type="dxa"/>
            <w:shd w:val="clear" w:color="auto" w:fill="FFFFFF"/>
            <w:vAlign w:val="center"/>
          </w:tcPr>
          <w:p w14:paraId="4B9395F9" w14:textId="77777777" w:rsidR="00F55513" w:rsidRPr="00952ED7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952ED7"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UPRO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77ED52A3" w14:textId="77777777" w:rsidR="00F55513" w:rsidRPr="00952ED7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10205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1.00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6688279B" w14:textId="77777777" w:rsidR="00F55513" w:rsidRPr="00F04A8C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 w:rsidRPr="00F04A8C"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/</w:t>
            </w:r>
          </w:p>
        </w:tc>
        <w:tc>
          <w:tcPr>
            <w:tcW w:w="2077" w:type="dxa"/>
            <w:vAlign w:val="center"/>
          </w:tcPr>
          <w:p w14:paraId="106450D5" w14:textId="77777777" w:rsidR="00F55513" w:rsidRPr="00F04A8C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 w:rsidRPr="00F04A8C"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/</w:t>
            </w:r>
          </w:p>
        </w:tc>
      </w:tr>
      <w:tr w:rsidR="00F55513" w14:paraId="4A1787B0" w14:textId="77777777" w:rsidTr="00F90B01">
        <w:tc>
          <w:tcPr>
            <w:tcW w:w="2076" w:type="dxa"/>
            <w:shd w:val="clear" w:color="auto" w:fill="FFFFFF"/>
            <w:vAlign w:val="center"/>
          </w:tcPr>
          <w:p w14:paraId="3B6CCDE8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UREA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58241745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1.1</w:t>
            </w: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8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7B9D91AC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(1.04, 1.33)</w:t>
            </w:r>
          </w:p>
        </w:tc>
        <w:tc>
          <w:tcPr>
            <w:tcW w:w="2077" w:type="dxa"/>
            <w:vAlign w:val="center"/>
          </w:tcPr>
          <w:p w14:paraId="66EA6AFE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0.009</w:t>
            </w:r>
          </w:p>
        </w:tc>
      </w:tr>
      <w:tr w:rsidR="00F55513" w14:paraId="1426856D" w14:textId="77777777" w:rsidTr="00F90B01">
        <w:tc>
          <w:tcPr>
            <w:tcW w:w="2076" w:type="dxa"/>
            <w:shd w:val="clear" w:color="auto" w:fill="FFFFFF"/>
            <w:vAlign w:val="center"/>
          </w:tcPr>
          <w:p w14:paraId="03BD369E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CREA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0CE51069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1.00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4AB34AC9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1.00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1.01)</w:t>
            </w:r>
          </w:p>
        </w:tc>
        <w:tc>
          <w:tcPr>
            <w:tcW w:w="2077" w:type="dxa"/>
            <w:vAlign w:val="center"/>
          </w:tcPr>
          <w:p w14:paraId="5B48D52A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0.367</w:t>
            </w:r>
          </w:p>
        </w:tc>
      </w:tr>
      <w:tr w:rsidR="00F55513" w14:paraId="41E61BFE" w14:textId="77777777" w:rsidTr="00F90B01">
        <w:tc>
          <w:tcPr>
            <w:tcW w:w="2076" w:type="dxa"/>
            <w:shd w:val="clear" w:color="auto" w:fill="FFFFFF"/>
            <w:vAlign w:val="center"/>
          </w:tcPr>
          <w:p w14:paraId="24D95FEB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ALB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4241927D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0.54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689D9043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(0.46, 0.63)</w:t>
            </w:r>
          </w:p>
        </w:tc>
        <w:tc>
          <w:tcPr>
            <w:tcW w:w="2077" w:type="dxa"/>
            <w:vAlign w:val="center"/>
          </w:tcPr>
          <w:p w14:paraId="7FB445C9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5564BC67" w14:textId="77777777" w:rsidTr="00F90B01">
        <w:tc>
          <w:tcPr>
            <w:tcW w:w="2076" w:type="dxa"/>
            <w:shd w:val="clear" w:color="auto" w:fill="FFFFFF"/>
            <w:vAlign w:val="center"/>
          </w:tcPr>
          <w:p w14:paraId="33CCAF5F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TC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4E70B005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2.2</w:t>
            </w: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5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541D87DB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(1.7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2.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90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0BF1C6CF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105F1A09" w14:textId="77777777" w:rsidTr="00F90B01">
        <w:tc>
          <w:tcPr>
            <w:tcW w:w="2076" w:type="dxa"/>
            <w:shd w:val="clear" w:color="auto" w:fill="FFFFFF"/>
            <w:vAlign w:val="center"/>
          </w:tcPr>
          <w:p w14:paraId="149CA705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TG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58C017FF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6.04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5C657FC8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(3.48, 10.4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3CE3F5F2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77079271" w14:textId="77777777" w:rsidTr="00F90B01">
        <w:tc>
          <w:tcPr>
            <w:tcW w:w="2076" w:type="dxa"/>
            <w:shd w:val="clear" w:color="auto" w:fill="FFFFFF"/>
            <w:vAlign w:val="center"/>
          </w:tcPr>
          <w:p w14:paraId="2B768BEF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HDL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7DE3204B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4.</w:t>
            </w: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40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0D5AE099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(2.48, 7.7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9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72671117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5E74ADDB" w14:textId="77777777" w:rsidTr="00F90B01">
        <w:tc>
          <w:tcPr>
            <w:tcW w:w="2076" w:type="dxa"/>
            <w:shd w:val="clear" w:color="auto" w:fill="FFFFFF"/>
            <w:vAlign w:val="center"/>
          </w:tcPr>
          <w:p w14:paraId="7889F940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VLDL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602C045C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3.19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13B01DDC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(2.2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4.6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2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66762BA1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78733422" w14:textId="77777777" w:rsidTr="00F90B01">
        <w:tc>
          <w:tcPr>
            <w:tcW w:w="2076" w:type="dxa"/>
            <w:shd w:val="clear" w:color="auto" w:fill="FFFFFF"/>
            <w:vAlign w:val="center"/>
          </w:tcPr>
          <w:p w14:paraId="3D3E99C1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Serum ANGPTL3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259D49DF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1.03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1E27B1CD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(1.02, 1.04)</w:t>
            </w:r>
          </w:p>
        </w:tc>
        <w:tc>
          <w:tcPr>
            <w:tcW w:w="2077" w:type="dxa"/>
            <w:vAlign w:val="center"/>
          </w:tcPr>
          <w:p w14:paraId="73DCCB61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  <w:tr w:rsidR="00F55513" w14:paraId="4468E811" w14:textId="77777777" w:rsidTr="00F90B01">
        <w:tc>
          <w:tcPr>
            <w:tcW w:w="2076" w:type="dxa"/>
            <w:shd w:val="clear" w:color="auto" w:fill="FFFFFF"/>
            <w:vAlign w:val="center"/>
          </w:tcPr>
          <w:p w14:paraId="76A3EBC4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Urinary ANGPTL3/Cre</w:t>
            </w:r>
          </w:p>
        </w:tc>
        <w:tc>
          <w:tcPr>
            <w:tcW w:w="2076" w:type="dxa"/>
            <w:shd w:val="clear" w:color="auto" w:fill="FFFFFF"/>
            <w:vAlign w:val="center"/>
          </w:tcPr>
          <w:p w14:paraId="0998C24E" w14:textId="77777777" w:rsidR="00F55513" w:rsidRDefault="00F55513" w:rsidP="00F90B01"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10205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13.</w:t>
            </w:r>
            <w:r>
              <w:rPr>
                <w:rFonts w:ascii="Times New Roman" w:hAnsi="Times New Roman" w:cs="Times New Roman" w:hint="eastAsia"/>
                <w:color w:val="010205"/>
                <w:sz w:val="16"/>
                <w:szCs w:val="16"/>
              </w:rPr>
              <w:t>30</w:t>
            </w:r>
          </w:p>
        </w:tc>
        <w:tc>
          <w:tcPr>
            <w:tcW w:w="2077" w:type="dxa"/>
            <w:shd w:val="clear" w:color="auto" w:fill="FFFFFF"/>
            <w:vAlign w:val="center"/>
          </w:tcPr>
          <w:p w14:paraId="4462E6CE" w14:textId="77777777" w:rsidR="00F55513" w:rsidRDefault="00F55513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(5.8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, 30.2</w:t>
            </w:r>
            <w:r>
              <w:rPr>
                <w:rFonts w:ascii="Times New Roman" w:eastAsia="AdvPSOP-B" w:hAnsi="Times New Roman" w:cs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vAlign w:val="center"/>
          </w:tcPr>
          <w:p w14:paraId="213D36B8" w14:textId="77777777" w:rsidR="00F55513" w:rsidRDefault="00F55513" w:rsidP="00F90B01">
            <w:pPr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&lt;</w:t>
            </w:r>
            <w:r>
              <w:rPr>
                <w:rFonts w:ascii="Times New Roman" w:hAnsi="Times New Roman"/>
                <w:color w:val="010205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10205"/>
                <w:sz w:val="16"/>
                <w:szCs w:val="16"/>
              </w:rPr>
              <w:t>0.001</w:t>
            </w:r>
          </w:p>
        </w:tc>
      </w:tr>
    </w:tbl>
    <w:p w14:paraId="079BA900" w14:textId="77777777" w:rsidR="00F55513" w:rsidRDefault="00F55513" w:rsidP="00F55513">
      <w:pPr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 xml:space="preserve">ANGPTL3, </w:t>
      </w:r>
      <w:r>
        <w:rPr>
          <w:rFonts w:ascii="Times New Roman" w:hAnsi="Times New Roman"/>
          <w:kern w:val="2"/>
          <w:sz w:val="16"/>
          <w:szCs w:val="21"/>
        </w:rPr>
        <w:t>Angiopoietin-like 3</w:t>
      </w:r>
      <w:r>
        <w:rPr>
          <w:rFonts w:ascii="Times New Roman" w:hAnsi="Times New Roman"/>
          <w:sz w:val="16"/>
        </w:rPr>
        <w:t xml:space="preserve">; ALB, serum albumin; BMI, Body Mass Index; </w:t>
      </w:r>
      <w:r>
        <w:rPr>
          <w:rFonts w:ascii="Times New Roman" w:hAnsi="Times New Roman" w:cs="Times New Roman"/>
          <w:color w:val="000000"/>
          <w:sz w:val="16"/>
          <w:szCs w:val="16"/>
        </w:rPr>
        <w:t>CI, confidence interval;</w:t>
      </w:r>
      <w:r>
        <w:rPr>
          <w:rFonts w:ascii="Times New Roman" w:hAnsi="Times New Roman"/>
          <w:color w:val="000000"/>
          <w:sz w:val="16"/>
        </w:rPr>
        <w:t xml:space="preserve"> </w:t>
      </w:r>
      <w:r>
        <w:rPr>
          <w:rFonts w:ascii="Times New Roman" w:hAnsi="Times New Roman"/>
          <w:sz w:val="16"/>
        </w:rPr>
        <w:t xml:space="preserve">CREA, creatinine; eGFR, estimated glomerular filtration rate; HDL, high-density lipoprotein;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OR, odds ratio; </w:t>
      </w:r>
      <w:r>
        <w:rPr>
          <w:rFonts w:ascii="Times New Roman" w:hAnsi="Times New Roman"/>
          <w:sz w:val="16"/>
        </w:rPr>
        <w:t>TC, total cholesterol; TG, triglycerides; URBC, urinary red blood cells; UREA, urea; UPRO,</w:t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eastAsia="Microsoft YaHei" w:hAnsi="Times New Roman"/>
          <w:color w:val="000000"/>
          <w:sz w:val="16"/>
          <w:szCs w:val="16"/>
        </w:rPr>
        <w:t>u</w:t>
      </w:r>
      <w:r>
        <w:rPr>
          <w:rFonts w:ascii="Times New Roman" w:eastAsia="AdvOTc999d02f" w:hAnsi="Times New Roman"/>
          <w:color w:val="000000"/>
          <w:sz w:val="16"/>
          <w:szCs w:val="16"/>
        </w:rPr>
        <w:t>rinary protein quantitation</w:t>
      </w:r>
      <w:r>
        <w:rPr>
          <w:rFonts w:ascii="Times New Roman" w:hAnsi="Times New Roman"/>
          <w:sz w:val="16"/>
        </w:rPr>
        <w:t>; VLDL, very low-density lipoprotein.</w:t>
      </w:r>
    </w:p>
    <w:p w14:paraId="79AF09C9" w14:textId="77777777" w:rsidR="00F55513" w:rsidRPr="00D273D3" w:rsidRDefault="00F55513" w:rsidP="00F55513">
      <w:pPr>
        <w:rPr>
          <w:rFonts w:ascii="Times New Roman Regular" w:eastAsia="AdvOTc999d02f" w:hAnsi="Times New Roman Regular"/>
          <w:sz w:val="16"/>
          <w:szCs w:val="16"/>
        </w:rPr>
        <w:sectPr w:rsidR="00F55513" w:rsidRPr="00D273D3" w:rsidSect="00F55513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F63235">
        <w:rPr>
          <w:rFonts w:ascii="Times New Roman" w:hAnsi="Times New Roman"/>
          <w:sz w:val="16"/>
        </w:rPr>
        <w:t>Note: In this study, UPRO was analyzed as a binary variable. The presence of complete separation resulted in outliers, and the corresponding significance test results are not statistically interpretable. This only reflects a technical issue of divergent model parameter estimation, rather than the true association between urinary protein and the dependent variable. Subsequent variable screening was further performed using Lasso regression.</w:t>
      </w:r>
    </w:p>
    <w:p w14:paraId="6874D9AB" w14:textId="77777777" w:rsidR="00A767C2" w:rsidRDefault="00A767C2"/>
    <w:sectPr w:rsidR="00A76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PSOP-B">
    <w:altName w:val="Calibri"/>
    <w:panose1 w:val="020B0604020202020204"/>
    <w:charset w:val="00"/>
    <w:family w:val="auto"/>
    <w:pitch w:val="default"/>
  </w:font>
  <w:font w:name="AdvOTc999d02f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513"/>
    <w:rsid w:val="00237CA3"/>
    <w:rsid w:val="00A343F4"/>
    <w:rsid w:val="00A767C2"/>
    <w:rsid w:val="00C813AA"/>
    <w:rsid w:val="00EC6F64"/>
    <w:rsid w:val="00F5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917C1A"/>
  <w15:chartTrackingRefBased/>
  <w15:docId w15:val="{63950911-B97D-5B49-BF94-CFE92CE5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513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55513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5513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5513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5513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5513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5513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5513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5513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5513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551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55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55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551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551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5551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551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551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551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5513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55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5513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5551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5513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5551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5513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5551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5513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5551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5513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F55513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2</cp:revision>
  <dcterms:created xsi:type="dcterms:W3CDTF">2025-12-17T03:31:00Z</dcterms:created>
  <dcterms:modified xsi:type="dcterms:W3CDTF">2025-12-17T03:47:00Z</dcterms:modified>
</cp:coreProperties>
</file>