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730F" w14:textId="77777777" w:rsidR="008A12D8" w:rsidRPr="008A12D8" w:rsidRDefault="00D4770D" w:rsidP="008A12D8">
      <w:pPr>
        <w:bidi w:val="0"/>
      </w:pPr>
      <w:r w:rsidRPr="00A26DEB">
        <w:t xml:space="preserve">Table </w:t>
      </w:r>
      <w:r w:rsidR="00EF3297" w:rsidRPr="00A26DEB">
        <w:t>S</w:t>
      </w:r>
      <w:r w:rsidRPr="00A26DEB">
        <w:t xml:space="preserve">1. </w:t>
      </w:r>
      <w:r w:rsidR="008A12D8" w:rsidRPr="008A12D8">
        <w:t>Summary of one-way ANOVA results for all measured properties of CMC nanocomposite films, including corresponding effect sizes (η²).</w:t>
      </w:r>
    </w:p>
    <w:tbl>
      <w:tblPr>
        <w:tblW w:w="9451" w:type="dxa"/>
        <w:tblCellSpacing w:w="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45"/>
        <w:gridCol w:w="1417"/>
        <w:gridCol w:w="907"/>
        <w:gridCol w:w="3231"/>
      </w:tblGrid>
      <w:tr w:rsidR="00F92AD6" w:rsidRPr="00F92AD6" w14:paraId="18F8B000" w14:textId="77777777" w:rsidTr="00655242">
        <w:trPr>
          <w:tblCellSpacing w:w="15" w:type="dxa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97276" w14:textId="77777777" w:rsidR="00D4770D" w:rsidRPr="00F92AD6" w:rsidRDefault="00D4770D" w:rsidP="00D4770D">
            <w:pPr>
              <w:bidi w:val="0"/>
            </w:pPr>
            <w:r w:rsidRPr="00F92AD6"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8DBDB" w14:textId="77777777" w:rsidR="00D4770D" w:rsidRPr="00F92AD6" w:rsidRDefault="00D4770D" w:rsidP="00D4770D">
            <w:pPr>
              <w:bidi w:val="0"/>
            </w:pPr>
            <w:r w:rsidRPr="00F92AD6">
              <w:t>F-value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722DE" w14:textId="77777777" w:rsidR="00D4770D" w:rsidRPr="00F92AD6" w:rsidRDefault="00D4770D" w:rsidP="00D4770D">
            <w:pPr>
              <w:bidi w:val="0"/>
            </w:pPr>
            <w:r w:rsidRPr="00F92AD6">
              <w:t>p-value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19555" w14:textId="77777777" w:rsidR="00D4770D" w:rsidRPr="00F92AD6" w:rsidRDefault="00D4770D" w:rsidP="00D4770D">
            <w:pPr>
              <w:bidi w:val="0"/>
            </w:pPr>
            <w:r w:rsidRPr="00F92AD6">
              <w:t>η²</w:t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D34B" w14:textId="77777777" w:rsidR="00D4770D" w:rsidRPr="00F92AD6" w:rsidRDefault="00D4770D" w:rsidP="00D4770D">
            <w:pPr>
              <w:bidi w:val="0"/>
            </w:pPr>
            <w:r w:rsidRPr="00F92AD6">
              <w:t>Interpretation</w:t>
            </w:r>
          </w:p>
        </w:tc>
      </w:tr>
      <w:tr w:rsidR="00F92AD6" w:rsidRPr="00F92AD6" w14:paraId="1CC33B3B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4BBFB" w14:textId="77777777" w:rsidR="00D4770D" w:rsidRPr="00F92AD6" w:rsidRDefault="00D4770D" w:rsidP="00D4770D">
            <w:pPr>
              <w:bidi w:val="0"/>
            </w:pPr>
            <w:r w:rsidRPr="00F92AD6">
              <w:t>Solubility (%)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C46B4" w14:textId="77777777" w:rsidR="00D4770D" w:rsidRPr="00F92AD6" w:rsidRDefault="00D4770D" w:rsidP="00D4770D">
            <w:pPr>
              <w:bidi w:val="0"/>
            </w:pPr>
            <w:r w:rsidRPr="00F92AD6">
              <w:t>108.34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13BE8" w14:textId="77777777" w:rsidR="00D4770D" w:rsidRPr="00F92AD6" w:rsidRDefault="00D4770D" w:rsidP="00D4770D">
            <w:pPr>
              <w:bidi w:val="0"/>
            </w:pPr>
            <w:r w:rsidRPr="00F92AD6">
              <w:t>8.12×10⁻⁷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42F4A" w14:textId="77777777" w:rsidR="00D4770D" w:rsidRPr="00F92AD6" w:rsidRDefault="00D4770D" w:rsidP="00D4770D">
            <w:pPr>
              <w:bidi w:val="0"/>
            </w:pPr>
            <w:r w:rsidRPr="00F92AD6">
              <w:t>0.976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6F509" w14:textId="77777777" w:rsidR="00D4770D" w:rsidRPr="00F92AD6" w:rsidRDefault="00D4770D" w:rsidP="00D4770D">
            <w:pPr>
              <w:bidi w:val="0"/>
            </w:pPr>
            <w:r w:rsidRPr="00F92AD6">
              <w:t>Very strong treatment effect</w:t>
            </w:r>
          </w:p>
        </w:tc>
      </w:tr>
      <w:tr w:rsidR="00F92AD6" w:rsidRPr="00F92AD6" w14:paraId="24792DA8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3FB90" w14:textId="77777777" w:rsidR="00D4770D" w:rsidRPr="00F92AD6" w:rsidRDefault="00D4770D" w:rsidP="00D4770D">
            <w:pPr>
              <w:bidi w:val="0"/>
            </w:pPr>
            <w:r w:rsidRPr="00F92AD6">
              <w:t>Moisture (%)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66E78" w14:textId="77777777" w:rsidR="00D4770D" w:rsidRPr="00F92AD6" w:rsidRDefault="00D4770D" w:rsidP="00D4770D">
            <w:pPr>
              <w:bidi w:val="0"/>
            </w:pPr>
            <w:r w:rsidRPr="00F92AD6">
              <w:t>18.51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8E368" w14:textId="77777777" w:rsidR="00D4770D" w:rsidRPr="00F92AD6" w:rsidRDefault="00D4770D" w:rsidP="00D4770D">
            <w:pPr>
              <w:bidi w:val="0"/>
            </w:pPr>
            <w:r w:rsidRPr="00F92AD6">
              <w:t>5.87×10⁻⁴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9099C" w14:textId="77777777" w:rsidR="00D4770D" w:rsidRPr="00F92AD6" w:rsidRDefault="00D4770D" w:rsidP="00D4770D">
            <w:pPr>
              <w:bidi w:val="0"/>
            </w:pPr>
            <w:r w:rsidRPr="00F92AD6">
              <w:t>0.874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2970A" w14:textId="77777777" w:rsidR="00D4770D" w:rsidRPr="00F92AD6" w:rsidRDefault="00D4770D" w:rsidP="00D4770D">
            <w:pPr>
              <w:bidi w:val="0"/>
            </w:pPr>
            <w:r w:rsidRPr="00F92AD6">
              <w:t>Strong effect</w:t>
            </w:r>
          </w:p>
        </w:tc>
      </w:tr>
      <w:tr w:rsidR="00F92AD6" w:rsidRPr="00F92AD6" w14:paraId="24C82A15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94365" w14:textId="77777777" w:rsidR="00D4770D" w:rsidRPr="00F92AD6" w:rsidRDefault="00D4770D" w:rsidP="00D4770D">
            <w:pPr>
              <w:bidi w:val="0"/>
            </w:pPr>
            <w:r w:rsidRPr="00F92AD6">
              <w:t>Contact angle (°)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B70D4" w14:textId="77777777" w:rsidR="00D4770D" w:rsidRPr="00F92AD6" w:rsidRDefault="00D4770D" w:rsidP="00D4770D">
            <w:pPr>
              <w:bidi w:val="0"/>
            </w:pPr>
            <w:r w:rsidRPr="00F92AD6">
              <w:t>36.64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4782" w14:textId="77777777" w:rsidR="00D4770D" w:rsidRPr="00F92AD6" w:rsidRDefault="00D4770D" w:rsidP="00D4770D">
            <w:pPr>
              <w:bidi w:val="0"/>
            </w:pPr>
            <w:r w:rsidRPr="00F92AD6">
              <w:t>5.07×10⁻⁵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45E7" w14:textId="77777777" w:rsidR="00D4770D" w:rsidRPr="00F92AD6" w:rsidRDefault="00D4770D" w:rsidP="00D4770D">
            <w:pPr>
              <w:bidi w:val="0"/>
            </w:pPr>
            <w:r w:rsidRPr="00F92AD6">
              <w:t>0.932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E9C8A" w14:textId="77777777" w:rsidR="00D4770D" w:rsidRPr="00F92AD6" w:rsidRDefault="00D4770D" w:rsidP="00D4770D">
            <w:pPr>
              <w:bidi w:val="0"/>
            </w:pPr>
            <w:r w:rsidRPr="00F92AD6">
              <w:t>Very strong effect</w:t>
            </w:r>
          </w:p>
        </w:tc>
      </w:tr>
      <w:tr w:rsidR="00F92AD6" w:rsidRPr="00F92AD6" w14:paraId="6344572C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33A34" w14:textId="77777777" w:rsidR="00D4770D" w:rsidRPr="00F92AD6" w:rsidRDefault="00D4770D" w:rsidP="00D4770D">
            <w:pPr>
              <w:bidi w:val="0"/>
            </w:pPr>
            <w:r w:rsidRPr="00F92AD6">
              <w:t>WVP (g/</w:t>
            </w:r>
            <w:proofErr w:type="spellStart"/>
            <w:r w:rsidRPr="00F92AD6">
              <w:t>m·Pa·s</w:t>
            </w:r>
            <w:proofErr w:type="spellEnd"/>
            <w:r w:rsidRPr="00F92AD6"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C96CF" w14:textId="77777777" w:rsidR="00D4770D" w:rsidRPr="00F92AD6" w:rsidRDefault="00D4770D" w:rsidP="00D4770D">
            <w:pPr>
              <w:bidi w:val="0"/>
            </w:pPr>
            <w:r w:rsidRPr="00F92AD6">
              <w:t>8.98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26CB3" w14:textId="77777777" w:rsidR="00D4770D" w:rsidRPr="00F92AD6" w:rsidRDefault="00D4770D" w:rsidP="00D4770D">
            <w:pPr>
              <w:bidi w:val="0"/>
            </w:pPr>
            <w:r w:rsidRPr="00F92AD6">
              <w:t>0.0061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0DF47" w14:textId="77777777" w:rsidR="00D4770D" w:rsidRPr="00F92AD6" w:rsidRDefault="00D4770D" w:rsidP="00D4770D">
            <w:pPr>
              <w:bidi w:val="0"/>
            </w:pPr>
            <w:r w:rsidRPr="00F92AD6">
              <w:t>0.771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6EE0" w14:textId="77777777" w:rsidR="00D4770D" w:rsidRPr="00F92AD6" w:rsidRDefault="00D4770D" w:rsidP="00D4770D">
            <w:pPr>
              <w:bidi w:val="0"/>
            </w:pPr>
            <w:r w:rsidRPr="00F92AD6">
              <w:t>Strong effect</w:t>
            </w:r>
          </w:p>
        </w:tc>
      </w:tr>
      <w:tr w:rsidR="00F92AD6" w:rsidRPr="00F92AD6" w14:paraId="5533A1EB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11DFB" w14:textId="77777777" w:rsidR="00D4770D" w:rsidRPr="00F92AD6" w:rsidRDefault="00D4770D" w:rsidP="00D4770D">
            <w:pPr>
              <w:bidi w:val="0"/>
            </w:pPr>
            <w:r w:rsidRPr="00F92AD6">
              <w:t>Thickness (µm)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80EB6" w14:textId="77777777" w:rsidR="00D4770D" w:rsidRPr="00F92AD6" w:rsidRDefault="00D4770D" w:rsidP="00D4770D">
            <w:pPr>
              <w:bidi w:val="0"/>
            </w:pPr>
            <w:r w:rsidRPr="00F92AD6">
              <w:t>5.80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91E81" w14:textId="77777777" w:rsidR="00D4770D" w:rsidRPr="00F92AD6" w:rsidRDefault="00D4770D" w:rsidP="00D4770D">
            <w:pPr>
              <w:bidi w:val="0"/>
            </w:pPr>
            <w:r w:rsidRPr="00F92AD6">
              <w:t>0.0202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41228" w14:textId="77777777" w:rsidR="00D4770D" w:rsidRPr="00F92AD6" w:rsidRDefault="00D4770D" w:rsidP="00D4770D">
            <w:pPr>
              <w:bidi w:val="0"/>
            </w:pPr>
            <w:r w:rsidRPr="00F92AD6">
              <w:t>0.688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95376" w14:textId="77777777" w:rsidR="00D4770D" w:rsidRPr="00F92AD6" w:rsidRDefault="00D4770D" w:rsidP="00D4770D">
            <w:pPr>
              <w:bidi w:val="0"/>
            </w:pPr>
            <w:r w:rsidRPr="00F92AD6">
              <w:t>Moderate-strong effect</w:t>
            </w:r>
          </w:p>
        </w:tc>
      </w:tr>
      <w:tr w:rsidR="00F92AD6" w:rsidRPr="00F92AD6" w14:paraId="0AC12482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9C39" w14:textId="77777777" w:rsidR="00D4770D" w:rsidRPr="00F92AD6" w:rsidRDefault="00D4770D" w:rsidP="00D4770D">
            <w:pPr>
              <w:bidi w:val="0"/>
            </w:pPr>
            <w:r w:rsidRPr="00F92AD6">
              <w:t>ΔE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1071B" w14:textId="77777777" w:rsidR="00D4770D" w:rsidRPr="00F92AD6" w:rsidRDefault="00D4770D" w:rsidP="00D4770D">
            <w:pPr>
              <w:bidi w:val="0"/>
            </w:pPr>
            <w:r w:rsidRPr="00F92AD6">
              <w:t>39.04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A6CD3" w14:textId="77777777" w:rsidR="00D4770D" w:rsidRPr="00F92AD6" w:rsidRDefault="00D4770D" w:rsidP="00D4770D">
            <w:pPr>
              <w:bidi w:val="0"/>
            </w:pPr>
            <w:r w:rsidRPr="00F92AD6">
              <w:t>4.01×10⁻⁵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DC894" w14:textId="77777777" w:rsidR="00D4770D" w:rsidRPr="00F92AD6" w:rsidRDefault="00D4770D" w:rsidP="00D4770D">
            <w:pPr>
              <w:bidi w:val="0"/>
            </w:pPr>
            <w:r w:rsidRPr="00F92AD6">
              <w:t>0.936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474CA" w14:textId="77777777" w:rsidR="00D4770D" w:rsidRPr="00F92AD6" w:rsidRDefault="00D4770D" w:rsidP="00D4770D">
            <w:pPr>
              <w:bidi w:val="0"/>
            </w:pPr>
            <w:r w:rsidRPr="00F92AD6">
              <w:t>Very strong effect</w:t>
            </w:r>
          </w:p>
        </w:tc>
      </w:tr>
      <w:tr w:rsidR="00F92AD6" w:rsidRPr="00F92AD6" w14:paraId="6207976D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233E8" w14:textId="77777777" w:rsidR="00D4770D" w:rsidRPr="00F92AD6" w:rsidRDefault="00D4770D" w:rsidP="00D4770D">
            <w:pPr>
              <w:bidi w:val="0"/>
            </w:pPr>
            <w:r w:rsidRPr="00F92AD6">
              <w:t>YI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0E9B" w14:textId="77777777" w:rsidR="00D4770D" w:rsidRPr="00F92AD6" w:rsidRDefault="00D4770D" w:rsidP="00D4770D">
            <w:pPr>
              <w:bidi w:val="0"/>
            </w:pPr>
            <w:r w:rsidRPr="00F92AD6">
              <w:t>37.29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31ECB" w14:textId="77777777" w:rsidR="00D4770D" w:rsidRPr="00F92AD6" w:rsidRDefault="00D4770D" w:rsidP="00D4770D">
            <w:pPr>
              <w:bidi w:val="0"/>
            </w:pPr>
            <w:r w:rsidRPr="00F92AD6">
              <w:t>4.85×10⁻⁵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14912" w14:textId="77777777" w:rsidR="00D4770D" w:rsidRPr="00F92AD6" w:rsidRDefault="00D4770D" w:rsidP="00D4770D">
            <w:pPr>
              <w:bidi w:val="0"/>
            </w:pPr>
            <w:r w:rsidRPr="00F92AD6">
              <w:t>0.933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D0862" w14:textId="77777777" w:rsidR="00D4770D" w:rsidRPr="00F92AD6" w:rsidRDefault="00D4770D" w:rsidP="00D4770D">
            <w:pPr>
              <w:bidi w:val="0"/>
            </w:pPr>
            <w:r w:rsidRPr="00F92AD6">
              <w:t>Very strong effect</w:t>
            </w:r>
          </w:p>
        </w:tc>
      </w:tr>
      <w:tr w:rsidR="00F92AD6" w:rsidRPr="00F92AD6" w14:paraId="19530068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92C4E" w14:textId="77777777" w:rsidR="00D4770D" w:rsidRPr="00F92AD6" w:rsidRDefault="00D4770D" w:rsidP="00D4770D">
            <w:pPr>
              <w:bidi w:val="0"/>
            </w:pPr>
            <w:r w:rsidRPr="00F92AD6">
              <w:t>WI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581E8" w14:textId="77777777" w:rsidR="00D4770D" w:rsidRPr="00F92AD6" w:rsidRDefault="00D4770D" w:rsidP="00D4770D">
            <w:pPr>
              <w:bidi w:val="0"/>
            </w:pPr>
            <w:r w:rsidRPr="00F92AD6">
              <w:t>18.39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56564" w14:textId="77777777" w:rsidR="00D4770D" w:rsidRPr="00F92AD6" w:rsidRDefault="00D4770D" w:rsidP="00D4770D">
            <w:pPr>
              <w:bidi w:val="0"/>
            </w:pPr>
            <w:r w:rsidRPr="00F92AD6">
              <w:t>5.7×10⁻⁴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F8B70" w14:textId="77777777" w:rsidR="00D4770D" w:rsidRPr="00F92AD6" w:rsidRDefault="00D4770D" w:rsidP="00D4770D">
            <w:pPr>
              <w:bidi w:val="0"/>
            </w:pPr>
            <w:r w:rsidRPr="00F92AD6">
              <w:t>0.875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526EC" w14:textId="77777777" w:rsidR="00D4770D" w:rsidRPr="00F92AD6" w:rsidRDefault="00D4770D" w:rsidP="00D4770D">
            <w:pPr>
              <w:bidi w:val="0"/>
            </w:pPr>
            <w:r w:rsidRPr="00F92AD6">
              <w:t>Strong effect</w:t>
            </w:r>
          </w:p>
        </w:tc>
      </w:tr>
      <w:tr w:rsidR="00F92AD6" w:rsidRPr="00F92AD6" w14:paraId="763D38F1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35300" w14:textId="77777777" w:rsidR="00D4770D" w:rsidRPr="00F92AD6" w:rsidRDefault="00D4770D" w:rsidP="00D4770D">
            <w:pPr>
              <w:bidi w:val="0"/>
            </w:pPr>
            <w:r w:rsidRPr="00F92AD6">
              <w:t>L*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3E9D6" w14:textId="77777777" w:rsidR="00D4770D" w:rsidRPr="00F92AD6" w:rsidRDefault="00D4770D" w:rsidP="00D4770D">
            <w:pPr>
              <w:bidi w:val="0"/>
            </w:pPr>
            <w:r w:rsidRPr="00F92AD6">
              <w:t>not significant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E917B" w14:textId="77777777" w:rsidR="00D4770D" w:rsidRPr="00F92AD6" w:rsidRDefault="00D4770D" w:rsidP="00D4770D">
            <w:pPr>
              <w:bidi w:val="0"/>
            </w:pPr>
            <w:r w:rsidRPr="00F92AD6">
              <w:t>p &gt; 0.05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FF440" w14:textId="77777777" w:rsidR="00D4770D" w:rsidRPr="00F92AD6" w:rsidRDefault="00D4770D" w:rsidP="00D4770D">
            <w:pPr>
              <w:bidi w:val="0"/>
            </w:pPr>
            <w:r w:rsidRPr="00F92AD6">
              <w:t>—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A098C" w14:textId="77777777" w:rsidR="00D4770D" w:rsidRPr="00F92AD6" w:rsidRDefault="00D4770D" w:rsidP="00D4770D">
            <w:pPr>
              <w:bidi w:val="0"/>
            </w:pPr>
            <w:r w:rsidRPr="00F92AD6">
              <w:t>No treatment effect</w:t>
            </w:r>
          </w:p>
        </w:tc>
      </w:tr>
      <w:tr w:rsidR="00F92AD6" w:rsidRPr="00F92AD6" w14:paraId="5E18D281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E63C6" w14:textId="77777777" w:rsidR="00D4770D" w:rsidRPr="00F92AD6" w:rsidRDefault="00D4770D" w:rsidP="00D4770D">
            <w:pPr>
              <w:bidi w:val="0"/>
            </w:pPr>
            <w:r w:rsidRPr="00F92AD6">
              <w:t>a*, b*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65DE7" w14:textId="77777777" w:rsidR="00D4770D" w:rsidRPr="00F92AD6" w:rsidRDefault="00D4770D" w:rsidP="00D4770D">
            <w:pPr>
              <w:bidi w:val="0"/>
            </w:pPr>
            <w:r w:rsidRPr="00F92AD6">
              <w:t>not significant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D1885" w14:textId="77777777" w:rsidR="00D4770D" w:rsidRPr="00F92AD6" w:rsidRDefault="00D4770D" w:rsidP="00D4770D">
            <w:pPr>
              <w:bidi w:val="0"/>
            </w:pPr>
            <w:r w:rsidRPr="00F92AD6">
              <w:t>p &gt; 0.05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8999" w14:textId="77777777" w:rsidR="00D4770D" w:rsidRPr="00F92AD6" w:rsidRDefault="00D4770D" w:rsidP="00D4770D">
            <w:pPr>
              <w:bidi w:val="0"/>
            </w:pPr>
            <w:r w:rsidRPr="00F92AD6">
              <w:t>—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57FE9" w14:textId="77777777" w:rsidR="00D4770D" w:rsidRPr="00F92AD6" w:rsidRDefault="00D4770D" w:rsidP="00D4770D">
            <w:pPr>
              <w:bidi w:val="0"/>
            </w:pPr>
            <w:r w:rsidRPr="00F92AD6">
              <w:t>Pure hue components unaffected</w:t>
            </w:r>
          </w:p>
        </w:tc>
      </w:tr>
      <w:tr w:rsidR="00F92AD6" w:rsidRPr="00F92AD6" w14:paraId="105C8850" w14:textId="77777777" w:rsidTr="00655242">
        <w:trPr>
          <w:tblCellSpacing w:w="15" w:type="dxa"/>
        </w:trPr>
        <w:tc>
          <w:tcPr>
            <w:tcW w:w="2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075ED" w14:textId="77777777" w:rsidR="00D4770D" w:rsidRPr="00F92AD6" w:rsidRDefault="00D4770D" w:rsidP="00D4770D">
            <w:pPr>
              <w:bidi w:val="0"/>
            </w:pPr>
            <w:r w:rsidRPr="00F92AD6">
              <w:t xml:space="preserve">Ra, RMS, Skewness, Kurtosis, </w:t>
            </w:r>
            <w:proofErr w:type="spellStart"/>
            <w:r w:rsidRPr="00F92AD6">
              <w:t>PtV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907DA" w14:textId="193D63D1" w:rsidR="00D4770D" w:rsidRPr="00F92AD6" w:rsidRDefault="00F92AD6" w:rsidP="00D4770D">
            <w:pPr>
              <w:bidi w:val="0"/>
            </w:pPr>
            <w:r w:rsidRPr="00F92AD6">
              <w:t>not significant</w:t>
            </w:r>
          </w:p>
        </w:tc>
        <w:tc>
          <w:tcPr>
            <w:tcW w:w="1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EE853" w14:textId="77777777" w:rsidR="00D4770D" w:rsidRPr="00F92AD6" w:rsidRDefault="00D4770D" w:rsidP="00D4770D">
            <w:pPr>
              <w:bidi w:val="0"/>
            </w:pPr>
            <w:r w:rsidRPr="00F92AD6">
              <w:t>p &gt; 0.05</w:t>
            </w:r>
          </w:p>
        </w:tc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37F7D" w14:textId="77777777" w:rsidR="00D4770D" w:rsidRPr="00F92AD6" w:rsidRDefault="00D4770D" w:rsidP="00D4770D">
            <w:pPr>
              <w:bidi w:val="0"/>
            </w:pPr>
            <w:r w:rsidRPr="00F92AD6">
              <w:t>—</w:t>
            </w:r>
          </w:p>
        </w:tc>
        <w:tc>
          <w:tcPr>
            <w:tcW w:w="3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E8EE3" w14:textId="77777777" w:rsidR="00D4770D" w:rsidRPr="00F92AD6" w:rsidRDefault="00D4770D" w:rsidP="00D4770D">
            <w:pPr>
              <w:bidi w:val="0"/>
            </w:pPr>
            <w:r w:rsidRPr="00F92AD6">
              <w:t>AFM metrics not significantly different</w:t>
            </w:r>
          </w:p>
        </w:tc>
      </w:tr>
    </w:tbl>
    <w:p w14:paraId="575B3BD9" w14:textId="77777777" w:rsidR="002E57A4" w:rsidRDefault="002E57A4" w:rsidP="002E57A4">
      <w:pPr>
        <w:bidi w:val="0"/>
      </w:pPr>
    </w:p>
    <w:p w14:paraId="5BD12C78" w14:textId="33E440CF" w:rsidR="00A32C19" w:rsidRDefault="00A32C19">
      <w:r>
        <w:br w:type="page"/>
      </w:r>
    </w:p>
    <w:p w14:paraId="2FC4316D" w14:textId="77777777" w:rsidR="008A12D8" w:rsidRPr="008A12D8" w:rsidRDefault="00EF3297" w:rsidP="008A12D8">
      <w:pPr>
        <w:bidi w:val="0"/>
        <w:spacing w:line="240" w:lineRule="auto"/>
      </w:pPr>
      <w:r w:rsidRPr="00A26DEB">
        <w:lastRenderedPageBreak/>
        <w:t xml:space="preserve">Table </w:t>
      </w:r>
      <w:r w:rsidR="003C01D9" w:rsidRPr="00A26DEB">
        <w:t>S</w:t>
      </w:r>
      <w:r w:rsidRPr="00A26DEB">
        <w:t xml:space="preserve">2. </w:t>
      </w:r>
      <w:r w:rsidR="008A12D8" w:rsidRPr="008A12D8">
        <w:t>Variable contributions (%) to the first two principal components (PC1 and PC2) obtained from PCA of standardized film properties.</w:t>
      </w:r>
    </w:p>
    <w:tbl>
      <w:tblPr>
        <w:tblW w:w="0" w:type="auto"/>
        <w:jc w:val="center"/>
        <w:tblCellSpacing w:w="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98"/>
        <w:gridCol w:w="582"/>
      </w:tblGrid>
      <w:tr w:rsidR="003C01D9" w:rsidRPr="00F92AD6" w14:paraId="406A8F7F" w14:textId="77777777" w:rsidTr="00A32C19">
        <w:trPr>
          <w:tblCellSpacing w:w="15" w:type="dxa"/>
          <w:jc w:val="center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0409C" w14:textId="77777777" w:rsidR="003C01D9" w:rsidRPr="00F92AD6" w:rsidRDefault="003C01D9" w:rsidP="003C01D9">
            <w:pPr>
              <w:bidi w:val="0"/>
            </w:pPr>
            <w:r w:rsidRPr="00F92AD6">
              <w:t>Variable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B79FD" w14:textId="77777777" w:rsidR="003C01D9" w:rsidRPr="00F92AD6" w:rsidRDefault="003C01D9" w:rsidP="003C01D9">
            <w:pPr>
              <w:bidi w:val="0"/>
            </w:pPr>
            <w:r w:rsidRPr="00F92AD6">
              <w:t>Contribution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3A62B" w14:textId="77777777" w:rsidR="003C01D9" w:rsidRPr="00F92AD6" w:rsidRDefault="003C01D9" w:rsidP="003C01D9">
            <w:pPr>
              <w:bidi w:val="0"/>
            </w:pPr>
            <w:r w:rsidRPr="00F92AD6">
              <w:t>Rank</w:t>
            </w:r>
          </w:p>
        </w:tc>
      </w:tr>
      <w:tr w:rsidR="003C01D9" w:rsidRPr="00F92AD6" w14:paraId="234A2DF6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FC6BD" w14:textId="77777777" w:rsidR="003C01D9" w:rsidRPr="00F92AD6" w:rsidRDefault="003C01D9" w:rsidP="003C01D9">
            <w:pPr>
              <w:bidi w:val="0"/>
            </w:pPr>
            <w:r w:rsidRPr="00F92AD6">
              <w:t>WI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82511" w14:textId="77777777" w:rsidR="003C01D9" w:rsidRPr="00F92AD6" w:rsidRDefault="003C01D9" w:rsidP="003C01D9">
            <w:pPr>
              <w:bidi w:val="0"/>
            </w:pPr>
            <w:r w:rsidRPr="00F92AD6">
              <w:t>23.20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2BFF0" w14:textId="77777777" w:rsidR="003C01D9" w:rsidRPr="00F92AD6" w:rsidRDefault="003C01D9" w:rsidP="003C01D9">
            <w:pPr>
              <w:bidi w:val="0"/>
            </w:pPr>
            <w:r w:rsidRPr="00F92AD6">
              <w:t>1</w:t>
            </w:r>
          </w:p>
        </w:tc>
      </w:tr>
      <w:tr w:rsidR="003C01D9" w:rsidRPr="00F92AD6" w14:paraId="5E537486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1ECB0" w14:textId="77777777" w:rsidR="003C01D9" w:rsidRPr="00F92AD6" w:rsidRDefault="003C01D9" w:rsidP="003C01D9">
            <w:pPr>
              <w:bidi w:val="0"/>
            </w:pPr>
            <w:r w:rsidRPr="00F92AD6">
              <w:t>a*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21039" w14:textId="77777777" w:rsidR="003C01D9" w:rsidRPr="00F92AD6" w:rsidRDefault="003C01D9" w:rsidP="003C01D9">
            <w:pPr>
              <w:bidi w:val="0"/>
            </w:pPr>
            <w:r w:rsidRPr="00F92AD6">
              <w:t>18.21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55750" w14:textId="77777777" w:rsidR="003C01D9" w:rsidRPr="00F92AD6" w:rsidRDefault="003C01D9" w:rsidP="003C01D9">
            <w:pPr>
              <w:bidi w:val="0"/>
            </w:pPr>
            <w:r w:rsidRPr="00F92AD6">
              <w:t>2</w:t>
            </w:r>
          </w:p>
        </w:tc>
      </w:tr>
      <w:tr w:rsidR="003C01D9" w:rsidRPr="00F92AD6" w14:paraId="75A5AF33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1810" w14:textId="77777777" w:rsidR="003C01D9" w:rsidRPr="00F92AD6" w:rsidRDefault="003C01D9" w:rsidP="003C01D9">
            <w:pPr>
              <w:bidi w:val="0"/>
            </w:pPr>
            <w:r w:rsidRPr="00F92AD6">
              <w:t>Moisture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A006C" w14:textId="77777777" w:rsidR="003C01D9" w:rsidRPr="00F92AD6" w:rsidRDefault="003C01D9" w:rsidP="003C01D9">
            <w:pPr>
              <w:bidi w:val="0"/>
            </w:pPr>
            <w:r w:rsidRPr="00F92AD6">
              <w:t>17.39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E436" w14:textId="77777777" w:rsidR="003C01D9" w:rsidRPr="00F92AD6" w:rsidRDefault="003C01D9" w:rsidP="003C01D9">
            <w:pPr>
              <w:bidi w:val="0"/>
            </w:pPr>
            <w:r w:rsidRPr="00F92AD6">
              <w:t>3</w:t>
            </w:r>
          </w:p>
        </w:tc>
      </w:tr>
      <w:tr w:rsidR="003C01D9" w:rsidRPr="00F92AD6" w14:paraId="7DEC0362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3195" w14:textId="77777777" w:rsidR="003C01D9" w:rsidRPr="00F92AD6" w:rsidRDefault="003C01D9" w:rsidP="003C01D9">
            <w:pPr>
              <w:bidi w:val="0"/>
            </w:pPr>
            <w:r w:rsidRPr="00F92AD6">
              <w:t>ΔE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E1D49" w14:textId="77777777" w:rsidR="003C01D9" w:rsidRPr="00F92AD6" w:rsidRDefault="003C01D9" w:rsidP="003C01D9">
            <w:pPr>
              <w:bidi w:val="0"/>
            </w:pPr>
            <w:r w:rsidRPr="00F92AD6">
              <w:t>16.22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6529D" w14:textId="77777777" w:rsidR="003C01D9" w:rsidRPr="00F92AD6" w:rsidRDefault="003C01D9" w:rsidP="003C01D9">
            <w:pPr>
              <w:bidi w:val="0"/>
            </w:pPr>
            <w:r w:rsidRPr="00F92AD6">
              <w:t>4</w:t>
            </w:r>
          </w:p>
        </w:tc>
      </w:tr>
      <w:tr w:rsidR="003C01D9" w:rsidRPr="00F92AD6" w14:paraId="088E7E02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AC933" w14:textId="77777777" w:rsidR="003C01D9" w:rsidRPr="00F92AD6" w:rsidRDefault="003C01D9" w:rsidP="003C01D9">
            <w:pPr>
              <w:bidi w:val="0"/>
            </w:pPr>
            <w:r w:rsidRPr="00F92AD6">
              <w:t>Thickness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59A71" w14:textId="77777777" w:rsidR="003C01D9" w:rsidRPr="00F92AD6" w:rsidRDefault="003C01D9" w:rsidP="003C01D9">
            <w:pPr>
              <w:bidi w:val="0"/>
            </w:pPr>
            <w:r w:rsidRPr="00F92AD6">
              <w:t>15.69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2D6FD" w14:textId="77777777" w:rsidR="003C01D9" w:rsidRPr="00F92AD6" w:rsidRDefault="003C01D9" w:rsidP="003C01D9">
            <w:pPr>
              <w:bidi w:val="0"/>
            </w:pPr>
            <w:r w:rsidRPr="00F92AD6">
              <w:t>5</w:t>
            </w:r>
          </w:p>
        </w:tc>
      </w:tr>
      <w:tr w:rsidR="003C01D9" w:rsidRPr="00F92AD6" w14:paraId="3F766C00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4BAE3" w14:textId="77777777" w:rsidR="003C01D9" w:rsidRPr="00F92AD6" w:rsidRDefault="003C01D9" w:rsidP="003C01D9">
            <w:pPr>
              <w:bidi w:val="0"/>
            </w:pPr>
            <w:r w:rsidRPr="00F92AD6">
              <w:t>b*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27E17" w14:textId="77777777" w:rsidR="003C01D9" w:rsidRPr="00F92AD6" w:rsidRDefault="003C01D9" w:rsidP="003C01D9">
            <w:pPr>
              <w:bidi w:val="0"/>
            </w:pPr>
            <w:r w:rsidRPr="00F92AD6">
              <w:t>15.21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C1A37" w14:textId="77777777" w:rsidR="003C01D9" w:rsidRPr="00F92AD6" w:rsidRDefault="003C01D9" w:rsidP="003C01D9">
            <w:pPr>
              <w:bidi w:val="0"/>
            </w:pPr>
            <w:r w:rsidRPr="00F92AD6">
              <w:t>6</w:t>
            </w:r>
          </w:p>
        </w:tc>
      </w:tr>
      <w:tr w:rsidR="003C01D9" w:rsidRPr="00F92AD6" w14:paraId="26BF7C49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A026F" w14:textId="77777777" w:rsidR="003C01D9" w:rsidRPr="00F92AD6" w:rsidRDefault="003C01D9" w:rsidP="003C01D9">
            <w:pPr>
              <w:bidi w:val="0"/>
            </w:pPr>
            <w:r w:rsidRPr="00F92AD6">
              <w:t>YI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C2C46" w14:textId="77777777" w:rsidR="003C01D9" w:rsidRPr="00F92AD6" w:rsidRDefault="003C01D9" w:rsidP="003C01D9">
            <w:pPr>
              <w:bidi w:val="0"/>
            </w:pPr>
            <w:r w:rsidRPr="00F92AD6">
              <w:t>13.64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B4BFF" w14:textId="77777777" w:rsidR="003C01D9" w:rsidRPr="00F92AD6" w:rsidRDefault="003C01D9" w:rsidP="003C01D9">
            <w:pPr>
              <w:bidi w:val="0"/>
            </w:pPr>
            <w:r w:rsidRPr="00F92AD6">
              <w:t>7</w:t>
            </w:r>
          </w:p>
        </w:tc>
      </w:tr>
      <w:tr w:rsidR="003C01D9" w:rsidRPr="00F92AD6" w14:paraId="56C1AE29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FBFBC" w14:textId="77777777" w:rsidR="003C01D9" w:rsidRPr="00F92AD6" w:rsidRDefault="003C01D9" w:rsidP="003C01D9">
            <w:pPr>
              <w:bidi w:val="0"/>
            </w:pPr>
            <w:r w:rsidRPr="00F92AD6">
              <w:t>Contact angle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B4026" w14:textId="77777777" w:rsidR="003C01D9" w:rsidRPr="00F92AD6" w:rsidRDefault="003C01D9" w:rsidP="003C01D9">
            <w:pPr>
              <w:bidi w:val="0"/>
            </w:pPr>
            <w:r w:rsidRPr="00F92AD6">
              <w:t>13.50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8DC20" w14:textId="77777777" w:rsidR="003C01D9" w:rsidRPr="00F92AD6" w:rsidRDefault="003C01D9" w:rsidP="003C01D9">
            <w:pPr>
              <w:bidi w:val="0"/>
            </w:pPr>
            <w:r w:rsidRPr="00F92AD6">
              <w:t>8</w:t>
            </w:r>
          </w:p>
        </w:tc>
      </w:tr>
      <w:tr w:rsidR="003C01D9" w:rsidRPr="00F92AD6" w14:paraId="52E5282D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3425E" w14:textId="77777777" w:rsidR="003C01D9" w:rsidRPr="00F92AD6" w:rsidRDefault="003C01D9" w:rsidP="003C01D9">
            <w:pPr>
              <w:bidi w:val="0"/>
            </w:pPr>
            <w:r w:rsidRPr="00F92AD6">
              <w:t>Ra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60A6F" w14:textId="77777777" w:rsidR="003C01D9" w:rsidRPr="00F92AD6" w:rsidRDefault="003C01D9" w:rsidP="003C01D9">
            <w:pPr>
              <w:bidi w:val="0"/>
            </w:pPr>
            <w:r w:rsidRPr="00F92AD6">
              <w:t>12.98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B0896" w14:textId="77777777" w:rsidR="003C01D9" w:rsidRPr="00F92AD6" w:rsidRDefault="003C01D9" w:rsidP="003C01D9">
            <w:pPr>
              <w:bidi w:val="0"/>
            </w:pPr>
            <w:r w:rsidRPr="00F92AD6">
              <w:t>9</w:t>
            </w:r>
          </w:p>
        </w:tc>
      </w:tr>
      <w:tr w:rsidR="003C01D9" w:rsidRPr="00F92AD6" w14:paraId="3EDE74E8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31D57" w14:textId="77777777" w:rsidR="003C01D9" w:rsidRPr="00F92AD6" w:rsidRDefault="003C01D9" w:rsidP="003C01D9">
            <w:pPr>
              <w:bidi w:val="0"/>
            </w:pPr>
            <w:r w:rsidRPr="00F92AD6">
              <w:t>RMS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96805" w14:textId="77777777" w:rsidR="003C01D9" w:rsidRPr="00F92AD6" w:rsidRDefault="003C01D9" w:rsidP="003C01D9">
            <w:pPr>
              <w:bidi w:val="0"/>
            </w:pPr>
            <w:r w:rsidRPr="00F92AD6">
              <w:t>12.87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88AB7" w14:textId="77777777" w:rsidR="003C01D9" w:rsidRPr="00F92AD6" w:rsidRDefault="003C01D9" w:rsidP="003C01D9">
            <w:pPr>
              <w:bidi w:val="0"/>
            </w:pPr>
            <w:r w:rsidRPr="00F92AD6">
              <w:t>10</w:t>
            </w:r>
          </w:p>
        </w:tc>
      </w:tr>
      <w:tr w:rsidR="003C01D9" w:rsidRPr="00F92AD6" w14:paraId="2CB0AD82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7CDBB" w14:textId="77777777" w:rsidR="003C01D9" w:rsidRPr="00F92AD6" w:rsidRDefault="003C01D9" w:rsidP="003C01D9">
            <w:pPr>
              <w:bidi w:val="0"/>
            </w:pPr>
            <w:r w:rsidRPr="00F92AD6">
              <w:t>Solubility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C7CE4" w14:textId="77777777" w:rsidR="003C01D9" w:rsidRPr="00F92AD6" w:rsidRDefault="003C01D9" w:rsidP="003C01D9">
            <w:pPr>
              <w:bidi w:val="0"/>
            </w:pPr>
            <w:r w:rsidRPr="00F92AD6">
              <w:t>11.33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FF757" w14:textId="77777777" w:rsidR="003C01D9" w:rsidRPr="00F92AD6" w:rsidRDefault="003C01D9" w:rsidP="003C01D9">
            <w:pPr>
              <w:bidi w:val="0"/>
            </w:pPr>
            <w:r w:rsidRPr="00F92AD6">
              <w:t>11</w:t>
            </w:r>
          </w:p>
        </w:tc>
      </w:tr>
      <w:tr w:rsidR="003C01D9" w:rsidRPr="00F92AD6" w14:paraId="17CEA0F0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D1318" w14:textId="77777777" w:rsidR="003C01D9" w:rsidRPr="00F92AD6" w:rsidRDefault="003C01D9" w:rsidP="003C01D9">
            <w:pPr>
              <w:bidi w:val="0"/>
            </w:pPr>
            <w:r w:rsidRPr="00F92AD6">
              <w:t>L*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24267" w14:textId="77777777" w:rsidR="003C01D9" w:rsidRPr="00F92AD6" w:rsidRDefault="003C01D9" w:rsidP="003C01D9">
            <w:pPr>
              <w:bidi w:val="0"/>
            </w:pPr>
            <w:r w:rsidRPr="00F92AD6">
              <w:t>8.58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A5C95" w14:textId="77777777" w:rsidR="003C01D9" w:rsidRPr="00F92AD6" w:rsidRDefault="003C01D9" w:rsidP="003C01D9">
            <w:pPr>
              <w:bidi w:val="0"/>
            </w:pPr>
            <w:r w:rsidRPr="00F92AD6">
              <w:t>12</w:t>
            </w:r>
          </w:p>
        </w:tc>
      </w:tr>
      <w:tr w:rsidR="003C01D9" w:rsidRPr="00F92AD6" w14:paraId="1366C73A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0E4BC" w14:textId="77777777" w:rsidR="003C01D9" w:rsidRPr="00F92AD6" w:rsidRDefault="003C01D9" w:rsidP="003C01D9">
            <w:pPr>
              <w:bidi w:val="0"/>
            </w:pPr>
            <w:proofErr w:type="spellStart"/>
            <w:r w:rsidRPr="00F92AD6">
              <w:t>PtV</w:t>
            </w:r>
            <w:proofErr w:type="spellEnd"/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4006C" w14:textId="77777777" w:rsidR="003C01D9" w:rsidRPr="00F92AD6" w:rsidRDefault="003C01D9" w:rsidP="003C01D9">
            <w:pPr>
              <w:bidi w:val="0"/>
            </w:pPr>
            <w:r w:rsidRPr="00F92AD6">
              <w:t>8.20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12073" w14:textId="77777777" w:rsidR="003C01D9" w:rsidRPr="00F92AD6" w:rsidRDefault="003C01D9" w:rsidP="003C01D9">
            <w:pPr>
              <w:bidi w:val="0"/>
            </w:pPr>
            <w:r w:rsidRPr="00F92AD6">
              <w:t>13</w:t>
            </w:r>
          </w:p>
        </w:tc>
      </w:tr>
      <w:tr w:rsidR="003C01D9" w:rsidRPr="00F92AD6" w14:paraId="393F7ACF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5C1D4" w14:textId="77777777" w:rsidR="003C01D9" w:rsidRPr="00F92AD6" w:rsidRDefault="003C01D9" w:rsidP="003C01D9">
            <w:pPr>
              <w:bidi w:val="0"/>
            </w:pPr>
            <w:r w:rsidRPr="00F92AD6">
              <w:t>Skewness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9BFFA" w14:textId="77777777" w:rsidR="003C01D9" w:rsidRPr="00F92AD6" w:rsidRDefault="003C01D9" w:rsidP="003C01D9">
            <w:pPr>
              <w:bidi w:val="0"/>
            </w:pPr>
            <w:r w:rsidRPr="00F92AD6">
              <w:t>5.41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6AB1D" w14:textId="77777777" w:rsidR="003C01D9" w:rsidRPr="00F92AD6" w:rsidRDefault="003C01D9" w:rsidP="003C01D9">
            <w:pPr>
              <w:bidi w:val="0"/>
            </w:pPr>
            <w:r w:rsidRPr="00F92AD6">
              <w:t>14</w:t>
            </w:r>
          </w:p>
        </w:tc>
      </w:tr>
      <w:tr w:rsidR="003C01D9" w:rsidRPr="00F92AD6" w14:paraId="04349922" w14:textId="77777777" w:rsidTr="00A32C19">
        <w:trPr>
          <w:tblCellSpacing w:w="15" w:type="dxa"/>
          <w:jc w:val="center"/>
        </w:trPr>
        <w:tc>
          <w:tcPr>
            <w:tcW w:w="19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3A07" w14:textId="77777777" w:rsidR="003C01D9" w:rsidRPr="00F92AD6" w:rsidRDefault="003C01D9" w:rsidP="003C01D9">
            <w:pPr>
              <w:bidi w:val="0"/>
            </w:pPr>
            <w:r w:rsidRPr="00F92AD6">
              <w:t>Kurtosis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A0EC9" w14:textId="77777777" w:rsidR="003C01D9" w:rsidRPr="00F92AD6" w:rsidRDefault="003C01D9" w:rsidP="003C01D9">
            <w:pPr>
              <w:bidi w:val="0"/>
            </w:pPr>
            <w:r w:rsidRPr="00F92AD6">
              <w:t>5.06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129B" w14:textId="77777777" w:rsidR="003C01D9" w:rsidRPr="00F92AD6" w:rsidRDefault="003C01D9" w:rsidP="003C01D9">
            <w:pPr>
              <w:bidi w:val="0"/>
            </w:pPr>
            <w:r w:rsidRPr="00F92AD6">
              <w:t>15</w:t>
            </w:r>
          </w:p>
        </w:tc>
      </w:tr>
    </w:tbl>
    <w:p w14:paraId="56B69D3E" w14:textId="04681FFD" w:rsidR="003C01D9" w:rsidRPr="003C01D9" w:rsidRDefault="003C01D9" w:rsidP="003C01D9">
      <w:pPr>
        <w:bidi w:val="0"/>
      </w:pPr>
      <w:r>
        <w:t>*</w:t>
      </w:r>
      <w:r w:rsidRPr="003C01D9">
        <w:rPr>
          <w:i/>
          <w:iCs/>
        </w:rPr>
        <w:t>PC1 = 42.36%, PC2 = 22.59%; cumulative variance = 64.95%</w:t>
      </w:r>
    </w:p>
    <w:p w14:paraId="49EB960E" w14:textId="77777777" w:rsidR="00EF3297" w:rsidRDefault="00EF3297" w:rsidP="00EF3297">
      <w:pPr>
        <w:bidi w:val="0"/>
      </w:pPr>
    </w:p>
    <w:p w14:paraId="22E85E67" w14:textId="77777777" w:rsidR="003C01D9" w:rsidRDefault="003C01D9" w:rsidP="003C01D9">
      <w:pPr>
        <w:bidi w:val="0"/>
      </w:pPr>
    </w:p>
    <w:p w14:paraId="230D3A44" w14:textId="77777777" w:rsidR="00A32C19" w:rsidRDefault="00A32C19">
      <w:r>
        <w:br w:type="page"/>
      </w:r>
    </w:p>
    <w:p w14:paraId="6C96BAAF" w14:textId="42507109" w:rsidR="008A12D8" w:rsidRPr="008A12D8" w:rsidRDefault="003C01D9" w:rsidP="008A12D8">
      <w:pPr>
        <w:bidi w:val="0"/>
      </w:pPr>
      <w:r w:rsidRPr="00A26DEB">
        <w:lastRenderedPageBreak/>
        <w:t xml:space="preserve">Table S3. </w:t>
      </w:r>
      <w:r w:rsidR="008A12D8" w:rsidRPr="008A12D8">
        <w:t>Cluster membership of CMC nanocomposite films obtained from hierarchical cluster analysis (HCA) using 2-, 3-, and 4-cluster solutions.</w:t>
      </w:r>
    </w:p>
    <w:tbl>
      <w:tblPr>
        <w:tblW w:w="0" w:type="auto"/>
        <w:jc w:val="center"/>
        <w:tblCellSpacing w:w="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048"/>
        <w:gridCol w:w="1048"/>
        <w:gridCol w:w="1048"/>
      </w:tblGrid>
      <w:tr w:rsidR="003C01D9" w:rsidRPr="00F92AD6" w14:paraId="0CE1B08C" w14:textId="77777777" w:rsidTr="00A32C1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E6A4" w14:textId="77777777" w:rsidR="003C01D9" w:rsidRPr="00F92AD6" w:rsidRDefault="003C01D9" w:rsidP="003C01D9">
            <w:pPr>
              <w:bidi w:val="0"/>
            </w:pPr>
            <w:r w:rsidRPr="00F92AD6">
              <w:t>Sample ID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5FCD7" w14:textId="77777777" w:rsidR="003C01D9" w:rsidRPr="00F92AD6" w:rsidRDefault="003C01D9" w:rsidP="00AE772A">
            <w:pPr>
              <w:bidi w:val="0"/>
              <w:jc w:val="center"/>
            </w:pPr>
            <w:r w:rsidRPr="00F92AD6">
              <w:t>k = 2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1A717" w14:textId="77777777" w:rsidR="003C01D9" w:rsidRPr="00F92AD6" w:rsidRDefault="003C01D9" w:rsidP="00AE772A">
            <w:pPr>
              <w:bidi w:val="0"/>
              <w:jc w:val="center"/>
            </w:pPr>
            <w:r w:rsidRPr="00F92AD6">
              <w:t>k = 3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3CECE" w14:textId="77777777" w:rsidR="003C01D9" w:rsidRPr="00F92AD6" w:rsidRDefault="003C01D9" w:rsidP="00AE772A">
            <w:pPr>
              <w:bidi w:val="0"/>
              <w:jc w:val="center"/>
            </w:pPr>
            <w:r w:rsidRPr="00F92AD6">
              <w:t>k = 4</w:t>
            </w:r>
          </w:p>
        </w:tc>
      </w:tr>
      <w:tr w:rsidR="003C01D9" w:rsidRPr="003C01D9" w14:paraId="2A184457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E9A10" w14:textId="77777777" w:rsidR="003C01D9" w:rsidRPr="003C01D9" w:rsidRDefault="003C01D9" w:rsidP="003C01D9">
            <w:pPr>
              <w:bidi w:val="0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9424A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C8A1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DA7B8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</w:tr>
      <w:tr w:rsidR="003C01D9" w:rsidRPr="003C01D9" w14:paraId="25C8C9B3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2993F" w14:textId="77777777" w:rsidR="003C01D9" w:rsidRPr="003C01D9" w:rsidRDefault="003C01D9" w:rsidP="003C01D9">
            <w:pPr>
              <w:bidi w:val="0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DBEFB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48CC2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8D38E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</w:tr>
      <w:tr w:rsidR="003C01D9" w:rsidRPr="003C01D9" w14:paraId="014DFF54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EAD13" w14:textId="77777777" w:rsidR="003C01D9" w:rsidRPr="003C01D9" w:rsidRDefault="003C01D9" w:rsidP="003C01D9">
            <w:pPr>
              <w:bidi w:val="0"/>
            </w:pPr>
            <w:r w:rsidRPr="003C01D9">
              <w:t>3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26B99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6A12C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217F6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</w:tr>
      <w:tr w:rsidR="003C01D9" w:rsidRPr="003C01D9" w14:paraId="17965DDE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8ED85" w14:textId="77777777" w:rsidR="003C01D9" w:rsidRPr="003C01D9" w:rsidRDefault="003C01D9" w:rsidP="003C01D9">
            <w:pPr>
              <w:bidi w:val="0"/>
            </w:pPr>
            <w:r w:rsidRPr="003C01D9">
              <w:t>4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CBD0B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D170B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9BA20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4</w:t>
            </w:r>
          </w:p>
        </w:tc>
      </w:tr>
      <w:tr w:rsidR="003C01D9" w:rsidRPr="003C01D9" w14:paraId="62140F68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BCFA8" w14:textId="77777777" w:rsidR="003C01D9" w:rsidRPr="003C01D9" w:rsidRDefault="003C01D9" w:rsidP="003C01D9">
            <w:pPr>
              <w:bidi w:val="0"/>
            </w:pPr>
            <w:r w:rsidRPr="003C01D9">
              <w:t>5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A6135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00DCB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DC890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</w:tr>
      <w:tr w:rsidR="003C01D9" w:rsidRPr="003C01D9" w14:paraId="6BC79587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FF37B" w14:textId="77777777" w:rsidR="003C01D9" w:rsidRPr="003C01D9" w:rsidRDefault="003C01D9" w:rsidP="003C01D9">
            <w:pPr>
              <w:bidi w:val="0"/>
            </w:pPr>
            <w:r w:rsidRPr="003C01D9">
              <w:t>6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C8256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0F01C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85E53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</w:tr>
      <w:tr w:rsidR="003C01D9" w:rsidRPr="003C01D9" w14:paraId="6B4E6B8E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05427" w14:textId="77777777" w:rsidR="003C01D9" w:rsidRPr="003C01D9" w:rsidRDefault="003C01D9" w:rsidP="003C01D9">
            <w:pPr>
              <w:bidi w:val="0"/>
            </w:pPr>
            <w:r w:rsidRPr="003C01D9">
              <w:t>7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93C9B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6B104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1D4D3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</w:tr>
      <w:tr w:rsidR="003C01D9" w:rsidRPr="003C01D9" w14:paraId="09CEACCD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11CAC" w14:textId="77777777" w:rsidR="003C01D9" w:rsidRPr="003C01D9" w:rsidRDefault="003C01D9" w:rsidP="003C01D9">
            <w:pPr>
              <w:bidi w:val="0"/>
            </w:pPr>
            <w:r w:rsidRPr="003C01D9">
              <w:t>8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5D684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34C3C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0822D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4</w:t>
            </w:r>
          </w:p>
        </w:tc>
      </w:tr>
      <w:tr w:rsidR="003C01D9" w:rsidRPr="003C01D9" w14:paraId="417B6121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7EDA4" w14:textId="77777777" w:rsidR="003C01D9" w:rsidRPr="003C01D9" w:rsidRDefault="003C01D9" w:rsidP="003C01D9">
            <w:pPr>
              <w:bidi w:val="0"/>
            </w:pPr>
            <w:r w:rsidRPr="003C01D9">
              <w:t>9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49D20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C815C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B6AC2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</w:tr>
      <w:tr w:rsidR="003C01D9" w:rsidRPr="003C01D9" w14:paraId="67649275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A01DC" w14:textId="77777777" w:rsidR="003C01D9" w:rsidRPr="003C01D9" w:rsidRDefault="003C01D9" w:rsidP="003C01D9">
            <w:pPr>
              <w:bidi w:val="0"/>
            </w:pPr>
            <w:r w:rsidRPr="003C01D9">
              <w:t>10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62AB6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18780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7E4E2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</w:tr>
      <w:tr w:rsidR="003C01D9" w:rsidRPr="003C01D9" w14:paraId="0C1E5924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3909C" w14:textId="77777777" w:rsidR="003C01D9" w:rsidRPr="003C01D9" w:rsidRDefault="003C01D9" w:rsidP="003C01D9">
            <w:pPr>
              <w:bidi w:val="0"/>
            </w:pPr>
            <w:r w:rsidRPr="003C01D9">
              <w:t>11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F7F0C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1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9C90D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2BB76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3</w:t>
            </w:r>
          </w:p>
        </w:tc>
      </w:tr>
      <w:tr w:rsidR="003C01D9" w:rsidRPr="003C01D9" w14:paraId="67FA69E9" w14:textId="77777777" w:rsidTr="00A32C1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E6132" w14:textId="77777777" w:rsidR="003C01D9" w:rsidRPr="003C01D9" w:rsidRDefault="003C01D9" w:rsidP="003C01D9">
            <w:pPr>
              <w:bidi w:val="0"/>
            </w:pPr>
            <w:r w:rsidRPr="003C01D9">
              <w:t>12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36798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A2769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2</w:t>
            </w: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6B500" w14:textId="77777777" w:rsidR="003C01D9" w:rsidRPr="003C01D9" w:rsidRDefault="003C01D9" w:rsidP="00AE772A">
            <w:pPr>
              <w:bidi w:val="0"/>
              <w:jc w:val="center"/>
            </w:pPr>
            <w:r w:rsidRPr="003C01D9">
              <w:t>4</w:t>
            </w:r>
          </w:p>
        </w:tc>
      </w:tr>
    </w:tbl>
    <w:p w14:paraId="5595916D" w14:textId="1B9787EC" w:rsidR="003C01D9" w:rsidRPr="003C01D9" w:rsidRDefault="003C01D9" w:rsidP="003C01D9">
      <w:pPr>
        <w:bidi w:val="0"/>
      </w:pPr>
      <w:r>
        <w:t>*</w:t>
      </w:r>
      <w:proofErr w:type="spellStart"/>
      <w:r w:rsidRPr="003C01D9">
        <w:t>Pcu</w:t>
      </w:r>
      <w:proofErr w:type="spellEnd"/>
      <w:r w:rsidRPr="003C01D9">
        <w:t xml:space="preserve"> consistently clusters separately at k = 3 and k = 4.</w:t>
      </w:r>
    </w:p>
    <w:p w14:paraId="3DEB9595" w14:textId="77777777" w:rsidR="003C01D9" w:rsidRDefault="003C01D9" w:rsidP="003C01D9">
      <w:pPr>
        <w:bidi w:val="0"/>
      </w:pPr>
    </w:p>
    <w:p w14:paraId="6A11A33A" w14:textId="77777777" w:rsidR="00A07626" w:rsidRDefault="00A07626">
      <w:r>
        <w:br w:type="page"/>
      </w:r>
    </w:p>
    <w:p w14:paraId="77A959FE" w14:textId="5FAF7B14" w:rsidR="008A12D8" w:rsidRPr="008A12D8" w:rsidRDefault="00F67BBC" w:rsidP="008A12D8">
      <w:pPr>
        <w:bidi w:val="0"/>
      </w:pPr>
      <w:r w:rsidRPr="00A26DEB">
        <w:lastRenderedPageBreak/>
        <w:t xml:space="preserve">Table S4. </w:t>
      </w:r>
      <w:r w:rsidR="008A12D8" w:rsidRPr="008A12D8">
        <w:t>PERMANOVA results assessing the global multivariate effect of film formulation on standardized physicochemical, optical, and surface parameters.</w:t>
      </w:r>
    </w:p>
    <w:tbl>
      <w:tblPr>
        <w:tblW w:w="0" w:type="auto"/>
        <w:jc w:val="center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907"/>
        <w:gridCol w:w="1247"/>
        <w:gridCol w:w="1134"/>
        <w:gridCol w:w="1134"/>
        <w:gridCol w:w="1009"/>
      </w:tblGrid>
      <w:tr w:rsidR="00655242" w:rsidRPr="00655242" w14:paraId="7A371468" w14:textId="77777777" w:rsidTr="00A07626">
        <w:trPr>
          <w:tblCellSpacing w:w="15" w:type="dxa"/>
          <w:jc w:val="center"/>
        </w:trPr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257762" w14:textId="77777777" w:rsidR="00F67BBC" w:rsidRPr="00655242" w:rsidRDefault="00F67BBC" w:rsidP="00F67BBC">
            <w:pPr>
              <w:bidi w:val="0"/>
            </w:pPr>
            <w:r w:rsidRPr="00655242">
              <w:t>Term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61CF27" w14:textId="77777777" w:rsidR="00F67BBC" w:rsidRPr="00655242" w:rsidRDefault="00F67BBC" w:rsidP="00F67BBC">
            <w:pPr>
              <w:bidi w:val="0"/>
            </w:pPr>
            <w:proofErr w:type="spellStart"/>
            <w:r w:rsidRPr="00655242">
              <w:t>Df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55023C" w14:textId="77777777" w:rsidR="00F67BBC" w:rsidRPr="00655242" w:rsidRDefault="00F67BBC" w:rsidP="00F67BBC">
            <w:pPr>
              <w:bidi w:val="0"/>
            </w:pPr>
            <w:r w:rsidRPr="00655242">
              <w:t>Sum Sq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435CF6" w14:textId="77777777" w:rsidR="00F67BBC" w:rsidRPr="00655242" w:rsidRDefault="00F67BBC" w:rsidP="00F67BBC">
            <w:pPr>
              <w:bidi w:val="0"/>
            </w:pPr>
            <w:r w:rsidRPr="00655242">
              <w:t>R²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5226CE" w14:textId="77777777" w:rsidR="00F67BBC" w:rsidRPr="00655242" w:rsidRDefault="00F67BBC" w:rsidP="00F67BBC">
            <w:pPr>
              <w:bidi w:val="0"/>
            </w:pPr>
            <w:r w:rsidRPr="00655242">
              <w:t>F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A7821C" w14:textId="77777777" w:rsidR="00F67BBC" w:rsidRPr="00655242" w:rsidRDefault="00F67BBC" w:rsidP="00F67BBC">
            <w:pPr>
              <w:bidi w:val="0"/>
            </w:pPr>
            <w:r w:rsidRPr="00655242">
              <w:t>p-value</w:t>
            </w:r>
          </w:p>
        </w:tc>
      </w:tr>
      <w:tr w:rsidR="00655242" w:rsidRPr="00655242" w14:paraId="510AAD8F" w14:textId="77777777" w:rsidTr="00A07626">
        <w:trPr>
          <w:tblCellSpacing w:w="15" w:type="dxa"/>
          <w:jc w:val="center"/>
        </w:trPr>
        <w:tc>
          <w:tcPr>
            <w:tcW w:w="1599" w:type="dxa"/>
            <w:vAlign w:val="center"/>
            <w:hideMark/>
          </w:tcPr>
          <w:p w14:paraId="2E16C860" w14:textId="77777777" w:rsidR="00F67BBC" w:rsidRPr="00655242" w:rsidRDefault="00F67BBC" w:rsidP="00F67BBC">
            <w:pPr>
              <w:bidi w:val="0"/>
            </w:pPr>
            <w:r w:rsidRPr="00655242">
              <w:t>Treatment</w:t>
            </w:r>
          </w:p>
        </w:tc>
        <w:tc>
          <w:tcPr>
            <w:tcW w:w="877" w:type="dxa"/>
            <w:vAlign w:val="center"/>
            <w:hideMark/>
          </w:tcPr>
          <w:p w14:paraId="3B11E89C" w14:textId="77777777" w:rsidR="00F67BBC" w:rsidRPr="00655242" w:rsidRDefault="00F67BBC" w:rsidP="00F67BBC">
            <w:pPr>
              <w:bidi w:val="0"/>
            </w:pPr>
            <w:r w:rsidRPr="00655242">
              <w:t>3</w:t>
            </w:r>
          </w:p>
        </w:tc>
        <w:tc>
          <w:tcPr>
            <w:tcW w:w="1217" w:type="dxa"/>
            <w:vAlign w:val="center"/>
            <w:hideMark/>
          </w:tcPr>
          <w:p w14:paraId="39158B6E" w14:textId="77777777" w:rsidR="00F67BBC" w:rsidRPr="00655242" w:rsidRDefault="00F67BBC" w:rsidP="00F67BBC">
            <w:pPr>
              <w:bidi w:val="0"/>
            </w:pPr>
            <w:r w:rsidRPr="00655242">
              <w:t>8986.8</w:t>
            </w:r>
          </w:p>
        </w:tc>
        <w:tc>
          <w:tcPr>
            <w:tcW w:w="1104" w:type="dxa"/>
            <w:vAlign w:val="center"/>
            <w:hideMark/>
          </w:tcPr>
          <w:p w14:paraId="0A92BDE0" w14:textId="77777777" w:rsidR="00F67BBC" w:rsidRPr="00655242" w:rsidRDefault="00F67BBC" w:rsidP="00F67BBC">
            <w:pPr>
              <w:bidi w:val="0"/>
            </w:pPr>
            <w:r w:rsidRPr="00655242">
              <w:t>0.9963</w:t>
            </w:r>
          </w:p>
        </w:tc>
        <w:tc>
          <w:tcPr>
            <w:tcW w:w="1104" w:type="dxa"/>
            <w:vAlign w:val="center"/>
            <w:hideMark/>
          </w:tcPr>
          <w:p w14:paraId="3A8AF5B8" w14:textId="77777777" w:rsidR="00F67BBC" w:rsidRPr="00655242" w:rsidRDefault="00F67BBC" w:rsidP="00F67BBC">
            <w:pPr>
              <w:bidi w:val="0"/>
            </w:pPr>
            <w:r w:rsidRPr="00655242">
              <w:t>717.46</w:t>
            </w:r>
          </w:p>
        </w:tc>
        <w:tc>
          <w:tcPr>
            <w:tcW w:w="964" w:type="dxa"/>
            <w:vAlign w:val="center"/>
            <w:hideMark/>
          </w:tcPr>
          <w:p w14:paraId="0001684B" w14:textId="77777777" w:rsidR="00F67BBC" w:rsidRPr="00655242" w:rsidRDefault="00F67BBC" w:rsidP="00F67BBC">
            <w:pPr>
              <w:bidi w:val="0"/>
            </w:pPr>
            <w:r w:rsidRPr="00655242">
              <w:t>0.253</w:t>
            </w:r>
          </w:p>
        </w:tc>
      </w:tr>
      <w:tr w:rsidR="00655242" w:rsidRPr="00F67BBC" w14:paraId="6E191FBA" w14:textId="77777777" w:rsidTr="00A07626">
        <w:trPr>
          <w:tblCellSpacing w:w="15" w:type="dxa"/>
          <w:jc w:val="center"/>
        </w:trPr>
        <w:tc>
          <w:tcPr>
            <w:tcW w:w="1599" w:type="dxa"/>
            <w:vAlign w:val="center"/>
            <w:hideMark/>
          </w:tcPr>
          <w:p w14:paraId="21B11627" w14:textId="77777777" w:rsidR="00F67BBC" w:rsidRPr="00F67BBC" w:rsidRDefault="00F67BBC" w:rsidP="00F67BBC">
            <w:pPr>
              <w:bidi w:val="0"/>
            </w:pPr>
            <w:r w:rsidRPr="00F67BBC">
              <w:t>Residuals</w:t>
            </w:r>
          </w:p>
        </w:tc>
        <w:tc>
          <w:tcPr>
            <w:tcW w:w="877" w:type="dxa"/>
            <w:vAlign w:val="center"/>
            <w:hideMark/>
          </w:tcPr>
          <w:p w14:paraId="21AB9748" w14:textId="77777777" w:rsidR="00F67BBC" w:rsidRPr="00F67BBC" w:rsidRDefault="00F67BBC" w:rsidP="00F67BBC">
            <w:pPr>
              <w:bidi w:val="0"/>
            </w:pPr>
            <w:r w:rsidRPr="00F67BBC">
              <w:t>8</w:t>
            </w:r>
          </w:p>
        </w:tc>
        <w:tc>
          <w:tcPr>
            <w:tcW w:w="1217" w:type="dxa"/>
            <w:vAlign w:val="center"/>
            <w:hideMark/>
          </w:tcPr>
          <w:p w14:paraId="4ED77913" w14:textId="77777777" w:rsidR="00F67BBC" w:rsidRPr="00F67BBC" w:rsidRDefault="00F67BBC" w:rsidP="00F67BBC">
            <w:pPr>
              <w:bidi w:val="0"/>
            </w:pPr>
            <w:r w:rsidRPr="00F67BBC">
              <w:t>33.4</w:t>
            </w:r>
          </w:p>
        </w:tc>
        <w:tc>
          <w:tcPr>
            <w:tcW w:w="1104" w:type="dxa"/>
            <w:vAlign w:val="center"/>
            <w:hideMark/>
          </w:tcPr>
          <w:p w14:paraId="3B4CB887" w14:textId="77777777" w:rsidR="00F67BBC" w:rsidRPr="00F67BBC" w:rsidRDefault="00F67BBC" w:rsidP="00F67BBC">
            <w:pPr>
              <w:bidi w:val="0"/>
            </w:pPr>
            <w:r w:rsidRPr="00F67BBC">
              <w:t>0.0037</w:t>
            </w:r>
          </w:p>
        </w:tc>
        <w:tc>
          <w:tcPr>
            <w:tcW w:w="1104" w:type="dxa"/>
            <w:vAlign w:val="center"/>
            <w:hideMark/>
          </w:tcPr>
          <w:p w14:paraId="094FD8BB" w14:textId="77777777" w:rsidR="00F67BBC" w:rsidRPr="00F67BBC" w:rsidRDefault="00F67BBC" w:rsidP="00F67BBC">
            <w:pPr>
              <w:bidi w:val="0"/>
            </w:pPr>
            <w:r w:rsidRPr="00F67BBC">
              <w:t>—</w:t>
            </w:r>
          </w:p>
        </w:tc>
        <w:tc>
          <w:tcPr>
            <w:tcW w:w="964" w:type="dxa"/>
            <w:vAlign w:val="center"/>
            <w:hideMark/>
          </w:tcPr>
          <w:p w14:paraId="573A2E90" w14:textId="77777777" w:rsidR="00F67BBC" w:rsidRPr="00F67BBC" w:rsidRDefault="00F67BBC" w:rsidP="00F67BBC">
            <w:pPr>
              <w:bidi w:val="0"/>
            </w:pPr>
            <w:r w:rsidRPr="00F67BBC">
              <w:t>—</w:t>
            </w:r>
          </w:p>
        </w:tc>
      </w:tr>
    </w:tbl>
    <w:p w14:paraId="01454C98" w14:textId="77777777" w:rsidR="00F67BBC" w:rsidRDefault="00F67BBC" w:rsidP="00F67BBC">
      <w:pPr>
        <w:bidi w:val="0"/>
      </w:pPr>
    </w:p>
    <w:p w14:paraId="3D4F955A" w14:textId="41AFD6AA" w:rsidR="00A07626" w:rsidRDefault="00A07626">
      <w:r>
        <w:br w:type="page"/>
      </w:r>
    </w:p>
    <w:p w14:paraId="11CB157F" w14:textId="77777777" w:rsidR="00017F78" w:rsidRDefault="00017F78" w:rsidP="00017F78">
      <w:pPr>
        <w:bidi w:val="0"/>
      </w:pPr>
    </w:p>
    <w:p w14:paraId="611F4713" w14:textId="48832368" w:rsidR="00D4770D" w:rsidRDefault="00D4770D" w:rsidP="00A07626">
      <w:pPr>
        <w:bidi w:val="0"/>
        <w:jc w:val="center"/>
      </w:pPr>
      <w:r>
        <w:rPr>
          <w:noProof/>
        </w:rPr>
        <w:drawing>
          <wp:inline distT="0" distB="0" distL="0" distR="0" wp14:anchorId="69F22F03" wp14:editId="6D61B412">
            <wp:extent cx="5731510" cy="3889375"/>
            <wp:effectExtent l="0" t="0" r="2540" b="0"/>
            <wp:docPr id="19765707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70751" name="Picture 1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2A08D" w14:textId="77777777" w:rsidR="008A12D8" w:rsidRPr="008A12D8" w:rsidRDefault="004D23F4" w:rsidP="008A12D8">
      <w:pPr>
        <w:bidi w:val="0"/>
      </w:pPr>
      <w:r>
        <w:t>Figure S1</w:t>
      </w:r>
      <w:r w:rsidR="008A12D8">
        <w:t>.</w:t>
      </w:r>
      <w:r>
        <w:t xml:space="preserve"> </w:t>
      </w:r>
      <w:r w:rsidR="008A12D8" w:rsidRPr="008A12D8">
        <w:t>Residual diagnostic plots for the multiple linear regression model predicting water vapor permeability (WVP), including residuals versus fitted values and normal Q–Q plot.</w:t>
      </w:r>
    </w:p>
    <w:p w14:paraId="55408ADD" w14:textId="0DAC7B15" w:rsidR="00A07626" w:rsidRDefault="00A07626">
      <w:r>
        <w:br w:type="page"/>
      </w:r>
    </w:p>
    <w:p w14:paraId="6E20ADF6" w14:textId="77777777" w:rsidR="00D4770D" w:rsidRDefault="00D4770D" w:rsidP="00D4770D">
      <w:pPr>
        <w:bidi w:val="0"/>
      </w:pPr>
    </w:p>
    <w:p w14:paraId="70A4C1F7" w14:textId="4F2E53C3" w:rsidR="00D4770D" w:rsidRDefault="00D4770D" w:rsidP="00D4770D">
      <w:pPr>
        <w:bidi w:val="0"/>
      </w:pPr>
      <w:r>
        <w:rPr>
          <w:noProof/>
        </w:rPr>
        <w:drawing>
          <wp:inline distT="0" distB="0" distL="0" distR="0" wp14:anchorId="3F5042E5" wp14:editId="0FDF2150">
            <wp:extent cx="5731510" cy="4137025"/>
            <wp:effectExtent l="0" t="0" r="2540" b="0"/>
            <wp:docPr id="1080331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3115" name="Picture 4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7F8A5" w14:textId="77777777" w:rsidR="008A12D8" w:rsidRPr="008A12D8" w:rsidRDefault="00E71AEB" w:rsidP="008A12D8">
      <w:pPr>
        <w:bidi w:val="0"/>
      </w:pPr>
      <w:r>
        <w:t xml:space="preserve">Figure S2. </w:t>
      </w:r>
      <w:r w:rsidR="008A12D8" w:rsidRPr="008A12D8">
        <w:t>Scree plot of eigenvalues from principal component analysis, showing the proportion of variance explained by each principal component.</w:t>
      </w:r>
    </w:p>
    <w:p w14:paraId="701F0D1C" w14:textId="7E0DBE78" w:rsidR="00A07626" w:rsidRDefault="00A07626">
      <w:r>
        <w:br w:type="page"/>
      </w:r>
    </w:p>
    <w:p w14:paraId="6B1210D1" w14:textId="7D65587E" w:rsidR="00D4770D" w:rsidRDefault="00D4770D" w:rsidP="00D4770D">
      <w:pPr>
        <w:bidi w:val="0"/>
      </w:pPr>
      <w:r>
        <w:rPr>
          <w:noProof/>
        </w:rPr>
        <w:lastRenderedPageBreak/>
        <w:drawing>
          <wp:inline distT="0" distB="0" distL="0" distR="0" wp14:anchorId="3400E764" wp14:editId="4A9283B3">
            <wp:extent cx="5731510" cy="4098925"/>
            <wp:effectExtent l="0" t="0" r="2540" b="0"/>
            <wp:docPr id="12690320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32074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6973F" w14:textId="77777777" w:rsidR="008A12D8" w:rsidRPr="008A12D8" w:rsidRDefault="00E71AEB" w:rsidP="008A12D8">
      <w:pPr>
        <w:bidi w:val="0"/>
      </w:pPr>
      <w:r>
        <w:t xml:space="preserve">Figure S3. </w:t>
      </w:r>
      <w:r w:rsidR="008A12D8" w:rsidRPr="008A12D8">
        <w:t>Variables with the highest contributions to PC1 and PC2, highlighting key parameters driving multivariate differentiation among film formulations.</w:t>
      </w:r>
    </w:p>
    <w:p w14:paraId="3729CC39" w14:textId="77777777" w:rsidR="00D4770D" w:rsidRDefault="00D4770D" w:rsidP="00D4770D">
      <w:pPr>
        <w:bidi w:val="0"/>
      </w:pPr>
    </w:p>
    <w:p w14:paraId="44C2B4CF" w14:textId="71D35060" w:rsidR="00A07626" w:rsidRDefault="00A07626">
      <w:r>
        <w:br w:type="page"/>
      </w:r>
    </w:p>
    <w:p w14:paraId="0320FC3A" w14:textId="06928984" w:rsidR="00D4770D" w:rsidRDefault="003C01D9" w:rsidP="00D4770D">
      <w:pPr>
        <w:bidi w:val="0"/>
      </w:pPr>
      <w:r>
        <w:rPr>
          <w:noProof/>
        </w:rPr>
        <w:lastRenderedPageBreak/>
        <w:drawing>
          <wp:inline distT="0" distB="0" distL="0" distR="0" wp14:anchorId="3EB249A5" wp14:editId="65F97DF8">
            <wp:extent cx="5731510" cy="4585335"/>
            <wp:effectExtent l="0" t="0" r="2540" b="5715"/>
            <wp:docPr id="7532927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92761" name="Pictur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E086" w14:textId="77777777" w:rsidR="008A12D8" w:rsidRPr="008A12D8" w:rsidRDefault="003C01D9" w:rsidP="008A12D8">
      <w:pPr>
        <w:bidi w:val="0"/>
      </w:pPr>
      <w:r>
        <w:t>Figure S4</w:t>
      </w:r>
      <w:r w:rsidR="008A12D8">
        <w:t>.</w:t>
      </w:r>
      <w:r>
        <w:t xml:space="preserve"> </w:t>
      </w:r>
      <w:r w:rsidR="008A12D8" w:rsidRPr="008A12D8">
        <w:t>Heatmap of standardized physicochemical, optical, barrier, and AFM parameters for all CMC film formulations.</w:t>
      </w:r>
    </w:p>
    <w:p w14:paraId="713E58DC" w14:textId="4210A59E" w:rsidR="003C01D9" w:rsidRDefault="003C01D9" w:rsidP="003C01D9">
      <w:pPr>
        <w:bidi w:val="0"/>
      </w:pPr>
    </w:p>
    <w:p w14:paraId="79A898D2" w14:textId="1660CFFF" w:rsidR="00A07626" w:rsidRDefault="00A07626">
      <w:r>
        <w:br w:type="page"/>
      </w:r>
    </w:p>
    <w:p w14:paraId="7602ADBB" w14:textId="43EE8168" w:rsidR="003C01D9" w:rsidRDefault="00D777C0" w:rsidP="003C01D9">
      <w:pPr>
        <w:bidi w:val="0"/>
      </w:pPr>
      <w:r>
        <w:rPr>
          <w:noProof/>
        </w:rPr>
        <w:lastRenderedPageBreak/>
        <w:drawing>
          <wp:inline distT="0" distB="0" distL="0" distR="0" wp14:anchorId="2FE74FEB" wp14:editId="20AEC71C">
            <wp:extent cx="5731510" cy="4171950"/>
            <wp:effectExtent l="0" t="0" r="2540" b="0"/>
            <wp:docPr id="16466206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20690" name="Picture 10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6E674" w14:textId="77777777" w:rsidR="008A12D8" w:rsidRPr="008A12D8" w:rsidRDefault="00D777C0" w:rsidP="008A12D8">
      <w:pPr>
        <w:bidi w:val="0"/>
      </w:pPr>
      <w:r>
        <w:t>Figure S5</w:t>
      </w:r>
      <w:r w:rsidR="008A12D8">
        <w:t>.</w:t>
      </w:r>
      <w:r>
        <w:t xml:space="preserve"> </w:t>
      </w:r>
      <w:r w:rsidR="008A12D8" w:rsidRPr="008A12D8">
        <w:t xml:space="preserve">Root </w:t>
      </w:r>
      <w:proofErr w:type="gramStart"/>
      <w:r w:rsidR="008A12D8" w:rsidRPr="008A12D8">
        <w:t>mean</w:t>
      </w:r>
      <w:proofErr w:type="gramEnd"/>
      <w:r w:rsidR="008A12D8" w:rsidRPr="008A12D8">
        <w:t xml:space="preserve"> square error of prediction (RMSEP) as a function of latent components in partial least squares regression (PLSR) modeling of water vapor permeability.</w:t>
      </w:r>
    </w:p>
    <w:p w14:paraId="28B294FE" w14:textId="77777777" w:rsidR="00D777C0" w:rsidRDefault="00D777C0" w:rsidP="00D777C0">
      <w:pPr>
        <w:bidi w:val="0"/>
      </w:pPr>
    </w:p>
    <w:sectPr w:rsidR="00D777C0" w:rsidSect="00200E9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4"/>
    <w:rsid w:val="00017F78"/>
    <w:rsid w:val="000B2B4E"/>
    <w:rsid w:val="000D1FF1"/>
    <w:rsid w:val="000D7FDB"/>
    <w:rsid w:val="00200E90"/>
    <w:rsid w:val="002845D9"/>
    <w:rsid w:val="002A20BC"/>
    <w:rsid w:val="002E57A4"/>
    <w:rsid w:val="00354883"/>
    <w:rsid w:val="003C01D9"/>
    <w:rsid w:val="0045097B"/>
    <w:rsid w:val="004D23F4"/>
    <w:rsid w:val="00621177"/>
    <w:rsid w:val="00655242"/>
    <w:rsid w:val="00807310"/>
    <w:rsid w:val="008660FD"/>
    <w:rsid w:val="008A12D8"/>
    <w:rsid w:val="009005CA"/>
    <w:rsid w:val="00957D65"/>
    <w:rsid w:val="00A07626"/>
    <w:rsid w:val="00A26DEB"/>
    <w:rsid w:val="00A32C19"/>
    <w:rsid w:val="00A4705E"/>
    <w:rsid w:val="00AE772A"/>
    <w:rsid w:val="00B20140"/>
    <w:rsid w:val="00C84C45"/>
    <w:rsid w:val="00CC0DD1"/>
    <w:rsid w:val="00D4770D"/>
    <w:rsid w:val="00D61B1E"/>
    <w:rsid w:val="00D777C0"/>
    <w:rsid w:val="00E71AEB"/>
    <w:rsid w:val="00EF3297"/>
    <w:rsid w:val="00F67BBC"/>
    <w:rsid w:val="00F9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AA9C"/>
  <w15:chartTrackingRefBased/>
  <w15:docId w15:val="{A1ED00DE-4E79-4D48-9D7C-8D41FB5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7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7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7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7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7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7A4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7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7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7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7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7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7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7A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Amidi Fazli</dc:creator>
  <cp:keywords/>
  <dc:description/>
  <cp:lastModifiedBy>Farid Amidi Fazli</cp:lastModifiedBy>
  <cp:revision>9</cp:revision>
  <dcterms:created xsi:type="dcterms:W3CDTF">2025-12-26T11:14:00Z</dcterms:created>
  <dcterms:modified xsi:type="dcterms:W3CDTF">2025-12-26T14:12:00Z</dcterms:modified>
</cp:coreProperties>
</file>