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CC7" w:rsidRPr="00A55D51" w:rsidRDefault="00D81CC7" w:rsidP="00D81CC7">
      <w:pPr>
        <w:spacing w:line="480" w:lineRule="auto"/>
        <w:jc w:val="both"/>
        <w:rPr>
          <w:b/>
          <w:bCs/>
        </w:rPr>
      </w:pPr>
      <w:r>
        <w:rPr>
          <w:b/>
          <w:bCs/>
        </w:rPr>
        <w:t>Table 1. 5-ALA Outcomes</w:t>
      </w:r>
      <w:r w:rsidRPr="00A55D51">
        <w:rPr>
          <w:b/>
          <w:bCs/>
        </w:rPr>
        <w:t xml:space="preserve"> Reported in the Literature</w:t>
      </w:r>
    </w:p>
    <w:tbl>
      <w:tblPr>
        <w:tblStyle w:val="TableGrid"/>
        <w:tblW w:w="11250" w:type="dxa"/>
        <w:tblInd w:w="-725" w:type="dxa"/>
        <w:tblLook w:val="04A0" w:firstRow="1" w:lastRow="0" w:firstColumn="1" w:lastColumn="0" w:noHBand="0" w:noVBand="1"/>
      </w:tblPr>
      <w:tblGrid>
        <w:gridCol w:w="1547"/>
        <w:gridCol w:w="1138"/>
        <w:gridCol w:w="1114"/>
        <w:gridCol w:w="1188"/>
        <w:gridCol w:w="1256"/>
        <w:gridCol w:w="1079"/>
        <w:gridCol w:w="1079"/>
        <w:gridCol w:w="1549"/>
        <w:gridCol w:w="1300"/>
      </w:tblGrid>
      <w:tr w:rsidR="00D81CC7" w:rsidRPr="00A55D51" w:rsidTr="00486758">
        <w:trPr>
          <w:trHeight w:val="1502"/>
        </w:trPr>
        <w:tc>
          <w:tcPr>
            <w:tcW w:w="1547" w:type="dxa"/>
            <w:shd w:val="clear" w:color="auto" w:fill="438CCF" w:themeFill="accent1" w:themeFillShade="E6"/>
          </w:tcPr>
          <w:p w:rsidR="00D81CC7" w:rsidRPr="00A55D51" w:rsidRDefault="00D81CC7" w:rsidP="00486758">
            <w:pPr>
              <w:jc w:val="both"/>
              <w:rPr>
                <w:b/>
                <w:bCs/>
                <w:sz w:val="16"/>
                <w:szCs w:val="16"/>
              </w:rPr>
            </w:pPr>
            <w:r w:rsidRPr="00A55D51">
              <w:rPr>
                <w:b/>
                <w:bCs/>
                <w:sz w:val="16"/>
                <w:szCs w:val="16"/>
              </w:rPr>
              <w:t>Reference/Year</w:t>
            </w:r>
          </w:p>
        </w:tc>
        <w:tc>
          <w:tcPr>
            <w:tcW w:w="1138" w:type="dxa"/>
            <w:shd w:val="clear" w:color="auto" w:fill="438CCF" w:themeFill="accent1" w:themeFillShade="E6"/>
          </w:tcPr>
          <w:p w:rsidR="00D81CC7" w:rsidRPr="00A55D51" w:rsidRDefault="00D81CC7" w:rsidP="00486758">
            <w:pPr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Number of HGG patients</w:t>
            </w:r>
          </w:p>
        </w:tc>
        <w:tc>
          <w:tcPr>
            <w:tcW w:w="1114" w:type="dxa"/>
            <w:shd w:val="clear" w:color="auto" w:fill="438CCF" w:themeFill="accent1" w:themeFillShade="E6"/>
          </w:tcPr>
          <w:p w:rsidR="00D81CC7" w:rsidRPr="00A55D51" w:rsidRDefault="00D81CC7" w:rsidP="00486758">
            <w:pPr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%Complete Resection</w:t>
            </w:r>
          </w:p>
        </w:tc>
        <w:tc>
          <w:tcPr>
            <w:tcW w:w="1188" w:type="dxa"/>
            <w:shd w:val="clear" w:color="auto" w:fill="438CCF" w:themeFill="accent1" w:themeFillShade="E6"/>
          </w:tcPr>
          <w:p w:rsidR="00D81CC7" w:rsidRDefault="00D81CC7" w:rsidP="00486758">
            <w:pPr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%Incomplete Resection </w:t>
            </w:r>
          </w:p>
        </w:tc>
        <w:tc>
          <w:tcPr>
            <w:tcW w:w="1256" w:type="dxa"/>
            <w:shd w:val="clear" w:color="auto" w:fill="438CCF" w:themeFill="accent1" w:themeFillShade="E6"/>
          </w:tcPr>
          <w:p w:rsidR="00D81CC7" w:rsidRDefault="00D81CC7" w:rsidP="00486758">
            <w:pPr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%Average extent of Resection</w:t>
            </w:r>
          </w:p>
        </w:tc>
        <w:tc>
          <w:tcPr>
            <w:tcW w:w="1079" w:type="dxa"/>
            <w:shd w:val="clear" w:color="auto" w:fill="438CCF" w:themeFill="accent1" w:themeFillShade="E6"/>
          </w:tcPr>
          <w:p w:rsidR="00D81CC7" w:rsidRPr="00A55D51" w:rsidRDefault="00D81CC7" w:rsidP="00486758">
            <w:pPr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Average progression-free survival</w:t>
            </w:r>
          </w:p>
        </w:tc>
        <w:tc>
          <w:tcPr>
            <w:tcW w:w="1079" w:type="dxa"/>
            <w:shd w:val="clear" w:color="auto" w:fill="438CCF" w:themeFill="accent1" w:themeFillShade="E6"/>
          </w:tcPr>
          <w:p w:rsidR="00D81CC7" w:rsidRPr="00A55D51" w:rsidRDefault="00D81CC7" w:rsidP="00486758">
            <w:pPr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Median overall survival (mo)</w:t>
            </w:r>
          </w:p>
        </w:tc>
        <w:tc>
          <w:tcPr>
            <w:tcW w:w="1549" w:type="dxa"/>
            <w:shd w:val="clear" w:color="auto" w:fill="438CCF" w:themeFill="accent1" w:themeFillShade="E6"/>
          </w:tcPr>
          <w:p w:rsidR="00D81CC7" w:rsidRDefault="00D81CC7" w:rsidP="00486758">
            <w:pPr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Post-operative neurological deficit/</w:t>
            </w:r>
          </w:p>
          <w:p w:rsidR="00D81CC7" w:rsidRDefault="00D81CC7" w:rsidP="00486758">
            <w:pPr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complication rate</w:t>
            </w:r>
          </w:p>
        </w:tc>
        <w:tc>
          <w:tcPr>
            <w:tcW w:w="1300" w:type="dxa"/>
            <w:shd w:val="clear" w:color="auto" w:fill="438CCF" w:themeFill="accent1" w:themeFillShade="E6"/>
          </w:tcPr>
          <w:p w:rsidR="00D81CC7" w:rsidRPr="00A55D51" w:rsidRDefault="00D81CC7" w:rsidP="00486758">
            <w:pPr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Type of study (retrospective, prospective, randomized clinical trial, etc.)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Aldave et al., 2013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118 for complete resection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 for OS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61.8%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(72.9/118 patients)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38.2%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(45.1/118 patients)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Complete resection: 27.0 months (in 25/52 patients)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Incomplete resection: 17.5 months (in 27/52 patients)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With residual fluorescence: 8%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Without residual fluorescence: 18%</w:t>
            </w:r>
          </w:p>
        </w:tc>
        <w:tc>
          <w:tcPr>
            <w:tcW w:w="1300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Barbagallo et al., 2016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(25 in Group A: 5-ALA + i-CT, 25 in Group B: 5-ALA without i-CT)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Group A: 32%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Group B: 25%</w:t>
            </w:r>
          </w:p>
        </w:tc>
        <w:tc>
          <w:tcPr>
            <w:tcW w:w="1256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Group A: 97.3% in incomplete resection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Group B: 98% in incomplete resection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statistical significance between groups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statistical significance between groups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Group A: 4% (hemorrhage requiring second surgery)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Group B: 0%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No lasting major post-op complications reported 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 evaluation of prospective data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Chan et al., 2018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56.3%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43.7%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Minimal residual 5-ALA fluorescence was left in 3 patients to avoid post-op deficit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Coburger et al., 2015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177 (33 in 5-ALA &amp; iMRI, 144 in iMRI without 5-ALA)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100% in 5-ALA &amp; iMRI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82% in iMRI without 5-ALA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0% in 5-ALA &amp; iMRI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18% in iMRI without 5-ALA</w:t>
            </w:r>
          </w:p>
        </w:tc>
        <w:tc>
          <w:tcPr>
            <w:tcW w:w="1256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99.7% in 5-ALA &amp; iMRI 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97.4% in iMRI without 5-ALA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6 months in 5-ALA &amp; iMRI 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 months in iMRI without 5-ALA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18 months in 5-ALA &amp; iMRI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 months in iMRI without 5-ALA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 &amp; iMRI: 27%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None: 73%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CSF leak: 3%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Hemorrhage: 15%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Infection: 3%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Sun-burn: 3%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Thrombosis: 3%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 permanent deficits: 6%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iMRI without 5-ALA: 21%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None: 79%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CSF leak: 6%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Hemorrhage: 3%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Infection: 3%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Sun-burn: 0%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Thrombosis: 3%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 permanent deficits: 6%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Cordova et al., 2016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94.8%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 months in 45%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 months in 29%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 months in 23%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 months in 81%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 months in 52%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 months in 39%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Cortnum et al., 2012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Post-op ischemia and right lower extremity paresis in 1 patient in a non-eloquent area.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*The authors note this complication should not be attributed to 5-ALA per say.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Post-op worsening in eloquent areas in 2 patients. 1 experienced worsening of preexisting aphasia and newly developed right-sided hemiparesis. Other patient experienced worsening of preexisting aphasia.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Overall rate of complication/deficit: 23% 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Della Pepa et al., 2020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256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 &amp; CEUS: 100%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 only: 94%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CEUS only: 96%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Conventional (neither 5-ALA nor CEUS): 90%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 &amp; CEUS: 53.85% at 12 months, 36.94% at 24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 only: 39.88% at 12 months, 26.58% at 24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CEUS only: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28.57% at 12 months, 21.48% at 24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Conventional (neither 5-ALA nor CEUS): 33.08% at 12 months, 12.06% at 24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Complete resections display significant benefits.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 &amp; CEUS: 76.84% at 12 months, 44.53% at 24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 only: 71.62% at 12 months, 55.42% at 24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CEUS only: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63.91% at 12 months, 19.31% at 24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Conventional (neither 5-ALA nor CEUS): 52.18% at 12 months, 18.04% at 24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Complete resections display significant benefits.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Della Puppa et al., 2014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Higher in grade IV gliomas and smaller tumors.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Stopped surgery in 26% to avoid neurological deficits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Della Puppa et al., 2013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3% intra-operative seizure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Post-op deficit rate: 61.3%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5 patients experienced worsening of a previous deficit and 14 patients </w:t>
            </w:r>
            <w:r>
              <w:rPr>
                <w:sz w:val="16"/>
                <w:szCs w:val="16"/>
              </w:rPr>
              <w:lastRenderedPageBreak/>
              <w:t>experienced a new deficit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Prospective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Diez Valle et al., 2014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251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 month PFS: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69%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(without 5-ALA): 48%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26.9% with aphasia (10.5% persisting 1 month post-op)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25.4% hemianopsia (2.3% persisting 1 month post-op)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Without 5-ALA: 10% with aphasia (5% persisting 1 month post-op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5% hemianopsia (2.5% persisting 1 month post-op)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Diez Valle et al., 2011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83.3%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16.7%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Newly diagnosed GBM: 6.5 months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Recurrent cases: 5.3 months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Newly diagnosed GBM: 15.7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Recurrent cases: 7.9 months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 deficits 1 week post-op: 11.1%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 deficits 1 week post-op: 5.5% (including hemiparesis, paresis, and dysphagia)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Worsening of previous deficits 1 week post-op: 13.8%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Worsening of previous deficits 1 month post-op: 2.7%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Eljamel et al., 2008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Study group (5-ALA): 52.8 weeks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Control group (no 5-ALA): 24.2 weeks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difference between complication rate in 5-ALA vs no 5-ALA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Prospective randomized control trial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Eriksson et al., 2019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571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Pr="003D7575" w:rsidRDefault="00D81CC7" w:rsidP="00486758">
            <w:r>
              <w:rPr>
                <w:sz w:val="16"/>
                <w:szCs w:val="16"/>
              </w:rPr>
              <w:t xml:space="preserve">After 5-ALA was introduced in 2005, tumor resection in </w:t>
            </w:r>
            <w:r w:rsidRPr="003D7575">
              <w:rPr>
                <w:sz w:val="16"/>
                <w:szCs w:val="16"/>
              </w:rPr>
              <w:t xml:space="preserve">resection </w:t>
            </w:r>
            <w:r w:rsidRPr="003D7575">
              <w:rPr>
                <w:rFonts w:ascii="Times" w:hAnsi="Times" w:cs="Segoe UI"/>
                <w:color w:val="212121"/>
                <w:sz w:val="16"/>
                <w:szCs w:val="16"/>
                <w:shd w:val="clear" w:color="auto" w:fill="FFFFFF"/>
              </w:rPr>
              <w:t>≥</w:t>
            </w:r>
            <w:r>
              <w:rPr>
                <w:sz w:val="16"/>
                <w:szCs w:val="16"/>
              </w:rPr>
              <w:t>95% with 5-ALA increased from 33% to 54%.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1995-2015: 9.3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1995-1996: 6.9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2-year survival: 7%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2010-2015: 10.3 months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2-year survival: 18%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Eyüpoglu et al., 2016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N/S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Control (no 5-ALA): 14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DiVA (5-ALA): 18.5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Control (no 5-ALA):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Pre-op motor deficit: 32%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Post-op motor deficit:  35%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Pre-op visual field deficit:12%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Post-op visual field deficit: 11%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Pre-op speech impairment: 11%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Post-op speech impairment: 9%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Pre-op cognitive deficits: 28%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Post-op cognitive deficits: 23%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Pre-op seizures: 33%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Post-op seizures: 20%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DiVA (5-ALA):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Pre-op motor deficit: 40%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Post-op motor deficit:  13%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Pre-op visual field deficit: 13%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Post-op visual field deficit: 10%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Pre-op speech impairment: 17%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Post-op speech impairment: 7%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Pre-op cognitive deficits: 17%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Post-op cognitive deficits: 10%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Pre-op seizures: 23%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Post-op seizures: 7%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Parallel group, single center trial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Eyüpoglu et al., 2012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256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Only 5-ALA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Non-eloquent areas: 71.7%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Eloquent areas: 57.6%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 &amp; iMRI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Non-eloquent areas: 100%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Eloquent areas: 71.2%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Feigl et al., 2010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New neurological deficit: 1 patient (5.6%)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Worsening of preexisting hemiparesis: 2 patients (11.1%)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Stopped 24% of surgeries, leaving residual 5-ALA fluorescence to avoid deficit.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Hauser et al., 2016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 6-month PFS: 36.4%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6-month PFS CRET: 44%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patients without CRET showed progression at 6 months.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 OS: 15.3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CRET (9/11): 18.9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Non-CRET first patient: 10.8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Non-CRET second patient: 5.8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Hefti et al., 2008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 intended complete resections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(71 total patients)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90.5%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9.5%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5-ALA: 2.7% complication rate 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Hickmann et al., 2015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Non-eloquent areas: 63.6%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Eloquent areas: 46.7%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Non-eloquent areas: 36.4%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Eloquent areas: 53.3%</w:t>
            </w:r>
          </w:p>
        </w:tc>
        <w:tc>
          <w:tcPr>
            <w:tcW w:w="1256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Non-eloquent areas: 94.2%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Eloquent areas: 89.4%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Mean PFS: 7.8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Complete resection OS: 11.5 months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Mean OS: 13.5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Complete resection OS: 19.9 months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 deficits: 19.1%, of which 6.3% were permanent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Idoate et al., 2011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New deficits: 13.3%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Worsening of previous deficit: 13.3% (6.6% at 1 month post-op)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Jacquesson et al., 2013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68.2% based on absence of residual fluorescence assessed by surgeon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75% based on absence of residual tumor on early MRI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31.8% based on absence of residual fluorescence assessed by surgeon</w:t>
            </w:r>
          </w:p>
          <w:p w:rsidR="00D81CC7" w:rsidRPr="004155FC" w:rsidRDefault="00D81CC7" w:rsidP="00486758">
            <w:pPr>
              <w:tabs>
                <w:tab w:val="left" w:pos="633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25% based on absence of residual tumor on early MRI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Median PFS: 6.7 months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Complete resection PFS: 12.9 months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Median OS: 12.3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Complete resection OS: 20.9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After 1 year, 81.8% of patients were still alive.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Residual fluorescence left to avoid post-op neurological deficit (31.8%)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Kim et al., 2014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80%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5-ALA): 43%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20%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5-ALA): 57%</w:t>
            </w:r>
          </w:p>
        </w:tc>
        <w:tc>
          <w:tcPr>
            <w:tcW w:w="1256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97%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5-ALA): 84.7%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18 months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5-ALA): 6 months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24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5-ALA): 14 months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Nabavi et al., 2009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1114" w:type="dxa"/>
          </w:tcPr>
          <w:p w:rsidR="00D81CC7" w:rsidRPr="00767EDA" w:rsidRDefault="00D81CC7" w:rsidP="00486758">
            <w:pPr>
              <w:jc w:val="both"/>
              <w:rPr>
                <w:sz w:val="16"/>
                <w:szCs w:val="16"/>
              </w:rPr>
            </w:pPr>
            <w:r w:rsidRPr="00767EDA">
              <w:rPr>
                <w:sz w:val="16"/>
                <w:szCs w:val="16"/>
              </w:rPr>
              <w:t>19.4%</w:t>
            </w:r>
          </w:p>
        </w:tc>
        <w:tc>
          <w:tcPr>
            <w:tcW w:w="1188" w:type="dxa"/>
          </w:tcPr>
          <w:p w:rsidR="00D81CC7" w:rsidRPr="00767EDA" w:rsidRDefault="00D81CC7" w:rsidP="00486758">
            <w:pPr>
              <w:jc w:val="both"/>
              <w:rPr>
                <w:sz w:val="16"/>
                <w:szCs w:val="16"/>
              </w:rPr>
            </w:pPr>
            <w:r w:rsidRPr="00767EDA">
              <w:rPr>
                <w:sz w:val="16"/>
                <w:szCs w:val="16"/>
              </w:rPr>
              <w:t>80.6%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Median OS: 7.9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Grade III: 9.9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Grade IV: 7.4 months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Prospective, single-arm, uncontrolled phase II study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Neidert et al., 2016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Median OS after GTR: 20.4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Median OS after GTR with ioUS: 21.9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Median OS after GTR without ioUS: 18.8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5-ALA showed a benefical effect of ioUS use 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Ng et al., 2017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12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5-ALA): 8 months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Post-op complications included sepsis with multi-organ failure, myocardial infarction, pneumonia, pulmonary embolism, and pneumonia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Nickel et al., 2018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170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256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 &amp; iMRI: 95%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imaging: 73%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5-ALA: 74%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iMRI: 94%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Panciani et al., 2012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Use of 5-ALA and neuronavigation led to an increase in the extent of resection obtained with conventional surgical strategy.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No adverse effects or deficits reported. 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Prospective pilot study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Pastor et al., 2013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66.7%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33.3%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Post-op neurological deficits:  9.6 +/- 3.7% 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Picart et al., 2017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256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67.3% GTR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5-ALA): 51.4% GTR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6-month PFS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95%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5-ALA): 55%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Pr="0068213C" w:rsidRDefault="00D81CC7" w:rsidP="00486758">
            <w:pPr>
              <w:rPr>
                <w:rFonts w:ascii="Times" w:hAnsi="Times"/>
                <w:b/>
                <w:bCs/>
                <w:sz w:val="18"/>
                <w:szCs w:val="18"/>
              </w:rPr>
            </w:pPr>
            <w:r w:rsidRPr="0068213C">
              <w:rPr>
                <w:rFonts w:ascii="Times" w:hAnsi="Times"/>
                <w:b/>
                <w:bCs/>
                <w:sz w:val="18"/>
                <w:szCs w:val="18"/>
              </w:rPr>
              <w:t>PFS @ 12 months:</w:t>
            </w:r>
          </w:p>
          <w:p w:rsidR="00D81CC7" w:rsidRPr="0096186C" w:rsidRDefault="00D81CC7" w:rsidP="00486758">
            <w:pPr>
              <w:rPr>
                <w:rFonts w:ascii="Times" w:hAnsi="Times"/>
                <w:sz w:val="18"/>
                <w:szCs w:val="18"/>
              </w:rPr>
            </w:pPr>
            <w:r w:rsidRPr="0096186C">
              <w:rPr>
                <w:rFonts w:ascii="Times" w:hAnsi="Times"/>
                <w:sz w:val="18"/>
                <w:szCs w:val="18"/>
              </w:rPr>
              <w:t xml:space="preserve">5-ALA: </w:t>
            </w:r>
            <w:r>
              <w:rPr>
                <w:rFonts w:ascii="Times" w:hAnsi="Times"/>
                <w:sz w:val="18"/>
                <w:szCs w:val="18"/>
              </w:rPr>
              <w:t>60</w:t>
            </w:r>
            <w:r w:rsidRPr="0096186C">
              <w:rPr>
                <w:rFonts w:ascii="Times" w:hAnsi="Times"/>
                <w:sz w:val="18"/>
                <w:szCs w:val="18"/>
              </w:rPr>
              <w:t>%</w:t>
            </w:r>
          </w:p>
          <w:p w:rsidR="00D81CC7" w:rsidRPr="0096186C" w:rsidRDefault="00D81CC7" w:rsidP="00486758">
            <w:pPr>
              <w:rPr>
                <w:rFonts w:ascii="Times" w:hAnsi="Times"/>
                <w:sz w:val="18"/>
                <w:szCs w:val="18"/>
              </w:rPr>
            </w:pPr>
            <w:r w:rsidRPr="0096186C">
              <w:rPr>
                <w:rFonts w:ascii="Times" w:hAnsi="Times"/>
                <w:sz w:val="18"/>
                <w:szCs w:val="18"/>
              </w:rPr>
              <w:t xml:space="preserve">WL: </w:t>
            </w:r>
            <w:r>
              <w:rPr>
                <w:rFonts w:ascii="Times" w:hAnsi="Times"/>
                <w:sz w:val="18"/>
                <w:szCs w:val="18"/>
              </w:rPr>
              <w:t>21</w:t>
            </w:r>
            <w:r w:rsidRPr="0096186C">
              <w:rPr>
                <w:rFonts w:ascii="Times" w:hAnsi="Times"/>
                <w:sz w:val="18"/>
                <w:szCs w:val="18"/>
              </w:rPr>
              <w:t>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Median PFS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 7 months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5-ALA): 15 months</w:t>
            </w:r>
          </w:p>
        </w:tc>
        <w:tc>
          <w:tcPr>
            <w:tcW w:w="1079" w:type="dxa"/>
          </w:tcPr>
          <w:p w:rsidR="00D81CC7" w:rsidRDefault="00D81CC7" w:rsidP="004867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6-month OS</w:t>
            </w:r>
          </w:p>
          <w:p w:rsidR="00D81CC7" w:rsidRDefault="00D81CC7" w:rsidP="004867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96%</w:t>
            </w:r>
          </w:p>
          <w:p w:rsidR="00D81CC7" w:rsidRDefault="00D81CC7" w:rsidP="004867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5-ALA): 93%</w:t>
            </w:r>
          </w:p>
          <w:p w:rsidR="00D81CC7" w:rsidRDefault="00D81CC7" w:rsidP="00486758">
            <w:pPr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rFonts w:ascii="Times" w:hAnsi="Times"/>
                <w:b/>
                <w:bCs/>
                <w:sz w:val="18"/>
                <w:szCs w:val="18"/>
              </w:rPr>
            </w:pPr>
            <w:r>
              <w:rPr>
                <w:rFonts w:ascii="Times" w:hAnsi="Times"/>
                <w:b/>
                <w:bCs/>
                <w:sz w:val="18"/>
                <w:szCs w:val="18"/>
              </w:rPr>
              <w:t xml:space="preserve">OS @ 12 months: </w:t>
            </w:r>
          </w:p>
          <w:p w:rsidR="00D81CC7" w:rsidRDefault="00D81CC7" w:rsidP="00486758">
            <w:pPr>
              <w:jc w:val="both"/>
              <w:rPr>
                <w:rFonts w:ascii="Times" w:hAnsi="Times"/>
                <w:sz w:val="18"/>
                <w:szCs w:val="18"/>
              </w:rPr>
            </w:pPr>
            <w:r w:rsidRPr="006E0F53">
              <w:rPr>
                <w:rFonts w:ascii="Times" w:hAnsi="Times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" w:hAnsi="Times"/>
                <w:sz w:val="18"/>
                <w:szCs w:val="18"/>
              </w:rPr>
              <w:t xml:space="preserve">5-ALA: 80% </w:t>
            </w:r>
          </w:p>
          <w:p w:rsidR="00D81CC7" w:rsidRDefault="00D81CC7" w:rsidP="00486758">
            <w:pPr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WL: 55%</w:t>
            </w:r>
          </w:p>
          <w:p w:rsidR="00D81CC7" w:rsidRDefault="00D81CC7" w:rsidP="00486758">
            <w:pPr>
              <w:rPr>
                <w:sz w:val="16"/>
                <w:szCs w:val="16"/>
              </w:rPr>
            </w:pPr>
          </w:p>
          <w:p w:rsidR="00D81CC7" w:rsidRDefault="00D81CC7" w:rsidP="004867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Median OS</w:t>
            </w:r>
          </w:p>
          <w:p w:rsidR="00D81CC7" w:rsidRDefault="00D81CC7" w:rsidP="004867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12 months</w:t>
            </w:r>
          </w:p>
          <w:p w:rsidR="00D81CC7" w:rsidRDefault="00D81CC7" w:rsidP="004867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5-ALA): 25 months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Post-op motor deficit: 33.3%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Post-op language deficit: 12.5%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 month post-op motor deficit: 12.5%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 month post-op language deficit: 12.5%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No 5-ALA: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Post-op motor deficit: 18.5%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Post-op language deficit: 7.4%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 month post-op motor deficit: 29.6%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 month post-op language deficit: 14.8%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Pichlmeier et al., 2008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243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RTOG-RPA III: 17.8 months </w:t>
            </w:r>
          </w:p>
          <w:p w:rsidR="00D81CC7" w:rsidRDefault="00D81CC7" w:rsidP="004867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RTOG-RPA III complete resection:  19.3 months </w:t>
            </w:r>
          </w:p>
          <w:p w:rsidR="00D81CC7" w:rsidRDefault="00D81CC7" w:rsidP="004867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RTOG-RPA III incomplete resection:  16.3 months </w:t>
            </w:r>
          </w:p>
          <w:p w:rsidR="00D81CC7" w:rsidRDefault="00D81CC7" w:rsidP="00486758">
            <w:pPr>
              <w:rPr>
                <w:sz w:val="16"/>
                <w:szCs w:val="16"/>
              </w:rPr>
            </w:pPr>
          </w:p>
          <w:p w:rsidR="00D81CC7" w:rsidRDefault="00D81CC7" w:rsidP="00486758">
            <w:pPr>
              <w:rPr>
                <w:sz w:val="16"/>
                <w:szCs w:val="16"/>
              </w:rPr>
            </w:pPr>
          </w:p>
          <w:p w:rsidR="00D81CC7" w:rsidRDefault="00D81CC7" w:rsidP="004867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RTOG-RPA IV: 14.7 months</w:t>
            </w:r>
          </w:p>
          <w:p w:rsidR="00D81CC7" w:rsidRDefault="00D81CC7" w:rsidP="004867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RTOG-RPA IV complete resection: 17.7 months</w:t>
            </w:r>
          </w:p>
          <w:p w:rsidR="00D81CC7" w:rsidRDefault="00D81CC7" w:rsidP="004867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RTOG-RPA IV incomplete resection: 12.9 months</w:t>
            </w:r>
          </w:p>
          <w:p w:rsidR="00D81CC7" w:rsidRDefault="00D81CC7" w:rsidP="00486758">
            <w:pPr>
              <w:rPr>
                <w:sz w:val="16"/>
                <w:szCs w:val="16"/>
              </w:rPr>
            </w:pPr>
          </w:p>
          <w:p w:rsidR="00D81CC7" w:rsidRDefault="00D81CC7" w:rsidP="004867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RTOG-RPA V: 10.7 months  </w:t>
            </w:r>
          </w:p>
          <w:p w:rsidR="00D81CC7" w:rsidRDefault="00D81CC7" w:rsidP="004867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RTOG-RPA V complete </w:t>
            </w:r>
            <w:r>
              <w:rPr>
                <w:sz w:val="16"/>
                <w:szCs w:val="16"/>
              </w:rPr>
              <w:lastRenderedPageBreak/>
              <w:t xml:space="preserve">resection: 13.7 months  </w:t>
            </w:r>
          </w:p>
          <w:p w:rsidR="00D81CC7" w:rsidRDefault="00D81CC7" w:rsidP="004867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RTOG-RPA V incomplete resection: 10.4 months  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N/S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Parallel, randomized, balanced, group-sequential, two-armed, controlled multicenter phase III study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Piquer et al., 2014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60.5%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39.5%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Roder et al., 2014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46%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iMRI: 74%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White-light: 13%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iMRI: 25%</w:t>
            </w:r>
          </w:p>
        </w:tc>
        <w:tc>
          <w:tcPr>
            <w:tcW w:w="1256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 mean residual tumor volume range: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[1.9 (0.0-13.2) cm</w:t>
            </w:r>
            <w:r>
              <w:rPr>
                <w:sz w:val="16"/>
                <w:szCs w:val="16"/>
                <w:vertAlign w:val="superscript"/>
              </w:rPr>
              <w:t>3</w:t>
            </w:r>
            <w:r>
              <w:rPr>
                <w:sz w:val="16"/>
                <w:szCs w:val="16"/>
              </w:rPr>
              <w:t>]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iMRI mean residual tumor volume range: [0.5(0.0-4.7) cm</w:t>
            </w:r>
            <w:r>
              <w:rPr>
                <w:sz w:val="16"/>
                <w:szCs w:val="16"/>
                <w:vertAlign w:val="superscript"/>
              </w:rPr>
              <w:t>3</w:t>
            </w:r>
            <w:r>
              <w:rPr>
                <w:sz w:val="16"/>
                <w:szCs w:val="16"/>
              </w:rPr>
              <w:t>]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 6-month PFS: 32%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iMRI 6-month PFS: 45%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significant difference found between groups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Conventional surgery: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new post-op deficits: 76%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 mild post-op deficits: 18%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 severe post-op deficits: 6%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iMRI only: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new post-op deficits: 74%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 mild post-op deficits: 19%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 severe post-op deficits: 7%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Pre-iMRI period entire cohort: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new post-op deficits: 65%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 mild post-op deficits: 23%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 severe post-op deficits: 12%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iMRI period entire cohort: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new post-op deficits: 75%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 mild post-op deficits: 18%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 severe post-op deficits: 7%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Prospective non-randomized study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Schatlo et al., 2015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Non-iMRI: 13.8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iMRI: 17.9 months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Schucht et al., 2012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96% (no residual enhancement &gt; 0.175 cm</w:t>
            </w:r>
            <w:r>
              <w:rPr>
                <w:sz w:val="16"/>
                <w:szCs w:val="16"/>
                <w:vertAlign w:val="superscript"/>
              </w:rPr>
              <w:t>3</w:t>
            </w:r>
            <w:r>
              <w:rPr>
                <w:sz w:val="16"/>
                <w:szCs w:val="16"/>
              </w:rPr>
              <w:t>)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Pr="007279D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89% (no residual enhancement)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4% (no residual enhancement &gt; 0.175 cm</w:t>
            </w:r>
            <w:r>
              <w:rPr>
                <w:sz w:val="16"/>
                <w:szCs w:val="16"/>
                <w:vertAlign w:val="superscript"/>
              </w:rPr>
              <w:t>3</w:t>
            </w:r>
            <w:r>
              <w:rPr>
                <w:sz w:val="16"/>
                <w:szCs w:val="16"/>
              </w:rPr>
              <w:t>)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11% (no residual enhancement)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 permanent motor and speech deficits: 3.8%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Permanent mild hemiparesis: 1.9%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Predicted permanent impairment of fine motor skills of nondominant hand: 1.9%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Hemianopia: 3.8%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 xml:space="preserve">Combined motor, speech, and visual deficitas: 7.5% complete resection-eligible patients and 10% patients who underwent surgery 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Prospective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Schucht et al., 2014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deficits reported.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Slotty et al., 2013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253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A: 163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B: 22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C: 68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29.2%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70.8%</w:t>
            </w:r>
          </w:p>
        </w:tc>
        <w:tc>
          <w:tcPr>
            <w:tcW w:w="1256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48.5% CR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WL: 21.4-27.2% 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Complete resection: 20.3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Incomplete resection: 9.3 months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Stepp et al., 2007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 German clinics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65%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5-ALA: 36%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35%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5-ALA: 64%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5-ALA 6 month PFS: 41%: 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5-ALA) PFS: 21%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Stummer et al., 2000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Mean OS: 79.7 weeks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Residual MR enhancement (incomplete resection) OS: 54 weeks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MR residual enhancement (complete resection): 103 weeks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Residual tissue fluorescence: 101 weeks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No residual tissue fluorescence OS: 101 weeks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Solid fluorescence residual tissue:  51 weeks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Permanent hemiparesis: 1 patient (2%)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Temporary aggravation of preexisting symptoms: 3 patients (6%) 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Stummer et al., 2006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270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65%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5-ALA): 47%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35%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5-ALA): 53%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5-ALA: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6-month PFS: 41.0%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Median PFS: 5.1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WL without 5-ALA: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6-month PFS: 21.1%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Median PFS: 3.6 months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15.2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WL: 13.5 months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Randomized phase III trial 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Stummer et al., 2008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243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50.2%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49.8%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GTR: 16.7 months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Non-GTR: 11.8 months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Randomized trial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lastRenderedPageBreak/>
              <w:t>Stummer et al., 2011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349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5-ALA: 63.6%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5-ALA): 37.6%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5-ALA: 36.4%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5-ALA): 62.4%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6-month PFS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35.2%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5-ALA): 21.8%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14.3 month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WL (no 5-ALA): 13.7 month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Randomized phase III trial 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Teixidor et al., 2016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 month PFS: 58%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14.2 months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Surgical complications: 5 patients (6.5%)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*Author notes this is probably not related to 5-ALA use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 of these 5 patients (80%) recovered. 1 of these 5 patients (20%) had cerebral edema and coma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New post-op deficit or worsened preexisting deficit: 14 patients (18.2%)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Most frequent deficit was language impairment.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Of these 14 patients, 5 (35.7%) persisted, mainly motor and/or sensitive deficit.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Post-op seizure/epileptic status recovered with anticonvulsant treatment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 month post-op neurological morbidity: 6.5%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Of these patients 64.3% had tumor localized in an eloquent area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Tsugu et al., 2011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54.5%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 &amp; iMRI: 40%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45.5%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 &amp; iMRI: 60%</w:t>
            </w:r>
          </w:p>
        </w:tc>
        <w:tc>
          <w:tcPr>
            <w:tcW w:w="1256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5-ALA: 91.8%</w:t>
            </w:r>
          </w:p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 &amp; iMRI: 92.6%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Retrospective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Tykocki et al., 2012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83.3%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16.7%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Post-op worsening of preexisting deficits: 2 patients (33.3%)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was left hemiparesis and the other psychomotor retardation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Prospective</w:t>
            </w:r>
          </w:p>
        </w:tc>
      </w:tr>
      <w:tr w:rsidR="00D81CC7" w:rsidRPr="00A55D51" w:rsidTr="00486758">
        <w:tc>
          <w:tcPr>
            <w:tcW w:w="1547" w:type="dxa"/>
          </w:tcPr>
          <w:p w:rsidR="00D81CC7" w:rsidRPr="00D04872" w:rsidRDefault="00D81CC7" w:rsidP="00486758">
            <w:pPr>
              <w:ind w:left="360"/>
              <w:jc w:val="both"/>
              <w:rPr>
                <w:sz w:val="16"/>
                <w:szCs w:val="16"/>
              </w:rPr>
            </w:pPr>
            <w:r w:rsidRPr="00D04872">
              <w:rPr>
                <w:sz w:val="16"/>
                <w:szCs w:val="16"/>
              </w:rPr>
              <w:t>Yamada et al., 2015</w:t>
            </w:r>
          </w:p>
        </w:tc>
        <w:tc>
          <w:tcPr>
            <w:tcW w:w="113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</w:t>
            </w:r>
          </w:p>
        </w:tc>
        <w:tc>
          <w:tcPr>
            <w:tcW w:w="1114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 &amp; iMRI: 95%</w:t>
            </w:r>
          </w:p>
        </w:tc>
        <w:tc>
          <w:tcPr>
            <w:tcW w:w="1188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 &amp; iMRI: 5%</w:t>
            </w:r>
          </w:p>
        </w:tc>
        <w:tc>
          <w:tcPr>
            <w:tcW w:w="1256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5-ALA &amp; iMRI: 95%</w:t>
            </w:r>
          </w:p>
        </w:tc>
        <w:tc>
          <w:tcPr>
            <w:tcW w:w="1079" w:type="dxa"/>
          </w:tcPr>
          <w:p w:rsidR="00D81CC7" w:rsidRPr="00A55D51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07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N/S</w:t>
            </w:r>
          </w:p>
        </w:tc>
        <w:tc>
          <w:tcPr>
            <w:tcW w:w="1549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Post-op early complications: 66 patients (67%) comprised of: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Motor deficit: 24%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Seizures: 12%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Aphasia: 11%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Disturbances of consciousness: 7%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Dysarthria: 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DVT: 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Fever: 5%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Visual disturbances: 4%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Sensory deficit: 2%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Hemianopsia: 2%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Hearing impairment: 2% 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Dysphagia: 2%</w:t>
            </w: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</w:p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Worsened neurological status at 3 months post-op: 9 patients (9%)  </w:t>
            </w:r>
          </w:p>
        </w:tc>
        <w:tc>
          <w:tcPr>
            <w:tcW w:w="1300" w:type="dxa"/>
          </w:tcPr>
          <w:p w:rsidR="00D81CC7" w:rsidRDefault="00D81CC7" w:rsidP="0048675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Prospective</w:t>
            </w:r>
          </w:p>
        </w:tc>
      </w:tr>
    </w:tbl>
    <w:p w:rsidR="00D81CC7" w:rsidRPr="00A55D51" w:rsidRDefault="00D81CC7" w:rsidP="00D81CC7">
      <w:pPr>
        <w:spacing w:line="480" w:lineRule="auto"/>
        <w:jc w:val="both"/>
        <w:rPr>
          <w:sz w:val="16"/>
          <w:szCs w:val="16"/>
        </w:rPr>
      </w:pPr>
      <w:r w:rsidRPr="00A55D51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C45B68" wp14:editId="4CF36CA3">
                <wp:simplePos x="0" y="0"/>
                <wp:positionH relativeFrom="column">
                  <wp:posOffset>-632298</wp:posOffset>
                </wp:positionH>
                <wp:positionV relativeFrom="paragraph">
                  <wp:posOffset>53556</wp:posOffset>
                </wp:positionV>
                <wp:extent cx="7256834" cy="875490"/>
                <wp:effectExtent l="0" t="0" r="7620" b="1397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56834" cy="8754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81CC7" w:rsidRDefault="00D81CC7" w:rsidP="00D81CC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LEGEND/KEY</w:t>
                            </w:r>
                          </w:p>
                          <w:p w:rsidR="00D81CC7" w:rsidRPr="00C45925" w:rsidRDefault="00D81CC7" w:rsidP="00D81CC7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N/S= not specified, OS= overall survival, PFS= progression-free survival, EOR= extent of resection CRET= complete resection of the contrast-enhanced tumor RTOG-RPA= Radiation Therapy Oncology Group recursive partitioning analysis WL= white light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C45B68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-49.8pt;margin-top:4.2pt;width:571.4pt;height:68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" fillcolor="white [3201]" strokeweight=".5pt">
                <v:textbox>
                  <w:txbxContent>
                    <w:p w:rsidR="00D81CC7" w:rsidRDefault="00D81CC7" w:rsidP="00D81CC7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LEGEND/KEY</w:t>
                      </w:r>
                    </w:p>
                    <w:p w:rsidR="00D81CC7" w:rsidRPr="00C45925" w:rsidRDefault="00D81CC7" w:rsidP="00D81CC7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N/S= not specified, OS= overall survival, PFS= progression-free survival, EOR= extent of resection CRET= complete resection of the contrast-enhanced tumor RTOG-RPA= Radiation Therapy Oncology Group recursive partitioning analysis WL= white light</w:t>
                      </w:r>
                    </w:p>
                  </w:txbxContent>
                </v:textbox>
              </v:shape>
            </w:pict>
          </mc:Fallback>
        </mc:AlternateContent>
      </w:r>
    </w:p>
    <w:p w:rsidR="00D81CC7" w:rsidRPr="00A55D51" w:rsidRDefault="00D81CC7" w:rsidP="00D81CC7">
      <w:pPr>
        <w:spacing w:line="480" w:lineRule="auto"/>
        <w:jc w:val="both"/>
        <w:rPr>
          <w:b/>
          <w:bCs/>
        </w:rPr>
      </w:pPr>
    </w:p>
    <w:p w:rsidR="00D81CC7" w:rsidRPr="00A55D51" w:rsidRDefault="00D81CC7" w:rsidP="00D81CC7">
      <w:pPr>
        <w:spacing w:line="480" w:lineRule="auto"/>
        <w:jc w:val="both"/>
        <w:rPr>
          <w:b/>
          <w:bCs/>
        </w:rPr>
      </w:pPr>
    </w:p>
    <w:p w:rsidR="00DA32A0" w:rsidRPr="00D81CC7" w:rsidRDefault="00D81CC7" w:rsidP="00D81CC7">
      <w:bookmarkStart w:id="0" w:name="_GoBack"/>
      <w:bookmarkEnd w:id="0"/>
    </w:p>
    <w:sectPr w:rsidR="00DA32A0" w:rsidRPr="00D81C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altName w:val="﷽﷽﷽﷽﷽﷽﷽﷽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6440B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A505F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AB6719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31CBA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543B91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AE295F"/>
    <w:multiLevelType w:val="hybridMultilevel"/>
    <w:tmpl w:val="F6CC9D26"/>
    <w:lvl w:ilvl="0" w:tplc="2BF6F43A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10B7562"/>
    <w:multiLevelType w:val="hybridMultilevel"/>
    <w:tmpl w:val="AA6688A4"/>
    <w:lvl w:ilvl="0" w:tplc="0409000B">
      <w:start w:val="5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D40608"/>
    <w:multiLevelType w:val="hybridMultilevel"/>
    <w:tmpl w:val="1E9837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6062A9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DC1F64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18448A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70607D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2862EB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7A1D25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0746BB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D02384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8F51E7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5F2D5A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8C7831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BD3FFB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800D8F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100211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577E00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324C9C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C70ECB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6641C2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D32DBE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D8481D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8A6A87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925D44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505545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9C4B4B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C01D08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D46A8E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FB1E6D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D8157A"/>
    <w:multiLevelType w:val="hybridMultilevel"/>
    <w:tmpl w:val="176CF8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505A44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70731D5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106A79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0A2391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AA7884"/>
    <w:multiLevelType w:val="hybridMultilevel"/>
    <w:tmpl w:val="029A39DE"/>
    <w:lvl w:ilvl="0" w:tplc="532E80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0B7421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6616F8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D870D4"/>
    <w:multiLevelType w:val="hybridMultilevel"/>
    <w:tmpl w:val="888C0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9"/>
  </w:num>
  <w:num w:numId="3">
    <w:abstractNumId w:val="24"/>
  </w:num>
  <w:num w:numId="4">
    <w:abstractNumId w:val="28"/>
  </w:num>
  <w:num w:numId="5">
    <w:abstractNumId w:val="23"/>
  </w:num>
  <w:num w:numId="6">
    <w:abstractNumId w:val="10"/>
  </w:num>
  <w:num w:numId="7">
    <w:abstractNumId w:val="32"/>
  </w:num>
  <w:num w:numId="8">
    <w:abstractNumId w:val="3"/>
  </w:num>
  <w:num w:numId="9">
    <w:abstractNumId w:val="15"/>
  </w:num>
  <w:num w:numId="10">
    <w:abstractNumId w:val="42"/>
  </w:num>
  <w:num w:numId="11">
    <w:abstractNumId w:val="37"/>
  </w:num>
  <w:num w:numId="12">
    <w:abstractNumId w:val="20"/>
  </w:num>
  <w:num w:numId="13">
    <w:abstractNumId w:val="9"/>
  </w:num>
  <w:num w:numId="14">
    <w:abstractNumId w:val="11"/>
  </w:num>
  <w:num w:numId="15">
    <w:abstractNumId w:val="2"/>
  </w:num>
  <w:num w:numId="16">
    <w:abstractNumId w:val="33"/>
  </w:num>
  <w:num w:numId="17">
    <w:abstractNumId w:val="14"/>
  </w:num>
  <w:num w:numId="18">
    <w:abstractNumId w:val="29"/>
  </w:num>
  <w:num w:numId="19">
    <w:abstractNumId w:val="4"/>
  </w:num>
  <w:num w:numId="20">
    <w:abstractNumId w:val="12"/>
  </w:num>
  <w:num w:numId="21">
    <w:abstractNumId w:val="43"/>
  </w:num>
  <w:num w:numId="22">
    <w:abstractNumId w:val="0"/>
  </w:num>
  <w:num w:numId="23">
    <w:abstractNumId w:val="41"/>
  </w:num>
  <w:num w:numId="24">
    <w:abstractNumId w:val="31"/>
  </w:num>
  <w:num w:numId="25">
    <w:abstractNumId w:val="21"/>
  </w:num>
  <w:num w:numId="26">
    <w:abstractNumId w:val="38"/>
  </w:num>
  <w:num w:numId="27">
    <w:abstractNumId w:val="16"/>
  </w:num>
  <w:num w:numId="28">
    <w:abstractNumId w:val="17"/>
  </w:num>
  <w:num w:numId="29">
    <w:abstractNumId w:val="26"/>
  </w:num>
  <w:num w:numId="30">
    <w:abstractNumId w:val="39"/>
  </w:num>
  <w:num w:numId="31">
    <w:abstractNumId w:val="25"/>
  </w:num>
  <w:num w:numId="32">
    <w:abstractNumId w:val="30"/>
  </w:num>
  <w:num w:numId="33">
    <w:abstractNumId w:val="27"/>
  </w:num>
  <w:num w:numId="34">
    <w:abstractNumId w:val="18"/>
  </w:num>
  <w:num w:numId="35">
    <w:abstractNumId w:val="22"/>
  </w:num>
  <w:num w:numId="36">
    <w:abstractNumId w:val="13"/>
  </w:num>
  <w:num w:numId="37">
    <w:abstractNumId w:val="1"/>
  </w:num>
  <w:num w:numId="38">
    <w:abstractNumId w:val="8"/>
  </w:num>
  <w:num w:numId="39">
    <w:abstractNumId w:val="34"/>
  </w:num>
  <w:num w:numId="40">
    <w:abstractNumId w:val="36"/>
  </w:num>
  <w:num w:numId="41">
    <w:abstractNumId w:val="35"/>
  </w:num>
  <w:num w:numId="42">
    <w:abstractNumId w:val="6"/>
  </w:num>
  <w:num w:numId="43">
    <w:abstractNumId w:val="7"/>
  </w:num>
  <w:num w:numId="44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CC7"/>
    <w:rsid w:val="0016198D"/>
    <w:rsid w:val="003E54F6"/>
    <w:rsid w:val="00D81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D7C36F-2219-4537-BCE7-A68FCE9AD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C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D81CC7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1CC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D81CC7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NormalWeb">
    <w:name w:val="Normal (Web)"/>
    <w:basedOn w:val="Normal"/>
    <w:uiPriority w:val="99"/>
    <w:unhideWhenUsed/>
    <w:rsid w:val="00D81CC7"/>
    <w:pPr>
      <w:spacing w:before="100" w:beforeAutospacing="1" w:after="100" w:afterAutospacing="1"/>
    </w:pPr>
  </w:style>
  <w:style w:type="character" w:customStyle="1" w:styleId="highlight">
    <w:name w:val="highlight"/>
    <w:basedOn w:val="DefaultParagraphFont"/>
    <w:rsid w:val="00D81CC7"/>
  </w:style>
  <w:style w:type="paragraph" w:styleId="Header">
    <w:name w:val="header"/>
    <w:basedOn w:val="Normal"/>
    <w:link w:val="HeaderChar"/>
    <w:uiPriority w:val="99"/>
    <w:unhideWhenUsed/>
    <w:rsid w:val="00D81CC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D81CC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81CC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D81CC7"/>
    <w:rPr>
      <w:sz w:val="24"/>
      <w:szCs w:val="24"/>
    </w:rPr>
  </w:style>
  <w:style w:type="table" w:styleId="TableGrid">
    <w:name w:val="Table Grid"/>
    <w:basedOn w:val="TableNormal"/>
    <w:uiPriority w:val="39"/>
    <w:rsid w:val="00D81CC7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">
    <w:name w:val="Grid Table 4"/>
    <w:basedOn w:val="TableNormal"/>
    <w:uiPriority w:val="49"/>
    <w:rsid w:val="00D81CC7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Strong">
    <w:name w:val="Strong"/>
    <w:basedOn w:val="DefaultParagraphFont"/>
    <w:uiPriority w:val="22"/>
    <w:qFormat/>
    <w:rsid w:val="00D81CC7"/>
    <w:rPr>
      <w:b/>
      <w:bCs/>
    </w:rPr>
  </w:style>
  <w:style w:type="character" w:styleId="Emphasis">
    <w:name w:val="Emphasis"/>
    <w:basedOn w:val="DefaultParagraphFont"/>
    <w:uiPriority w:val="20"/>
    <w:qFormat/>
    <w:rsid w:val="00D81CC7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D81CC7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D81CC7"/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D81CC7"/>
  </w:style>
  <w:style w:type="character" w:customStyle="1" w:styleId="EndNoteBibliographyChar">
    <w:name w:val="EndNote Bibliography Char"/>
    <w:basedOn w:val="DefaultParagraphFont"/>
    <w:link w:val="EndNoteBibliography"/>
    <w:rsid w:val="00D81CC7"/>
    <w:rPr>
      <w:rFonts w:ascii="Times New Roman" w:eastAsia="Times New Roman" w:hAnsi="Times New Roman" w:cs="Times New Roman"/>
      <w:sz w:val="24"/>
      <w:szCs w:val="24"/>
    </w:rPr>
  </w:style>
  <w:style w:type="character" w:customStyle="1" w:styleId="a">
    <w:name w:val="_"/>
    <w:basedOn w:val="DefaultParagraphFont"/>
    <w:rsid w:val="00D81CC7"/>
  </w:style>
  <w:style w:type="character" w:styleId="Hyperlink">
    <w:name w:val="Hyperlink"/>
    <w:basedOn w:val="DefaultParagraphFont"/>
    <w:uiPriority w:val="99"/>
    <w:unhideWhenUsed/>
    <w:rsid w:val="00D81CC7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81C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1C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1CC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1C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1CC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1CC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CC7"/>
    <w:rPr>
      <w:rFonts w:ascii="Times New Roman" w:eastAsia="Times New Roman" w:hAnsi="Times New Roman"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D81CC7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81C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2117</Words>
  <Characters>12073</Characters>
  <Application>Microsoft Office Word</Application>
  <DocSecurity>0</DocSecurity>
  <Lines>100</Lines>
  <Paragraphs>28</Paragraphs>
  <ScaleCrop>false</ScaleCrop>
  <Company>Springer Nature</Company>
  <LinksUpToDate>false</LinksUpToDate>
  <CharactersWithSpaces>14162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2021-09-03T09:40:00Z</dcterms:created>
  <dcterms:modified xsi:type="dcterms:W3CDTF">2021-09-03T09:44:00Z</dcterms:modified>
</cp:coreProperties>
</file>