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38B" w:rsidRPr="0068244B" w:rsidRDefault="00DA038B" w:rsidP="00DA038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Supplementary Table1. </w:t>
      </w:r>
      <w:r w:rsidRPr="0068244B">
        <w:rPr>
          <w:rFonts w:ascii="Times New Roman" w:hAnsi="Times New Roman"/>
          <w:sz w:val="24"/>
          <w:szCs w:val="24"/>
        </w:rPr>
        <w:t xml:space="preserve"> Odds ratio analysis </w:t>
      </w:r>
      <w:r>
        <w:rPr>
          <w:rFonts w:ascii="Times New Roman" w:hAnsi="Times New Roman"/>
          <w:sz w:val="24"/>
          <w:szCs w:val="24"/>
        </w:rPr>
        <w:t xml:space="preserve">between </w:t>
      </w:r>
      <w:r w:rsidRPr="0068244B">
        <w:rPr>
          <w:rFonts w:ascii="Times New Roman" w:hAnsi="Times New Roman"/>
          <w:color w:val="000000"/>
          <w:spacing w:val="-2"/>
          <w:sz w:val="24"/>
          <w:szCs w:val="24"/>
        </w:rPr>
        <w:t xml:space="preserve">ACE I/D </w:t>
      </w:r>
      <w:r w:rsidRPr="0068244B">
        <w:rPr>
          <w:rFonts w:ascii="Times New Roman" w:hAnsi="Times New Roman"/>
          <w:i/>
          <w:color w:val="000000"/>
          <w:spacing w:val="-2"/>
          <w:sz w:val="24"/>
          <w:szCs w:val="24"/>
        </w:rPr>
        <w:t>rs4646994</w:t>
      </w:r>
      <w:r w:rsidRPr="0068244B">
        <w:rPr>
          <w:rFonts w:ascii="Times New Roman" w:hAnsi="Times New Roman"/>
          <w:color w:val="000000"/>
          <w:spacing w:val="-2"/>
          <w:sz w:val="24"/>
          <w:szCs w:val="24"/>
        </w:rPr>
        <w:t xml:space="preserve"> polymorphism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and different dyslipidemia.</w:t>
      </w:r>
    </w:p>
    <w:tbl>
      <w:tblPr>
        <w:tblW w:w="10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4"/>
        <w:gridCol w:w="2457"/>
        <w:gridCol w:w="3286"/>
        <w:gridCol w:w="3484"/>
      </w:tblGrid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0" w:name="_Hlk11273485"/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Liangmia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OR (95% CI) p value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Mizo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OR(95% CI) p value</w:t>
            </w:r>
          </w:p>
        </w:tc>
      </w:tr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</w:t>
            </w:r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II VS ID+DD</w:t>
            </w: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0.97 (0.56-1.68) 0.97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1.34 (0.82-2.20) 0.23</w:t>
            </w:r>
          </w:p>
        </w:tc>
      </w:tr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TG</w:t>
            </w:r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II VS ID+DD</w:t>
            </w: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0.61 (0.36-1.03) 0.06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0.94 (0.58-1.53) 0.81</w:t>
            </w:r>
          </w:p>
        </w:tc>
      </w:tr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HDL</w:t>
            </w:r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II VS ID+DD</w:t>
            </w: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0.83 (0.49-1.40) 0.48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0.79 (0.46-1.34) 0.38</w:t>
            </w:r>
          </w:p>
        </w:tc>
      </w:tr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LDL</w:t>
            </w:r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II VS ID+DD</w:t>
            </w: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0.93 (0.52-1.64) 0.80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1.17 (0.72-1.90) 0.51</w:t>
            </w:r>
          </w:p>
        </w:tc>
      </w:tr>
      <w:tr w:rsidR="00DA038B" w:rsidRPr="0068244B" w:rsidTr="0048095B">
        <w:trPr>
          <w:trHeight w:val="293"/>
        </w:trPr>
        <w:tc>
          <w:tcPr>
            <w:tcW w:w="155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VLDL</w:t>
            </w:r>
          </w:p>
        </w:tc>
        <w:tc>
          <w:tcPr>
            <w:tcW w:w="2457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II VS ID+DD</w:t>
            </w:r>
          </w:p>
        </w:tc>
        <w:tc>
          <w:tcPr>
            <w:tcW w:w="3286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0.61 (0.36-1.03) 0.06</w:t>
            </w:r>
          </w:p>
        </w:tc>
        <w:tc>
          <w:tcPr>
            <w:tcW w:w="3484" w:type="dxa"/>
            <w:shd w:val="clear" w:color="auto" w:fill="auto"/>
            <w:noWrap/>
            <w:vAlign w:val="bottom"/>
            <w:hideMark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82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0.94 (0.58-1.53) 0.81</w:t>
            </w:r>
          </w:p>
        </w:tc>
      </w:tr>
      <w:tr w:rsidR="00DA038B" w:rsidRPr="0068244B" w:rsidTr="0048095B">
        <w:trPr>
          <w:trHeight w:val="293"/>
        </w:trPr>
        <w:tc>
          <w:tcPr>
            <w:tcW w:w="10781" w:type="dxa"/>
            <w:gridSpan w:val="4"/>
            <w:shd w:val="clear" w:color="auto" w:fill="auto"/>
            <w:noWrap/>
            <w:vAlign w:val="bottom"/>
          </w:tcPr>
          <w:p w:rsidR="00DA038B" w:rsidRPr="0068244B" w:rsidRDefault="00DA038B" w:rsidP="004809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Data represented as TC: Total Cholesterol; TG: Triglyceride; HDL: High-density lipoprotein; LDL: Low-density lipoprotein; VLDL: Very low-density lipoprotein; HTN: Hypertension</w:t>
            </w:r>
          </w:p>
        </w:tc>
      </w:tr>
      <w:bookmarkEnd w:id="0"/>
    </w:tbl>
    <w:p w:rsidR="00DA038B" w:rsidRDefault="00DA038B" w:rsidP="00DA038B"/>
    <w:p w:rsidR="00000F57" w:rsidRDefault="00DA038B">
      <w:bookmarkStart w:id="1" w:name="_GoBack"/>
      <w:bookmarkEnd w:id="1"/>
    </w:p>
    <w:sectPr w:rsidR="00000F57" w:rsidSect="00823D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38B"/>
    <w:rsid w:val="0007695B"/>
    <w:rsid w:val="005615C6"/>
    <w:rsid w:val="007D4061"/>
    <w:rsid w:val="008B4EED"/>
    <w:rsid w:val="00DA038B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FCF5FC-6C5F-4A6A-9263-1CF6AAD9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38B"/>
    <w:pPr>
      <w:spacing w:after="200" w:line="276" w:lineRule="auto"/>
    </w:pPr>
    <w:rPr>
      <w:rFonts w:ascii="Calibri" w:eastAsia="Calibri" w:hAnsi="Calibri" w:cs="Times New Roman"/>
      <w:sz w:val="20"/>
      <w:szCs w:val="20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>Springer Nature IT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2021-09-02T10:15:00Z</dcterms:created>
  <dcterms:modified xsi:type="dcterms:W3CDTF">2021-09-02T10:16:00Z</dcterms:modified>
</cp:coreProperties>
</file>