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5D8B47" w14:textId="77777777" w:rsidR="00642C10" w:rsidRDefault="00642C10" w:rsidP="00642C10">
      <w:pPr>
        <w:pageBreakBefore/>
        <w:spacing w:before="240" w:after="240" w:line="360" w:lineRule="auto"/>
        <w:rPr>
          <w:rFonts w:ascii="Lora" w:hAnsi="Lora"/>
          <w:b/>
          <w:bCs/>
          <w:sz w:val="32"/>
          <w:szCs w:val="32"/>
        </w:rPr>
      </w:pPr>
      <w:r>
        <w:rPr>
          <w:rFonts w:ascii="Lora" w:hAnsi="Lora"/>
          <w:b/>
          <w:bCs/>
          <w:sz w:val="32"/>
          <w:szCs w:val="32"/>
        </w:rPr>
        <w:t>Appendix A: Data Sources and Spatial Extent</w:t>
      </w:r>
    </w:p>
    <w:p w14:paraId="6DB4E793" w14:textId="77777777" w:rsidR="00642C10" w:rsidRDefault="00642C10" w:rsidP="00642C10">
      <w:pPr>
        <w:spacing w:before="240" w:after="240" w:line="360" w:lineRule="auto"/>
        <w:rPr>
          <w:rFonts w:ascii="Lora" w:eastAsia="Lora" w:hAnsi="Lora" w:cs="Lora"/>
          <w:kern w:val="0"/>
        </w:rPr>
      </w:pPr>
      <w:r>
        <w:rPr>
          <w:rFonts w:ascii="Lora" w:eastAsia="Lora" w:hAnsi="Lora" w:cs="Lora"/>
          <w:kern w:val="0"/>
        </w:rPr>
        <w:t>Table A1. Spatial extent defined for each study area</w:t>
      </w:r>
    </w:p>
    <w:tbl>
      <w:tblPr>
        <w:tblW w:w="12435" w:type="dxa"/>
        <w:tblInd w:w="-8" w:type="dxa"/>
        <w:tblLayout w:type="fixed"/>
        <w:tblCellMar>
          <w:left w:w="10" w:type="dxa"/>
          <w:right w:w="10" w:type="dxa"/>
        </w:tblCellMar>
        <w:tblLook w:val="04A0" w:firstRow="1" w:lastRow="0" w:firstColumn="1" w:lastColumn="0" w:noHBand="0" w:noVBand="1"/>
      </w:tblPr>
      <w:tblGrid>
        <w:gridCol w:w="1065"/>
        <w:gridCol w:w="2430"/>
        <w:gridCol w:w="2250"/>
        <w:gridCol w:w="6690"/>
      </w:tblGrid>
      <w:tr w:rsidR="00642C10" w14:paraId="3A99AE7A" w14:textId="77777777" w:rsidTr="00413032">
        <w:trPr>
          <w:trHeight w:val="585"/>
        </w:trPr>
        <w:tc>
          <w:tcPr>
            <w:tcW w:w="1065"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vAlign w:val="center"/>
          </w:tcPr>
          <w:p w14:paraId="5024E8DD" w14:textId="77777777" w:rsidR="00642C10" w:rsidRDefault="00642C10" w:rsidP="00413032">
            <w:pPr>
              <w:spacing w:before="240"/>
              <w:rPr>
                <w:rFonts w:ascii="Lora" w:eastAsia="Lora" w:hAnsi="Lora" w:cs="Lora"/>
                <w:kern w:val="0"/>
                <w:sz w:val="20"/>
                <w:szCs w:val="20"/>
              </w:rPr>
            </w:pPr>
            <w:r>
              <w:rPr>
                <w:rFonts w:ascii="Lora" w:eastAsia="Lora" w:hAnsi="Lora" w:cs="Lora"/>
                <w:kern w:val="0"/>
                <w:sz w:val="20"/>
                <w:szCs w:val="20"/>
              </w:rPr>
              <w:t>City</w:t>
            </w:r>
          </w:p>
        </w:tc>
        <w:tc>
          <w:tcPr>
            <w:tcW w:w="2430" w:type="dxa"/>
            <w:tcBorders>
              <w:top w:val="single" w:sz="6" w:space="0" w:color="000000"/>
              <w:bottom w:val="single" w:sz="6" w:space="0" w:color="000000"/>
              <w:right w:val="single" w:sz="6" w:space="0" w:color="000000"/>
            </w:tcBorders>
            <w:tcMar>
              <w:top w:w="0" w:type="dxa"/>
              <w:left w:w="100" w:type="dxa"/>
              <w:bottom w:w="0" w:type="dxa"/>
              <w:right w:w="100" w:type="dxa"/>
            </w:tcMar>
            <w:vAlign w:val="center"/>
          </w:tcPr>
          <w:p w14:paraId="330646DE" w14:textId="77777777" w:rsidR="00642C10" w:rsidRDefault="00642C10" w:rsidP="00413032">
            <w:pPr>
              <w:spacing w:before="240"/>
              <w:rPr>
                <w:rFonts w:ascii="Lora" w:eastAsia="Lora" w:hAnsi="Lora" w:cs="Lora"/>
                <w:kern w:val="0"/>
                <w:sz w:val="20"/>
                <w:szCs w:val="20"/>
              </w:rPr>
            </w:pPr>
            <w:r>
              <w:rPr>
                <w:rFonts w:ascii="Lora" w:eastAsia="Lora" w:hAnsi="Lora" w:cs="Lora"/>
                <w:kern w:val="0"/>
                <w:sz w:val="20"/>
                <w:szCs w:val="20"/>
              </w:rPr>
              <w:t>Coordinates (Extent)</w:t>
            </w:r>
          </w:p>
        </w:tc>
        <w:tc>
          <w:tcPr>
            <w:tcW w:w="2250" w:type="dxa"/>
            <w:tcBorders>
              <w:top w:val="single" w:sz="6" w:space="0" w:color="000000"/>
              <w:bottom w:val="single" w:sz="6" w:space="0" w:color="000000"/>
              <w:right w:val="single" w:sz="6" w:space="0" w:color="000000"/>
            </w:tcBorders>
            <w:tcMar>
              <w:top w:w="0" w:type="dxa"/>
              <w:left w:w="100" w:type="dxa"/>
              <w:bottom w:w="0" w:type="dxa"/>
              <w:right w:w="100" w:type="dxa"/>
            </w:tcMar>
            <w:vAlign w:val="center"/>
          </w:tcPr>
          <w:p w14:paraId="12D991A9" w14:textId="77777777" w:rsidR="00642C10" w:rsidRDefault="00642C10" w:rsidP="00413032">
            <w:pPr>
              <w:spacing w:before="240"/>
              <w:rPr>
                <w:rFonts w:ascii="Lora" w:eastAsia="Lora" w:hAnsi="Lora" w:cs="Lora"/>
                <w:kern w:val="0"/>
                <w:sz w:val="20"/>
                <w:szCs w:val="20"/>
              </w:rPr>
            </w:pPr>
            <w:r>
              <w:rPr>
                <w:rFonts w:ascii="Lora" w:eastAsia="Lora" w:hAnsi="Lora" w:cs="Lora"/>
                <w:kern w:val="0"/>
                <w:sz w:val="20"/>
                <w:szCs w:val="20"/>
              </w:rPr>
              <w:t>Approx. Area (km²)</w:t>
            </w:r>
          </w:p>
        </w:tc>
        <w:tc>
          <w:tcPr>
            <w:tcW w:w="6690" w:type="dxa"/>
            <w:tcBorders>
              <w:top w:val="single" w:sz="6" w:space="0" w:color="000000"/>
              <w:bottom w:val="single" w:sz="6" w:space="0" w:color="000000"/>
              <w:right w:val="single" w:sz="6" w:space="0" w:color="000000"/>
            </w:tcBorders>
            <w:tcMar>
              <w:top w:w="0" w:type="dxa"/>
              <w:left w:w="100" w:type="dxa"/>
              <w:bottom w:w="0" w:type="dxa"/>
              <w:right w:w="100" w:type="dxa"/>
            </w:tcMar>
            <w:vAlign w:val="center"/>
          </w:tcPr>
          <w:p w14:paraId="3FB5C029" w14:textId="77777777" w:rsidR="00642C10" w:rsidRDefault="00642C10" w:rsidP="00413032">
            <w:pPr>
              <w:spacing w:before="240"/>
              <w:rPr>
                <w:rFonts w:ascii="Lora" w:eastAsia="Lora" w:hAnsi="Lora" w:cs="Lora"/>
                <w:kern w:val="0"/>
                <w:sz w:val="20"/>
                <w:szCs w:val="20"/>
              </w:rPr>
            </w:pPr>
            <w:r>
              <w:rPr>
                <w:rFonts w:ascii="Lora" w:eastAsia="Lora" w:hAnsi="Lora" w:cs="Lora"/>
                <w:kern w:val="0"/>
                <w:sz w:val="20"/>
                <w:szCs w:val="20"/>
              </w:rPr>
              <w:t>Description of Coverage</w:t>
            </w:r>
          </w:p>
        </w:tc>
      </w:tr>
      <w:tr w:rsidR="00642C10" w14:paraId="06DCE25C" w14:textId="77777777" w:rsidTr="00413032">
        <w:trPr>
          <w:trHeight w:val="795"/>
        </w:trPr>
        <w:tc>
          <w:tcPr>
            <w:tcW w:w="1065" w:type="dxa"/>
            <w:tcBorders>
              <w:left w:val="single" w:sz="6" w:space="0" w:color="000000"/>
              <w:bottom w:val="single" w:sz="6" w:space="0" w:color="000000"/>
              <w:right w:val="single" w:sz="6" w:space="0" w:color="000000"/>
            </w:tcBorders>
            <w:tcMar>
              <w:top w:w="0" w:type="dxa"/>
              <w:left w:w="100" w:type="dxa"/>
              <w:bottom w:w="0" w:type="dxa"/>
              <w:right w:w="100" w:type="dxa"/>
            </w:tcMar>
            <w:vAlign w:val="center"/>
          </w:tcPr>
          <w:p w14:paraId="34C74009" w14:textId="77777777" w:rsidR="00642C10" w:rsidRDefault="00642C10" w:rsidP="00413032">
            <w:pPr>
              <w:spacing w:before="240"/>
              <w:rPr>
                <w:rFonts w:ascii="Lora" w:eastAsia="Lora" w:hAnsi="Lora" w:cs="Lora"/>
                <w:kern w:val="0"/>
                <w:sz w:val="20"/>
                <w:szCs w:val="20"/>
              </w:rPr>
            </w:pPr>
            <w:r>
              <w:rPr>
                <w:rFonts w:ascii="Lora" w:eastAsia="Lora" w:hAnsi="Lora" w:cs="Lora"/>
                <w:kern w:val="0"/>
                <w:sz w:val="20"/>
                <w:szCs w:val="20"/>
              </w:rPr>
              <w:t>Riyadh</w:t>
            </w:r>
          </w:p>
        </w:tc>
        <w:tc>
          <w:tcPr>
            <w:tcW w:w="2430" w:type="dxa"/>
            <w:tcBorders>
              <w:bottom w:val="single" w:sz="6" w:space="0" w:color="000000"/>
              <w:right w:val="single" w:sz="6" w:space="0" w:color="000000"/>
            </w:tcBorders>
            <w:tcMar>
              <w:top w:w="0" w:type="dxa"/>
              <w:left w:w="100" w:type="dxa"/>
              <w:bottom w:w="0" w:type="dxa"/>
              <w:right w:w="100" w:type="dxa"/>
            </w:tcMar>
            <w:vAlign w:val="center"/>
          </w:tcPr>
          <w:p w14:paraId="5AF05835" w14:textId="77777777" w:rsidR="00642C10" w:rsidRDefault="00642C10" w:rsidP="00413032">
            <w:pPr>
              <w:spacing w:before="240"/>
              <w:rPr>
                <w:rFonts w:ascii="Lora" w:eastAsia="Lora" w:hAnsi="Lora" w:cs="Lora"/>
                <w:kern w:val="0"/>
                <w:sz w:val="20"/>
                <w:szCs w:val="20"/>
              </w:rPr>
            </w:pPr>
            <w:r>
              <w:rPr>
                <w:rFonts w:ascii="Lora" w:eastAsia="Lora" w:hAnsi="Lora" w:cs="Lora"/>
                <w:kern w:val="0"/>
                <w:sz w:val="20"/>
                <w:szCs w:val="20"/>
              </w:rPr>
              <w:t>46.28°E – 47.17°E; 24.13°N – 25.01°N</w:t>
            </w:r>
          </w:p>
        </w:tc>
        <w:tc>
          <w:tcPr>
            <w:tcW w:w="2250" w:type="dxa"/>
            <w:tcBorders>
              <w:bottom w:val="single" w:sz="6" w:space="0" w:color="000000"/>
              <w:right w:val="single" w:sz="6" w:space="0" w:color="000000"/>
            </w:tcBorders>
            <w:tcMar>
              <w:top w:w="0" w:type="dxa"/>
              <w:left w:w="100" w:type="dxa"/>
              <w:bottom w:w="0" w:type="dxa"/>
              <w:right w:w="100" w:type="dxa"/>
            </w:tcMar>
            <w:vAlign w:val="center"/>
          </w:tcPr>
          <w:p w14:paraId="5174D945" w14:textId="77777777" w:rsidR="00642C10" w:rsidRDefault="00642C10" w:rsidP="00413032">
            <w:pPr>
              <w:spacing w:before="240"/>
              <w:rPr>
                <w:rFonts w:ascii="Lora" w:eastAsia="Lora" w:hAnsi="Lora" w:cs="Lora"/>
                <w:kern w:val="0"/>
                <w:sz w:val="20"/>
                <w:szCs w:val="20"/>
              </w:rPr>
            </w:pPr>
            <w:r>
              <w:rPr>
                <w:rFonts w:ascii="Lora" w:eastAsia="Lora" w:hAnsi="Lora" w:cs="Lora"/>
                <w:kern w:val="0"/>
                <w:sz w:val="20"/>
                <w:szCs w:val="20"/>
              </w:rPr>
              <w:t>~6,290</w:t>
            </w:r>
          </w:p>
        </w:tc>
        <w:tc>
          <w:tcPr>
            <w:tcW w:w="6690" w:type="dxa"/>
            <w:tcBorders>
              <w:bottom w:val="single" w:sz="6" w:space="0" w:color="000000"/>
              <w:right w:val="single" w:sz="6" w:space="0" w:color="000000"/>
            </w:tcBorders>
            <w:tcMar>
              <w:top w:w="0" w:type="dxa"/>
              <w:left w:w="100" w:type="dxa"/>
              <w:bottom w:w="0" w:type="dxa"/>
              <w:right w:w="100" w:type="dxa"/>
            </w:tcMar>
            <w:vAlign w:val="center"/>
          </w:tcPr>
          <w:p w14:paraId="0AC01B1D" w14:textId="77777777" w:rsidR="00642C10" w:rsidRDefault="00642C10" w:rsidP="00413032">
            <w:pPr>
              <w:spacing w:before="240"/>
              <w:rPr>
                <w:rFonts w:ascii="Lora" w:eastAsia="Lora" w:hAnsi="Lora" w:cs="Lora"/>
                <w:kern w:val="0"/>
                <w:sz w:val="20"/>
                <w:szCs w:val="20"/>
              </w:rPr>
            </w:pPr>
            <w:r>
              <w:rPr>
                <w:rFonts w:ascii="Lora" w:eastAsia="Lora" w:hAnsi="Lora" w:cs="Lora"/>
                <w:kern w:val="0"/>
                <w:sz w:val="20"/>
                <w:szCs w:val="20"/>
              </w:rPr>
              <w:t>Covers the entire metropolitan region on the Najd Plateau, including the historic core, residential belts, and recent outward expansion zones.</w:t>
            </w:r>
          </w:p>
        </w:tc>
      </w:tr>
      <w:tr w:rsidR="00642C10" w14:paraId="3EDE476E" w14:textId="77777777" w:rsidTr="00413032">
        <w:trPr>
          <w:trHeight w:val="795"/>
        </w:trPr>
        <w:tc>
          <w:tcPr>
            <w:tcW w:w="1065" w:type="dxa"/>
            <w:tcBorders>
              <w:left w:val="single" w:sz="6" w:space="0" w:color="000000"/>
              <w:bottom w:val="single" w:sz="6" w:space="0" w:color="000000"/>
              <w:right w:val="single" w:sz="6" w:space="0" w:color="000000"/>
            </w:tcBorders>
            <w:tcMar>
              <w:top w:w="0" w:type="dxa"/>
              <w:left w:w="100" w:type="dxa"/>
              <w:bottom w:w="0" w:type="dxa"/>
              <w:right w:w="100" w:type="dxa"/>
            </w:tcMar>
            <w:vAlign w:val="center"/>
          </w:tcPr>
          <w:p w14:paraId="62E48716" w14:textId="77777777" w:rsidR="00642C10" w:rsidRDefault="00642C10" w:rsidP="00413032">
            <w:pPr>
              <w:spacing w:before="240"/>
              <w:rPr>
                <w:rFonts w:ascii="Lora" w:eastAsia="Lora" w:hAnsi="Lora" w:cs="Lora"/>
                <w:kern w:val="0"/>
                <w:sz w:val="20"/>
                <w:szCs w:val="20"/>
              </w:rPr>
            </w:pPr>
            <w:r>
              <w:rPr>
                <w:rFonts w:ascii="Lora" w:eastAsia="Lora" w:hAnsi="Lora" w:cs="Lora"/>
                <w:kern w:val="0"/>
                <w:sz w:val="20"/>
                <w:szCs w:val="20"/>
              </w:rPr>
              <w:t>Jeddah</w:t>
            </w:r>
          </w:p>
        </w:tc>
        <w:tc>
          <w:tcPr>
            <w:tcW w:w="2430" w:type="dxa"/>
            <w:tcBorders>
              <w:bottom w:val="single" w:sz="6" w:space="0" w:color="000000"/>
              <w:right w:val="single" w:sz="6" w:space="0" w:color="000000"/>
            </w:tcBorders>
            <w:tcMar>
              <w:top w:w="0" w:type="dxa"/>
              <w:left w:w="100" w:type="dxa"/>
              <w:bottom w:w="0" w:type="dxa"/>
              <w:right w:w="100" w:type="dxa"/>
            </w:tcMar>
            <w:vAlign w:val="center"/>
          </w:tcPr>
          <w:p w14:paraId="741F4283" w14:textId="77777777" w:rsidR="00642C10" w:rsidRDefault="00642C10" w:rsidP="00413032">
            <w:pPr>
              <w:spacing w:before="240"/>
            </w:pPr>
            <w:r>
              <w:rPr>
                <w:rFonts w:ascii="Lora" w:eastAsia="Lora" w:hAnsi="Lora" w:cs="Lora"/>
                <w:kern w:val="0"/>
                <w:sz w:val="20"/>
                <w:szCs w:val="20"/>
              </w:rPr>
              <w:t xml:space="preserve">470,475 E – 559,515 E; 2,323,665 N – 2,444,925 N </w:t>
            </w:r>
            <w:r>
              <w:rPr>
                <w:rFonts w:ascii="Lora" w:eastAsia="Lora" w:hAnsi="Lora" w:cs="Lora"/>
                <w:i/>
                <w:iCs/>
                <w:kern w:val="0"/>
                <w:sz w:val="20"/>
                <w:szCs w:val="20"/>
              </w:rPr>
              <w:t>(UTM)</w:t>
            </w:r>
          </w:p>
        </w:tc>
        <w:tc>
          <w:tcPr>
            <w:tcW w:w="2250" w:type="dxa"/>
            <w:tcBorders>
              <w:bottom w:val="single" w:sz="6" w:space="0" w:color="000000"/>
              <w:right w:val="single" w:sz="6" w:space="0" w:color="000000"/>
            </w:tcBorders>
            <w:tcMar>
              <w:top w:w="0" w:type="dxa"/>
              <w:left w:w="100" w:type="dxa"/>
              <w:bottom w:w="0" w:type="dxa"/>
              <w:right w:w="100" w:type="dxa"/>
            </w:tcMar>
            <w:vAlign w:val="center"/>
          </w:tcPr>
          <w:p w14:paraId="6E478E87" w14:textId="77777777" w:rsidR="00642C10" w:rsidRDefault="00642C10" w:rsidP="00413032">
            <w:pPr>
              <w:spacing w:before="240"/>
              <w:rPr>
                <w:rFonts w:ascii="Lora" w:eastAsia="Lora" w:hAnsi="Lora" w:cs="Lora"/>
                <w:kern w:val="0"/>
                <w:sz w:val="20"/>
                <w:szCs w:val="20"/>
              </w:rPr>
            </w:pPr>
            <w:r>
              <w:rPr>
                <w:rFonts w:ascii="Lora" w:eastAsia="Lora" w:hAnsi="Lora" w:cs="Lora"/>
                <w:kern w:val="0"/>
                <w:sz w:val="20"/>
                <w:szCs w:val="20"/>
              </w:rPr>
              <w:t>~10,800</w:t>
            </w:r>
          </w:p>
        </w:tc>
        <w:tc>
          <w:tcPr>
            <w:tcW w:w="6690" w:type="dxa"/>
            <w:tcBorders>
              <w:bottom w:val="single" w:sz="6" w:space="0" w:color="000000"/>
              <w:right w:val="single" w:sz="6" w:space="0" w:color="000000"/>
            </w:tcBorders>
            <w:tcMar>
              <w:top w:w="0" w:type="dxa"/>
              <w:left w:w="100" w:type="dxa"/>
              <w:bottom w:w="0" w:type="dxa"/>
              <w:right w:w="100" w:type="dxa"/>
            </w:tcMar>
            <w:vAlign w:val="center"/>
          </w:tcPr>
          <w:p w14:paraId="4A33C375" w14:textId="77777777" w:rsidR="00642C10" w:rsidRDefault="00642C10" w:rsidP="00413032">
            <w:pPr>
              <w:spacing w:before="240"/>
              <w:rPr>
                <w:rFonts w:ascii="Lora" w:eastAsia="Lora" w:hAnsi="Lora" w:cs="Lora"/>
                <w:kern w:val="0"/>
                <w:sz w:val="20"/>
                <w:szCs w:val="20"/>
              </w:rPr>
            </w:pPr>
            <w:r>
              <w:rPr>
                <w:rFonts w:ascii="Lora" w:eastAsia="Lora" w:hAnsi="Lora" w:cs="Lora"/>
                <w:kern w:val="0"/>
                <w:sz w:val="20"/>
                <w:szCs w:val="20"/>
              </w:rPr>
              <w:t>Encompasses the full coastal urban corridor along the Red Sea, including port districts, wadi systems, and new development fronts.</w:t>
            </w:r>
          </w:p>
        </w:tc>
      </w:tr>
      <w:tr w:rsidR="00642C10" w14:paraId="2E6337C7" w14:textId="77777777" w:rsidTr="00413032">
        <w:trPr>
          <w:trHeight w:val="795"/>
        </w:trPr>
        <w:tc>
          <w:tcPr>
            <w:tcW w:w="1065" w:type="dxa"/>
            <w:tcBorders>
              <w:left w:val="single" w:sz="6" w:space="0" w:color="000000"/>
              <w:bottom w:val="single" w:sz="6" w:space="0" w:color="000000"/>
              <w:right w:val="single" w:sz="6" w:space="0" w:color="000000"/>
            </w:tcBorders>
            <w:tcMar>
              <w:top w:w="0" w:type="dxa"/>
              <w:left w:w="100" w:type="dxa"/>
              <w:bottom w:w="0" w:type="dxa"/>
              <w:right w:w="100" w:type="dxa"/>
            </w:tcMar>
            <w:vAlign w:val="center"/>
          </w:tcPr>
          <w:p w14:paraId="70671E53" w14:textId="77777777" w:rsidR="00642C10" w:rsidRDefault="00642C10" w:rsidP="00413032">
            <w:pPr>
              <w:spacing w:before="240"/>
              <w:rPr>
                <w:rFonts w:ascii="Lora" w:eastAsia="Lora" w:hAnsi="Lora" w:cs="Lora"/>
                <w:kern w:val="0"/>
                <w:sz w:val="20"/>
                <w:szCs w:val="20"/>
              </w:rPr>
            </w:pPr>
            <w:r>
              <w:rPr>
                <w:rFonts w:ascii="Lora" w:eastAsia="Lora" w:hAnsi="Lora" w:cs="Lora"/>
                <w:kern w:val="0"/>
                <w:sz w:val="20"/>
                <w:szCs w:val="20"/>
              </w:rPr>
              <w:t>Makkah</w:t>
            </w:r>
          </w:p>
        </w:tc>
        <w:tc>
          <w:tcPr>
            <w:tcW w:w="2430" w:type="dxa"/>
            <w:tcBorders>
              <w:bottom w:val="single" w:sz="6" w:space="0" w:color="000000"/>
              <w:right w:val="single" w:sz="6" w:space="0" w:color="000000"/>
            </w:tcBorders>
            <w:tcMar>
              <w:top w:w="0" w:type="dxa"/>
              <w:left w:w="100" w:type="dxa"/>
              <w:bottom w:w="0" w:type="dxa"/>
              <w:right w:w="100" w:type="dxa"/>
            </w:tcMar>
            <w:vAlign w:val="center"/>
          </w:tcPr>
          <w:p w14:paraId="3F034E6A" w14:textId="77777777" w:rsidR="00642C10" w:rsidRDefault="00642C10" w:rsidP="00413032">
            <w:pPr>
              <w:spacing w:before="240"/>
            </w:pPr>
            <w:r>
              <w:rPr>
                <w:rFonts w:ascii="Lora" w:eastAsia="Lora" w:hAnsi="Lora" w:cs="Lora"/>
                <w:kern w:val="0"/>
                <w:sz w:val="20"/>
                <w:szCs w:val="20"/>
              </w:rPr>
              <w:t xml:space="preserve">567,975 E – 603,915 E; 2,347,815 N – 2,379,555 N </w:t>
            </w:r>
            <w:r>
              <w:rPr>
                <w:rFonts w:ascii="Lora" w:eastAsia="Lora" w:hAnsi="Lora" w:cs="Lora"/>
                <w:i/>
                <w:iCs/>
                <w:kern w:val="0"/>
                <w:sz w:val="20"/>
                <w:szCs w:val="20"/>
              </w:rPr>
              <w:t>(UTM)</w:t>
            </w:r>
          </w:p>
        </w:tc>
        <w:tc>
          <w:tcPr>
            <w:tcW w:w="2250" w:type="dxa"/>
            <w:tcBorders>
              <w:bottom w:val="single" w:sz="6" w:space="0" w:color="000000"/>
              <w:right w:val="single" w:sz="6" w:space="0" w:color="000000"/>
            </w:tcBorders>
            <w:tcMar>
              <w:top w:w="0" w:type="dxa"/>
              <w:left w:w="100" w:type="dxa"/>
              <w:bottom w:w="0" w:type="dxa"/>
              <w:right w:w="100" w:type="dxa"/>
            </w:tcMar>
            <w:vAlign w:val="center"/>
          </w:tcPr>
          <w:p w14:paraId="7CE40083" w14:textId="77777777" w:rsidR="00642C10" w:rsidRDefault="00642C10" w:rsidP="00413032">
            <w:pPr>
              <w:spacing w:before="240"/>
              <w:rPr>
                <w:rFonts w:ascii="Lora" w:eastAsia="Lora" w:hAnsi="Lora" w:cs="Lora"/>
                <w:kern w:val="0"/>
                <w:sz w:val="20"/>
                <w:szCs w:val="20"/>
              </w:rPr>
            </w:pPr>
            <w:r>
              <w:rPr>
                <w:rFonts w:ascii="Lora" w:eastAsia="Lora" w:hAnsi="Lora" w:cs="Lora"/>
                <w:kern w:val="0"/>
                <w:sz w:val="20"/>
                <w:szCs w:val="20"/>
              </w:rPr>
              <w:t>~1,140</w:t>
            </w:r>
          </w:p>
        </w:tc>
        <w:tc>
          <w:tcPr>
            <w:tcW w:w="6690" w:type="dxa"/>
            <w:tcBorders>
              <w:bottom w:val="single" w:sz="6" w:space="0" w:color="000000"/>
              <w:right w:val="single" w:sz="6" w:space="0" w:color="000000"/>
            </w:tcBorders>
            <w:tcMar>
              <w:top w:w="0" w:type="dxa"/>
              <w:left w:w="100" w:type="dxa"/>
              <w:bottom w:w="0" w:type="dxa"/>
              <w:right w:w="100" w:type="dxa"/>
            </w:tcMar>
            <w:vAlign w:val="center"/>
          </w:tcPr>
          <w:p w14:paraId="51F490C8" w14:textId="77777777" w:rsidR="00642C10" w:rsidRDefault="00642C10" w:rsidP="00413032">
            <w:pPr>
              <w:spacing w:before="240"/>
              <w:rPr>
                <w:rFonts w:ascii="Lora" w:eastAsia="Lora" w:hAnsi="Lora" w:cs="Lora"/>
                <w:kern w:val="0"/>
                <w:sz w:val="20"/>
                <w:szCs w:val="20"/>
              </w:rPr>
            </w:pPr>
            <w:r>
              <w:rPr>
                <w:rFonts w:ascii="Lora" w:eastAsia="Lora" w:hAnsi="Lora" w:cs="Lora"/>
                <w:kern w:val="0"/>
                <w:sz w:val="20"/>
                <w:szCs w:val="20"/>
              </w:rPr>
              <w:t>Includes the holy precinct, central basin, adjacent valleys, and mountainous terrain subject to recent development.</w:t>
            </w:r>
          </w:p>
        </w:tc>
      </w:tr>
      <w:tr w:rsidR="00642C10" w14:paraId="1F3C6FCC" w14:textId="77777777" w:rsidTr="00413032">
        <w:trPr>
          <w:trHeight w:val="1058"/>
        </w:trPr>
        <w:tc>
          <w:tcPr>
            <w:tcW w:w="1065" w:type="dxa"/>
            <w:tcBorders>
              <w:left w:val="single" w:sz="6" w:space="0" w:color="000000"/>
              <w:bottom w:val="single" w:sz="6" w:space="0" w:color="000000"/>
              <w:right w:val="single" w:sz="6" w:space="0" w:color="000000"/>
            </w:tcBorders>
            <w:tcMar>
              <w:top w:w="0" w:type="dxa"/>
              <w:left w:w="100" w:type="dxa"/>
              <w:bottom w:w="0" w:type="dxa"/>
              <w:right w:w="100" w:type="dxa"/>
            </w:tcMar>
            <w:vAlign w:val="center"/>
          </w:tcPr>
          <w:p w14:paraId="2F5F8F15" w14:textId="77777777" w:rsidR="00642C10" w:rsidRDefault="00642C10" w:rsidP="00413032">
            <w:pPr>
              <w:spacing w:before="240"/>
              <w:rPr>
                <w:rFonts w:ascii="Lora" w:eastAsia="Lora" w:hAnsi="Lora" w:cs="Lora"/>
                <w:kern w:val="0"/>
                <w:sz w:val="20"/>
                <w:szCs w:val="20"/>
              </w:rPr>
            </w:pPr>
            <w:r>
              <w:rPr>
                <w:rFonts w:ascii="Lora" w:eastAsia="Lora" w:hAnsi="Lora" w:cs="Lora"/>
                <w:kern w:val="0"/>
                <w:sz w:val="20"/>
                <w:szCs w:val="20"/>
              </w:rPr>
              <w:t>Madinah</w:t>
            </w:r>
          </w:p>
        </w:tc>
        <w:tc>
          <w:tcPr>
            <w:tcW w:w="2430" w:type="dxa"/>
            <w:tcBorders>
              <w:bottom w:val="single" w:sz="6" w:space="0" w:color="000000"/>
              <w:right w:val="single" w:sz="6" w:space="0" w:color="000000"/>
            </w:tcBorders>
            <w:tcMar>
              <w:top w:w="0" w:type="dxa"/>
              <w:left w:w="100" w:type="dxa"/>
              <w:bottom w:w="0" w:type="dxa"/>
              <w:right w:w="100" w:type="dxa"/>
            </w:tcMar>
            <w:vAlign w:val="center"/>
          </w:tcPr>
          <w:p w14:paraId="0000DE8B" w14:textId="77777777" w:rsidR="00642C10" w:rsidRDefault="00642C10" w:rsidP="00413032">
            <w:pPr>
              <w:spacing w:before="240"/>
            </w:pPr>
            <w:r>
              <w:rPr>
                <w:rFonts w:ascii="Lora" w:eastAsia="Lora" w:hAnsi="Lora" w:cs="Lora"/>
                <w:kern w:val="0"/>
                <w:sz w:val="20"/>
                <w:szCs w:val="20"/>
              </w:rPr>
              <w:t xml:space="preserve">545,535 E – 583,845 E; 2,686,575 N – 2,723,205 N </w:t>
            </w:r>
            <w:r>
              <w:rPr>
                <w:rFonts w:ascii="Lora" w:eastAsia="Lora" w:hAnsi="Lora" w:cs="Lora"/>
                <w:i/>
                <w:iCs/>
                <w:kern w:val="0"/>
                <w:sz w:val="20"/>
                <w:szCs w:val="20"/>
              </w:rPr>
              <w:t>(UTM)</w:t>
            </w:r>
          </w:p>
        </w:tc>
        <w:tc>
          <w:tcPr>
            <w:tcW w:w="2250" w:type="dxa"/>
            <w:tcBorders>
              <w:bottom w:val="single" w:sz="6" w:space="0" w:color="000000"/>
              <w:right w:val="single" w:sz="6" w:space="0" w:color="000000"/>
            </w:tcBorders>
            <w:tcMar>
              <w:top w:w="0" w:type="dxa"/>
              <w:left w:w="100" w:type="dxa"/>
              <w:bottom w:w="0" w:type="dxa"/>
              <w:right w:w="100" w:type="dxa"/>
            </w:tcMar>
            <w:vAlign w:val="center"/>
          </w:tcPr>
          <w:p w14:paraId="3C6619AB" w14:textId="77777777" w:rsidR="00642C10" w:rsidRDefault="00642C10" w:rsidP="00413032">
            <w:pPr>
              <w:spacing w:before="240"/>
              <w:rPr>
                <w:rFonts w:ascii="Lora" w:eastAsia="Lora" w:hAnsi="Lora" w:cs="Lora"/>
                <w:kern w:val="0"/>
                <w:sz w:val="20"/>
                <w:szCs w:val="20"/>
              </w:rPr>
            </w:pPr>
            <w:r>
              <w:rPr>
                <w:rFonts w:ascii="Lora" w:eastAsia="Lora" w:hAnsi="Lora" w:cs="Lora"/>
                <w:kern w:val="0"/>
                <w:sz w:val="20"/>
                <w:szCs w:val="20"/>
              </w:rPr>
              <w:t>~1,400</w:t>
            </w:r>
          </w:p>
        </w:tc>
        <w:tc>
          <w:tcPr>
            <w:tcW w:w="6690" w:type="dxa"/>
            <w:tcBorders>
              <w:bottom w:val="single" w:sz="6" w:space="0" w:color="000000"/>
              <w:right w:val="single" w:sz="6" w:space="0" w:color="000000"/>
            </w:tcBorders>
            <w:tcMar>
              <w:top w:w="0" w:type="dxa"/>
              <w:left w:w="100" w:type="dxa"/>
              <w:bottom w:w="0" w:type="dxa"/>
              <w:right w:w="100" w:type="dxa"/>
            </w:tcMar>
            <w:vAlign w:val="center"/>
          </w:tcPr>
          <w:p w14:paraId="33F37E2E" w14:textId="77777777" w:rsidR="00642C10" w:rsidRDefault="00642C10" w:rsidP="00413032">
            <w:pPr>
              <w:spacing w:before="240"/>
              <w:rPr>
                <w:rFonts w:ascii="Lora" w:eastAsia="Lora" w:hAnsi="Lora" w:cs="Lora"/>
                <w:kern w:val="0"/>
                <w:sz w:val="20"/>
                <w:szCs w:val="20"/>
              </w:rPr>
            </w:pPr>
            <w:r>
              <w:rPr>
                <w:rFonts w:ascii="Lora" w:eastAsia="Lora" w:hAnsi="Lora" w:cs="Lora"/>
                <w:kern w:val="0"/>
                <w:sz w:val="20"/>
                <w:szCs w:val="20"/>
              </w:rPr>
              <w:t>Covers the elongated sedimentary basin, the historic core around the Prophet’s Mosque, and peripheral expansion constrained by surrounding lava fields (Harrats).</w:t>
            </w:r>
          </w:p>
        </w:tc>
      </w:tr>
    </w:tbl>
    <w:p w14:paraId="6C99AAB7" w14:textId="77777777" w:rsidR="00642C10" w:rsidRDefault="00642C10" w:rsidP="00642C10">
      <w:pPr>
        <w:spacing w:before="240" w:after="240" w:line="240" w:lineRule="auto"/>
        <w:jc w:val="both"/>
        <w:rPr>
          <w:rFonts w:ascii="Lora" w:eastAsia="Lora" w:hAnsi="Lora" w:cs="Lora"/>
          <w:kern w:val="0"/>
        </w:rPr>
      </w:pPr>
      <w:r>
        <w:rPr>
          <w:rFonts w:ascii="Lora" w:eastAsia="Lora" w:hAnsi="Lora" w:cs="Lora"/>
          <w:kern w:val="0"/>
        </w:rPr>
        <w:t xml:space="preserve">Table A2. Summary of satellite datasets used for LULC classification across the four study areas. </w:t>
      </w:r>
    </w:p>
    <w:tbl>
      <w:tblPr>
        <w:tblW w:w="12285" w:type="dxa"/>
        <w:tblLayout w:type="fixed"/>
        <w:tblCellMar>
          <w:left w:w="10" w:type="dxa"/>
          <w:right w:w="10" w:type="dxa"/>
        </w:tblCellMar>
        <w:tblLook w:val="04A0" w:firstRow="1" w:lastRow="0" w:firstColumn="1" w:lastColumn="0" w:noHBand="0" w:noVBand="1"/>
      </w:tblPr>
      <w:tblGrid>
        <w:gridCol w:w="1035"/>
        <w:gridCol w:w="1785"/>
        <w:gridCol w:w="1545"/>
        <w:gridCol w:w="1395"/>
        <w:gridCol w:w="1050"/>
        <w:gridCol w:w="5475"/>
      </w:tblGrid>
      <w:tr w:rsidR="00642C10" w14:paraId="6E71732D" w14:textId="77777777" w:rsidTr="00413032">
        <w:trPr>
          <w:trHeight w:val="630"/>
          <w:tblHeader/>
        </w:trPr>
        <w:tc>
          <w:tcPr>
            <w:tcW w:w="10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E3724DE" w14:textId="77777777" w:rsidR="00642C10" w:rsidRDefault="00642C10" w:rsidP="00413032">
            <w:pPr>
              <w:spacing w:before="240"/>
              <w:jc w:val="center"/>
            </w:pPr>
            <w:r>
              <w:rPr>
                <w:rFonts w:ascii="Lora" w:eastAsia="Lora" w:hAnsi="Lora" w:cs="Lora"/>
                <w:kern w:val="0"/>
                <w:sz w:val="20"/>
                <w:szCs w:val="20"/>
              </w:rPr>
              <w:t>City</w:t>
            </w:r>
          </w:p>
        </w:tc>
        <w:tc>
          <w:tcPr>
            <w:tcW w:w="178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48E3231"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Sensor(s)</w:t>
            </w:r>
          </w:p>
        </w:tc>
        <w:tc>
          <w:tcPr>
            <w:tcW w:w="154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E283799"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Years Used</w:t>
            </w:r>
          </w:p>
        </w:tc>
        <w:tc>
          <w:tcPr>
            <w:tcW w:w="13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7E9D275"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Path/Row or Tile</w:t>
            </w:r>
          </w:p>
        </w:tc>
        <w:tc>
          <w:tcPr>
            <w:tcW w:w="105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03B9F3A"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Cloud Cover</w:t>
            </w:r>
          </w:p>
        </w:tc>
        <w:tc>
          <w:tcPr>
            <w:tcW w:w="5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A587446"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Notes / Purpose</w:t>
            </w:r>
          </w:p>
        </w:tc>
      </w:tr>
      <w:tr w:rsidR="00642C10" w14:paraId="03F92730" w14:textId="77777777" w:rsidTr="00413032">
        <w:trPr>
          <w:trHeight w:val="1095"/>
        </w:trPr>
        <w:tc>
          <w:tcPr>
            <w:tcW w:w="10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15C65B5"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Jeddah</w:t>
            </w:r>
          </w:p>
        </w:tc>
        <w:tc>
          <w:tcPr>
            <w:tcW w:w="178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0B69B03"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Landsat 5 TM, Landsat 7 ETM+, Landsat 8 OLI</w:t>
            </w:r>
          </w:p>
        </w:tc>
        <w:tc>
          <w:tcPr>
            <w:tcW w:w="154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86575CB" w14:textId="77777777" w:rsidR="00642C10" w:rsidRDefault="00642C10" w:rsidP="00413032">
            <w:pPr>
              <w:spacing w:before="240"/>
              <w:jc w:val="center"/>
            </w:pPr>
            <w:r>
              <w:rPr>
                <w:rFonts w:ascii="Lora" w:eastAsia="Lora" w:hAnsi="Lora" w:cs="Lora"/>
                <w:kern w:val="0"/>
                <w:sz w:val="20"/>
                <w:szCs w:val="20"/>
              </w:rPr>
              <w:t>1984, 1994, 2004, 2014, 2024</w:t>
            </w:r>
          </w:p>
        </w:tc>
        <w:tc>
          <w:tcPr>
            <w:tcW w:w="13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764ACF7"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170/045</w:t>
            </w:r>
          </w:p>
        </w:tc>
        <w:tc>
          <w:tcPr>
            <w:tcW w:w="105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C4C2665"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0%</w:t>
            </w:r>
          </w:p>
        </w:tc>
        <w:tc>
          <w:tcPr>
            <w:tcW w:w="5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069C00A"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Acquisition from Microsoft Planetary Computer (MPC); used for 40-year LULC analysis</w:t>
            </w:r>
          </w:p>
        </w:tc>
      </w:tr>
      <w:tr w:rsidR="00642C10" w14:paraId="51F03842" w14:textId="77777777" w:rsidTr="00413032">
        <w:trPr>
          <w:trHeight w:val="1095"/>
        </w:trPr>
        <w:tc>
          <w:tcPr>
            <w:tcW w:w="10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86110F7"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Madinah</w:t>
            </w:r>
          </w:p>
        </w:tc>
        <w:tc>
          <w:tcPr>
            <w:tcW w:w="178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ED493DF"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Landsat 5 TM, Landsat 7 ETM+, Landsat 8 OLI</w:t>
            </w:r>
          </w:p>
        </w:tc>
        <w:tc>
          <w:tcPr>
            <w:tcW w:w="154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C399813"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1984, 1994, 2004, 2014, 2024</w:t>
            </w:r>
          </w:p>
        </w:tc>
        <w:tc>
          <w:tcPr>
            <w:tcW w:w="13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88BBE03"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170/043</w:t>
            </w:r>
          </w:p>
        </w:tc>
        <w:tc>
          <w:tcPr>
            <w:tcW w:w="105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40539E7"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0%</w:t>
            </w:r>
          </w:p>
        </w:tc>
        <w:tc>
          <w:tcPr>
            <w:tcW w:w="5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78B3155"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All scenes cloud-free; consistent spatial coverage across all years</w:t>
            </w:r>
          </w:p>
        </w:tc>
      </w:tr>
      <w:tr w:rsidR="00642C10" w14:paraId="05EA5C1B" w14:textId="77777777" w:rsidTr="00413032">
        <w:trPr>
          <w:trHeight w:val="1095"/>
        </w:trPr>
        <w:tc>
          <w:tcPr>
            <w:tcW w:w="10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7AB2687"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Makkah</w:t>
            </w:r>
          </w:p>
        </w:tc>
        <w:tc>
          <w:tcPr>
            <w:tcW w:w="178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BF1C7C2"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Landsat 5 TM, Landsat 8 OLI, ASTER L1A</w:t>
            </w:r>
          </w:p>
        </w:tc>
        <w:tc>
          <w:tcPr>
            <w:tcW w:w="154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5893898" w14:textId="77777777" w:rsidR="00642C10" w:rsidRDefault="00642C10" w:rsidP="00413032">
            <w:pPr>
              <w:spacing w:before="240"/>
              <w:jc w:val="center"/>
            </w:pPr>
            <w:r>
              <w:rPr>
                <w:rFonts w:ascii="Lora" w:eastAsia="Lora" w:hAnsi="Lora" w:cs="Lora"/>
                <w:kern w:val="0"/>
                <w:sz w:val="20"/>
                <w:szCs w:val="20"/>
              </w:rPr>
              <w:t xml:space="preserve">1984, 1994, </w:t>
            </w:r>
            <w:r>
              <w:rPr>
                <w:rFonts w:ascii="Lora" w:eastAsia="Lora" w:hAnsi="Lora" w:cs="Lora"/>
                <w:i/>
                <w:iCs/>
                <w:kern w:val="0"/>
                <w:sz w:val="20"/>
                <w:szCs w:val="20"/>
              </w:rPr>
              <w:t>(2004 ASTER)</w:t>
            </w:r>
            <w:r>
              <w:rPr>
                <w:rFonts w:ascii="Lora" w:eastAsia="Lora" w:hAnsi="Lora" w:cs="Lora"/>
                <w:kern w:val="0"/>
                <w:sz w:val="20"/>
                <w:szCs w:val="20"/>
              </w:rPr>
              <w:t>, 2014, 2024</w:t>
            </w:r>
          </w:p>
        </w:tc>
        <w:tc>
          <w:tcPr>
            <w:tcW w:w="13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C4CCDE6"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169/045</w:t>
            </w:r>
          </w:p>
        </w:tc>
        <w:tc>
          <w:tcPr>
            <w:tcW w:w="105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983D09D"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0%</w:t>
            </w:r>
          </w:p>
        </w:tc>
        <w:tc>
          <w:tcPr>
            <w:tcW w:w="5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0E6EBA2"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ASTER used for 2004 due to Landsat data gap; harmonised for classification</w:t>
            </w:r>
          </w:p>
        </w:tc>
      </w:tr>
      <w:tr w:rsidR="00642C10" w14:paraId="1EFE6B9A" w14:textId="77777777" w:rsidTr="00413032">
        <w:trPr>
          <w:trHeight w:val="1095"/>
        </w:trPr>
        <w:tc>
          <w:tcPr>
            <w:tcW w:w="10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ADC1868"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Riyadh</w:t>
            </w:r>
          </w:p>
        </w:tc>
        <w:tc>
          <w:tcPr>
            <w:tcW w:w="178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8A101C8"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Landsat 5 TM, Landsat 8 OLI, Sentinel-2 L2A</w:t>
            </w:r>
          </w:p>
        </w:tc>
        <w:tc>
          <w:tcPr>
            <w:tcW w:w="154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3CE31BF"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1984, 1994, 2004, 2014, 2024</w:t>
            </w:r>
          </w:p>
        </w:tc>
        <w:tc>
          <w:tcPr>
            <w:tcW w:w="13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85728ED"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165/043, 166/043 + Sentinel tile 38RPN</w:t>
            </w:r>
          </w:p>
        </w:tc>
        <w:tc>
          <w:tcPr>
            <w:tcW w:w="105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2CA034E"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0–7%</w:t>
            </w:r>
          </w:p>
        </w:tc>
        <w:tc>
          <w:tcPr>
            <w:tcW w:w="5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AEDC72A" w14:textId="77777777" w:rsidR="00642C10" w:rsidRDefault="00642C10" w:rsidP="00413032">
            <w:pPr>
              <w:spacing w:before="240"/>
              <w:jc w:val="center"/>
            </w:pPr>
            <w:r>
              <w:rPr>
                <w:rFonts w:ascii="Lora" w:eastAsia="Lora" w:hAnsi="Lora" w:cs="Lora"/>
                <w:kern w:val="0"/>
                <w:sz w:val="20"/>
                <w:szCs w:val="20"/>
              </w:rPr>
              <w:t>Multiple path/rows merged; Sentinel-2 used for 2024 accuracy enhancement</w:t>
            </w:r>
          </w:p>
        </w:tc>
      </w:tr>
    </w:tbl>
    <w:p w14:paraId="2172C884" w14:textId="77777777" w:rsidR="00642C10" w:rsidRDefault="00642C10" w:rsidP="00642C10">
      <w:pPr>
        <w:spacing w:before="240" w:after="240" w:line="360" w:lineRule="auto"/>
        <w:rPr>
          <w:rFonts w:ascii="Lora" w:hAnsi="Lora"/>
          <w:b/>
          <w:bCs/>
          <w:sz w:val="32"/>
          <w:szCs w:val="32"/>
        </w:rPr>
      </w:pPr>
      <w:r>
        <w:rPr>
          <w:rFonts w:ascii="Lora" w:hAnsi="Lora"/>
          <w:b/>
          <w:bCs/>
          <w:sz w:val="32"/>
          <w:szCs w:val="32"/>
        </w:rPr>
        <w:t>Appendix B: Standard Formulations used in Methodology</w:t>
      </w:r>
    </w:p>
    <w:p w14:paraId="4B833410" w14:textId="77777777" w:rsidR="00642C10" w:rsidRDefault="00642C10" w:rsidP="00642C10">
      <w:pPr>
        <w:spacing w:before="240" w:after="240" w:line="360" w:lineRule="auto"/>
        <w:jc w:val="both"/>
        <w:rPr>
          <w:rFonts w:ascii="Lora" w:eastAsia="Lora" w:hAnsi="Lora" w:cs="Lora"/>
          <w:kern w:val="0"/>
          <w:sz w:val="28"/>
          <w:szCs w:val="28"/>
        </w:rPr>
      </w:pPr>
      <w:r>
        <w:rPr>
          <w:rFonts w:ascii="Lora" w:eastAsia="Lora" w:hAnsi="Lora" w:cs="Lora"/>
          <w:kern w:val="0"/>
          <w:sz w:val="28"/>
          <w:szCs w:val="28"/>
        </w:rPr>
        <w:t>In NDVI, the differences in red and near-infrared reflectance were used to examine interdecadal fluctuations in vegetation cover. Together, these analyses provide a multi-layered understanding of the region’s land cover trajectories across forty years.</w:t>
      </w:r>
    </w:p>
    <w:p w14:paraId="037127ED" w14:textId="77777777" w:rsidR="00642C10" w:rsidRDefault="00642C10" w:rsidP="00642C10">
      <w:pPr>
        <w:spacing w:before="240" w:after="240" w:line="360" w:lineRule="auto"/>
        <w:jc w:val="center"/>
      </w:pPr>
      <m:oMath>
        <m:r>
          <w:rPr>
            <w:rFonts w:ascii="Cambria Math" w:hAnsi="Cambria Math"/>
          </w:rPr>
          <m:t xml:space="preserve">                                                                           NDVI=</m:t>
        </m:r>
        <m:f>
          <m:fPr>
            <m:ctrlPr>
              <w:rPr>
                <w:rFonts w:ascii="Cambria Math" w:hAnsi="Cambria Math"/>
              </w:rPr>
            </m:ctrlPr>
          </m:fPr>
          <m:num>
            <m:r>
              <w:rPr>
                <w:rFonts w:ascii="Cambria Math" w:hAnsi="Cambria Math"/>
              </w:rPr>
              <m:t>NIR-Red</m:t>
            </m:r>
          </m:num>
          <m:den>
            <m:r>
              <w:rPr>
                <w:rFonts w:ascii="Cambria Math" w:hAnsi="Cambria Math"/>
              </w:rPr>
              <m:t>NIR+Red</m:t>
            </m:r>
          </m:den>
        </m:f>
      </m:oMath>
      <w:r>
        <w:rPr>
          <w:rFonts w:ascii="Lora" w:eastAsia="Lora" w:hAnsi="Lora" w:cs="Lora"/>
          <w:i/>
          <w:kern w:val="0"/>
          <w:sz w:val="28"/>
          <w:szCs w:val="28"/>
        </w:rPr>
        <w:t xml:space="preserve">                                                             </w:t>
      </w:r>
      <w:r>
        <w:rPr>
          <w:rFonts w:ascii="Lora" w:eastAsia="Lora" w:hAnsi="Lora" w:cs="Lora"/>
          <w:i/>
          <w:kern w:val="0"/>
          <w:sz w:val="28"/>
          <w:szCs w:val="28"/>
        </w:rPr>
        <w:tab/>
        <w:t xml:space="preserve">  </w:t>
      </w:r>
      <w:r>
        <w:rPr>
          <w:rFonts w:ascii="Lora" w:eastAsia="Lora" w:hAnsi="Lora" w:cs="Lora"/>
          <w:iCs/>
          <w:kern w:val="0"/>
          <w:sz w:val="28"/>
          <w:szCs w:val="28"/>
        </w:rPr>
        <w:t>(B1)</w:t>
      </w:r>
    </w:p>
    <w:p w14:paraId="271567F8" w14:textId="77777777" w:rsidR="00642C10" w:rsidRDefault="00642C10" w:rsidP="00642C10">
      <w:pPr>
        <w:spacing w:line="360" w:lineRule="auto"/>
        <w:jc w:val="both"/>
      </w:pPr>
      <w:r>
        <w:rPr>
          <w:rFonts w:ascii="Lora" w:eastAsia="Lora" w:hAnsi="Lora" w:cs="Lora"/>
          <w:kern w:val="0"/>
          <w:sz w:val="28"/>
          <w:szCs w:val="28"/>
        </w:rPr>
        <w:t>Db expresses the compactness of the built-up footprint and is defined as Equation 2 in which higher Db values indicate more intensive land coverage and consolidated urban development, whereas lower Db values reflect more diffuse or spatially scattered growth patterns.</w:t>
      </w:r>
      <m:oMath>
        <m:r>
          <w:rPr>
            <w:rFonts w:ascii="Cambria Math" w:hAnsi="Cambria Math"/>
          </w:rPr>
          <m:t xml:space="preserve"> </m:t>
        </m:r>
      </m:oMath>
    </w:p>
    <w:p w14:paraId="7B4269C2" w14:textId="77777777" w:rsidR="00642C10" w:rsidRDefault="00642C10" w:rsidP="00642C10">
      <w:pPr>
        <w:spacing w:line="360" w:lineRule="auto"/>
        <w:jc w:val="both"/>
      </w:pPr>
      <w:r>
        <w:rPr>
          <w:rFonts w:ascii="Lora" w:eastAsia="Lora" w:hAnsi="Lora" w:cs="Lora"/>
          <w:kern w:val="0"/>
          <w:sz w:val="32"/>
          <w:szCs w:val="32"/>
          <w:lang w:bidi="fa-IR"/>
        </w:rPr>
        <w:lastRenderedPageBreak/>
        <w:t xml:space="preserve">                                                                  </w:t>
      </w:r>
      <m:oMath>
        <m:r>
          <w:rPr>
            <w:rFonts w:ascii="Cambria Math" w:hAnsi="Cambria Math"/>
          </w:rPr>
          <m:t>Db=</m:t>
        </m:r>
        <m:f>
          <m:fPr>
            <m:ctrlPr>
              <w:rPr>
                <w:rFonts w:ascii="Cambria Math" w:hAnsi="Cambria Math"/>
              </w:rPr>
            </m:ctrlPr>
          </m:fPr>
          <m:num>
            <m:sSub>
              <m:sSubPr>
                <m:ctrlPr>
                  <w:rPr>
                    <w:rFonts w:ascii="Cambria Math" w:hAnsi="Cambria Math"/>
                  </w:rPr>
                </m:ctrlPr>
              </m:sSubPr>
              <m:e>
                <m:r>
                  <w:rPr>
                    <w:rFonts w:ascii="Cambria Math" w:hAnsi="Cambria Math"/>
                  </w:rPr>
                  <m:t>A</m:t>
                </m:r>
              </m:e>
              <m:sub>
                <m:r>
                  <w:rPr>
                    <w:rFonts w:ascii="Cambria Math" w:hAnsi="Cambria Math"/>
                  </w:rPr>
                  <m:t>built-up</m:t>
                </m:r>
              </m:sub>
            </m:sSub>
          </m:num>
          <m:den>
            <m:sSub>
              <m:sSubPr>
                <m:ctrlPr>
                  <w:rPr>
                    <w:rFonts w:ascii="Cambria Math" w:hAnsi="Cambria Math"/>
                  </w:rPr>
                </m:ctrlPr>
              </m:sSubPr>
              <m:e>
                <m:r>
                  <w:rPr>
                    <w:rFonts w:ascii="Cambria Math" w:hAnsi="Cambria Math"/>
                  </w:rPr>
                  <m:t>A</m:t>
                </m:r>
              </m:e>
              <m:sub>
                <m:r>
                  <w:rPr>
                    <w:rFonts w:ascii="Cambria Math" w:hAnsi="Cambria Math"/>
                  </w:rPr>
                  <m:t>total</m:t>
                </m:r>
              </m:sub>
            </m:sSub>
          </m:den>
        </m:f>
      </m:oMath>
      <w:r>
        <w:rPr>
          <w:rFonts w:ascii="Lora" w:eastAsia="Lora" w:hAnsi="Lora" w:cs="Lora"/>
          <w:kern w:val="0"/>
          <w:sz w:val="32"/>
          <w:szCs w:val="32"/>
          <w:lang w:bidi="fa-IR"/>
        </w:rPr>
        <w:t xml:space="preserve">                                                             </w:t>
      </w:r>
      <w:r>
        <w:rPr>
          <w:rFonts w:ascii="Lora" w:eastAsia="Lora" w:hAnsi="Lora" w:cs="Lora"/>
          <w:i/>
          <w:kern w:val="0"/>
          <w:sz w:val="32"/>
          <w:szCs w:val="32"/>
        </w:rPr>
        <w:t xml:space="preserve"> </w:t>
      </w:r>
      <w:r>
        <w:rPr>
          <w:rFonts w:ascii="Lora" w:eastAsia="Lora" w:hAnsi="Lora" w:cs="Lora"/>
          <w:iCs/>
          <w:kern w:val="0"/>
          <w:sz w:val="28"/>
          <w:szCs w:val="28"/>
        </w:rPr>
        <w:t>(B2)</w:t>
      </w:r>
    </w:p>
    <w:p w14:paraId="3DE0416C" w14:textId="77777777" w:rsidR="00642C10" w:rsidRDefault="00642C10" w:rsidP="00642C10">
      <w:pPr>
        <w:spacing w:line="360" w:lineRule="auto"/>
        <w:jc w:val="both"/>
      </w:pPr>
      <w:r>
        <w:rPr>
          <w:rFonts w:ascii="Lora" w:eastAsia="Lora" w:hAnsi="Lora" w:cs="Lora"/>
          <w:kern w:val="0"/>
          <w:sz w:val="28"/>
          <w:szCs w:val="28"/>
        </w:rPr>
        <w:t>Temporal changes in PD therefore offer a direct indication of whether growth in each decade was dominated by dispersed, patch-based expansion or by infilling and morphological consolidation.</w:t>
      </w:r>
    </w:p>
    <w:p w14:paraId="5F3A8F25" w14:textId="77777777" w:rsidR="00642C10" w:rsidRDefault="00642C10" w:rsidP="00642C10">
      <w:pPr>
        <w:spacing w:line="360" w:lineRule="auto"/>
      </w:pPr>
      <w:r>
        <w:rPr>
          <w:rFonts w:ascii="Aptos" w:eastAsia="Aptos" w:hAnsi="Aptos" w:cs="Aptos"/>
          <w:kern w:val="0"/>
          <w:sz w:val="28"/>
          <w:szCs w:val="28"/>
        </w:rPr>
        <w:t xml:space="preserve">                                                                                                </w:t>
      </w:r>
      <m:oMath>
        <m:r>
          <w:rPr>
            <w:rFonts w:ascii="Cambria Math" w:hAnsi="Cambria Math"/>
          </w:rPr>
          <m:t>PD=</m:t>
        </m:r>
        <m:f>
          <m:fPr>
            <m:ctrlPr>
              <w:rPr>
                <w:rFonts w:ascii="Cambria Math" w:hAnsi="Cambria Math"/>
              </w:rPr>
            </m:ctrlPr>
          </m:fPr>
          <m:num>
            <m:r>
              <w:rPr>
                <w:rFonts w:ascii="Cambria Math" w:hAnsi="Cambria Math"/>
              </w:rPr>
              <m:t>N</m:t>
            </m:r>
          </m:num>
          <m:den>
            <m:r>
              <w:rPr>
                <w:rFonts w:ascii="Cambria Math" w:hAnsi="Cambria Math"/>
              </w:rPr>
              <m:t>A</m:t>
            </m:r>
          </m:den>
        </m:f>
        <m:r>
          <w:rPr>
            <w:rFonts w:ascii="Cambria Math" w:hAnsi="Cambria Math"/>
          </w:rPr>
          <m:t>×</m:t>
        </m:r>
        <m:r>
          <m:rPr>
            <m:sty m:val="p"/>
          </m:rPr>
          <w:rPr>
            <w:rFonts w:ascii="Cambria Math" w:hAnsi="Cambria Math"/>
          </w:rPr>
          <m:t>10,000</m:t>
        </m:r>
      </m:oMath>
      <w:r>
        <w:rPr>
          <w:rFonts w:ascii="Aptos" w:eastAsia="Aptos" w:hAnsi="Aptos" w:cs="Aptos"/>
          <w:kern w:val="0"/>
          <w:sz w:val="32"/>
          <w:szCs w:val="32"/>
        </w:rPr>
        <w:t xml:space="preserve">        </w:t>
      </w:r>
      <w:r>
        <w:rPr>
          <w:rFonts w:ascii="Lora" w:eastAsia="Lora" w:hAnsi="Lora" w:cs="Lora"/>
          <w:i/>
          <w:iCs/>
          <w:kern w:val="0"/>
          <w:sz w:val="26"/>
          <w:szCs w:val="26"/>
        </w:rPr>
        <w:t xml:space="preserve">       </w:t>
      </w:r>
      <w:r>
        <w:rPr>
          <w:rFonts w:ascii="Lora" w:eastAsia="Lora" w:hAnsi="Lora" w:cs="Lora"/>
          <w:kern w:val="0"/>
          <w:sz w:val="26"/>
          <w:szCs w:val="26"/>
        </w:rPr>
        <w:t xml:space="preserve">                                                           </w:t>
      </w:r>
      <w:r>
        <w:rPr>
          <w:rFonts w:ascii="Lora" w:eastAsia="Lora" w:hAnsi="Lora" w:cs="Lora"/>
          <w:kern w:val="0"/>
          <w:sz w:val="28"/>
          <w:szCs w:val="28"/>
        </w:rPr>
        <w:t>(B3)</w:t>
      </w:r>
    </w:p>
    <w:p w14:paraId="64926025" w14:textId="77777777" w:rsidR="00642C10" w:rsidRDefault="00642C10" w:rsidP="00642C10">
      <w:pPr>
        <w:spacing w:before="240" w:after="240" w:line="360" w:lineRule="auto"/>
      </w:pPr>
      <w:r>
        <w:rPr>
          <w:rFonts w:ascii="Lora" w:eastAsia="Lora" w:hAnsi="Lora" w:cs="Lora"/>
          <w:kern w:val="0"/>
          <w:sz w:val="28"/>
          <w:szCs w:val="28"/>
        </w:rPr>
        <w:t xml:space="preserve">Whereas PD captures the number of discrete urban patches, ED reflects the complexity, irregularity, and spatial discontinuity of their perimeters. It is defined in Equation A4, where </w:t>
      </w:r>
      <w:r>
        <w:rPr>
          <w:rFonts w:ascii="Lora" w:eastAsia="Lora" w:hAnsi="Lora" w:cs="Lora"/>
          <w:i/>
          <w:iCs/>
          <w:kern w:val="0"/>
          <w:sz w:val="28"/>
          <w:szCs w:val="28"/>
        </w:rPr>
        <w:t>E</w:t>
      </w:r>
      <w:r>
        <w:rPr>
          <w:rFonts w:ascii="Lora" w:eastAsia="Lora" w:hAnsi="Lora" w:cs="Lora"/>
          <w:kern w:val="0"/>
          <w:sz w:val="28"/>
          <w:szCs w:val="28"/>
        </w:rPr>
        <w:t xml:space="preserve"> represents the total edge length of built-up patches and </w:t>
      </w:r>
      <w:r>
        <w:rPr>
          <w:rFonts w:ascii="Lora" w:eastAsia="Lora" w:hAnsi="Lora" w:cs="Lora"/>
          <w:i/>
          <w:iCs/>
          <w:kern w:val="0"/>
          <w:sz w:val="28"/>
          <w:szCs w:val="28"/>
        </w:rPr>
        <w:t>A</w:t>
      </w:r>
      <w:r>
        <w:rPr>
          <w:rFonts w:ascii="Lora" w:eastAsia="Lora" w:hAnsi="Lora" w:cs="Lora"/>
          <w:kern w:val="0"/>
          <w:sz w:val="28"/>
          <w:szCs w:val="28"/>
        </w:rPr>
        <w:t xml:space="preserve"> denotes the landscape area.</w:t>
      </w:r>
    </w:p>
    <w:p w14:paraId="5E7F663F" w14:textId="77777777" w:rsidR="00642C10" w:rsidRDefault="00642C10" w:rsidP="00642C10">
      <w:pPr>
        <w:spacing w:before="240" w:after="240" w:line="360" w:lineRule="auto"/>
      </w:pPr>
      <w:r>
        <w:rPr>
          <w:rFonts w:ascii="Lora" w:eastAsia="Lora" w:hAnsi="Lora" w:cs="Lora"/>
          <w:kern w:val="0"/>
          <w:sz w:val="32"/>
          <w:szCs w:val="32"/>
        </w:rPr>
        <w:t xml:space="preserve">                                                                   </w:t>
      </w:r>
      <m:oMath>
        <m:r>
          <w:rPr>
            <w:rFonts w:ascii="Cambria Math" w:hAnsi="Cambria Math"/>
          </w:rPr>
          <m:t>ED=</m:t>
        </m:r>
        <m:f>
          <m:fPr>
            <m:ctrlPr>
              <w:rPr>
                <w:rFonts w:ascii="Cambria Math" w:hAnsi="Cambria Math"/>
              </w:rPr>
            </m:ctrlPr>
          </m:fPr>
          <m:num>
            <m:r>
              <w:rPr>
                <w:rFonts w:ascii="Cambria Math" w:hAnsi="Cambria Math"/>
              </w:rPr>
              <m:t>E</m:t>
            </m:r>
          </m:num>
          <m:den>
            <m:r>
              <w:rPr>
                <w:rFonts w:ascii="Cambria Math" w:hAnsi="Cambria Math"/>
              </w:rPr>
              <m:t>A</m:t>
            </m:r>
          </m:den>
        </m:f>
        <m:r>
          <w:rPr>
            <w:rFonts w:ascii="Cambria Math" w:hAnsi="Cambria Math"/>
          </w:rPr>
          <m:t>×</m:t>
        </m:r>
        <m:r>
          <m:rPr>
            <m:sty m:val="p"/>
          </m:rPr>
          <w:rPr>
            <w:rFonts w:ascii="Cambria Math" w:hAnsi="Cambria Math"/>
          </w:rPr>
          <m:t>10,000</m:t>
        </m:r>
      </m:oMath>
      <w:r>
        <w:rPr>
          <w:rFonts w:ascii="Lora" w:eastAsia="Lora" w:hAnsi="Lora" w:cs="Lora"/>
          <w:kern w:val="0"/>
          <w:sz w:val="26"/>
          <w:szCs w:val="26"/>
        </w:rPr>
        <w:t xml:space="preserve">                                                                       </w:t>
      </w:r>
      <w:r>
        <w:rPr>
          <w:rFonts w:ascii="Lora" w:eastAsia="Lora" w:hAnsi="Lora" w:cs="Lora"/>
          <w:kern w:val="0"/>
          <w:sz w:val="28"/>
          <w:szCs w:val="28"/>
        </w:rPr>
        <w:t>(B4)</w:t>
      </w:r>
    </w:p>
    <w:p w14:paraId="588273EC" w14:textId="77777777" w:rsidR="00642C10" w:rsidRDefault="00642C10" w:rsidP="00642C10">
      <w:pPr>
        <w:spacing w:line="360" w:lineRule="auto"/>
        <w:jc w:val="both"/>
        <w:rPr>
          <w:rFonts w:ascii="Lora" w:eastAsia="Lora" w:hAnsi="Lora" w:cs="Lora"/>
          <w:kern w:val="0"/>
          <w:sz w:val="28"/>
          <w:szCs w:val="28"/>
        </w:rPr>
      </w:pPr>
      <w:r>
        <w:rPr>
          <w:rFonts w:ascii="Lora" w:eastAsia="Lora" w:hAnsi="Lora" w:cs="Lora"/>
          <w:kern w:val="0"/>
          <w:sz w:val="28"/>
          <w:szCs w:val="28"/>
        </w:rPr>
        <w:t xml:space="preserve">KDE was applied to examine the spatial distribution of urban clustering. Prior to KDE, the vector layers representing the built-up footprint were subjected to geometry validation to ensure topological correctness. Centroid points were generated for each polygonal unit, forming the input for KDE in QGIS. A 2 km kernel radius was employed, and quantile-based classification with a 15-class “Reds” colour ramp was used to illustrate density gradients. The spatial resolution of the output corresponded to the native resolution of the source imagery: 30 m for 1984, 1994, 2004, and 2014, and 10 m for 2024 due to the availability of finer Sentinel-2 data. KDE values for the earlier years ranged from approximately 0.000014 to 364.46 points per square kilometre, while the 2024 outputs provided enhanced precision owing to higher-resolution input. The resulting heatmaps facilitated a detailed understanding of urban densification and the emergence of development hotspots. </w:t>
      </w:r>
    </w:p>
    <w:p w14:paraId="1FA61A4D" w14:textId="77777777" w:rsidR="00642C10" w:rsidRDefault="00642C10" w:rsidP="00642C10">
      <w:pPr>
        <w:spacing w:before="240" w:after="240" w:line="360" w:lineRule="auto"/>
        <w:jc w:val="both"/>
      </w:pPr>
      <w:r>
        <w:rPr>
          <w:rFonts w:ascii="Lora" w:eastAsia="Lora" w:hAnsi="Lora" w:cs="Lora"/>
          <w:kern w:val="0"/>
          <w:sz w:val="28"/>
          <w:szCs w:val="28"/>
          <w:shd w:val="clear" w:color="auto" w:fill="FFFFFF"/>
        </w:rPr>
        <w:t>Future built-up expansion was simulated using an integrated ANN–CA–Markov framework, following established practices in spatial urban modelling. The Markov component quantified the stochastic likelihood of land-cover transitions between classes using the standard conditional probability formulation.</w:t>
      </w:r>
    </w:p>
    <w:p w14:paraId="424BAF39" w14:textId="77777777" w:rsidR="00642C10" w:rsidRDefault="00642C10" w:rsidP="00642C10">
      <w:pPr>
        <w:spacing w:line="360" w:lineRule="auto"/>
      </w:pPr>
      <w:r>
        <w:rPr>
          <w:rFonts w:ascii="Lora" w:eastAsia="Lora" w:hAnsi="Lora" w:cs="Lora"/>
          <w:i/>
          <w:iCs/>
          <w:kern w:val="0"/>
          <w:sz w:val="26"/>
          <w:szCs w:val="26"/>
          <w:shd w:val="clear" w:color="auto" w:fill="FFFFFF"/>
        </w:rPr>
        <w:t xml:space="preserve">                                                                          </w:t>
      </w:r>
      <m:oMath>
        <m:sSub>
          <m:sSubPr>
            <m:ctrlPr>
              <w:rPr>
                <w:rFonts w:ascii="Cambria Math" w:hAnsi="Cambria Math"/>
              </w:rPr>
            </m:ctrlPr>
          </m:sSubPr>
          <m:e>
            <m:r>
              <w:rPr>
                <w:rFonts w:ascii="Cambria Math" w:hAnsi="Cambria Math"/>
              </w:rPr>
              <m:t>P</m:t>
            </m:r>
          </m:e>
          <m:sub>
            <m:r>
              <w:rPr>
                <w:rFonts w:ascii="Cambria Math" w:hAnsi="Cambria Math"/>
              </w:rPr>
              <m:t>ij</m:t>
            </m:r>
          </m:sub>
        </m:sSub>
        <m:r>
          <w:rPr>
            <w:rFonts w:ascii="Cambria Math" w:hAnsi="Cambria Math"/>
          </w:rPr>
          <m:t>=</m:t>
        </m:r>
        <m:func>
          <m:funcPr>
            <m:ctrlPr>
              <w:rPr>
                <w:rFonts w:ascii="Cambria Math" w:hAnsi="Cambria Math"/>
              </w:rPr>
            </m:ctrlPr>
          </m:funcPr>
          <m:fName>
            <m:r>
              <m:rPr>
                <m:sty m:val="p"/>
              </m:rPr>
              <w:rPr>
                <w:rFonts w:ascii="Cambria Math" w:hAnsi="Cambria Math"/>
              </w:rPr>
              <m:t>Pr</m:t>
            </m:r>
          </m:fName>
          <m:e>
            <m:d>
              <m:dPr>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t+1</m:t>
                    </m:r>
                  </m:sub>
                </m:sSub>
                <m:r>
                  <w:rPr>
                    <w:rFonts w:ascii="Cambria Math" w:hAnsi="Cambria Math"/>
                  </w:rPr>
                  <m:t>=j</m:t>
                </m:r>
              </m:e>
              <m:e>
                <m:sSub>
                  <m:sSubPr>
                    <m:ctrlPr>
                      <w:rPr>
                        <w:rFonts w:ascii="Cambria Math" w:hAnsi="Cambria Math"/>
                      </w:rPr>
                    </m:ctrlPr>
                  </m:sSubPr>
                  <m:e>
                    <m:r>
                      <w:rPr>
                        <w:rFonts w:ascii="Cambria Math" w:hAnsi="Cambria Math"/>
                      </w:rPr>
                      <m:t>X</m:t>
                    </m:r>
                  </m:e>
                  <m:sub>
                    <m:r>
                      <w:rPr>
                        <w:rFonts w:ascii="Cambria Math" w:hAnsi="Cambria Math"/>
                      </w:rPr>
                      <m:t>t</m:t>
                    </m:r>
                  </m:sub>
                </m:sSub>
                <m:r>
                  <w:rPr>
                    <w:rFonts w:ascii="Cambria Math" w:hAnsi="Cambria Math"/>
                  </w:rPr>
                  <m:t>=i</m:t>
                </m:r>
              </m:e>
            </m:d>
          </m:e>
        </m:func>
      </m:oMath>
      <w:r>
        <w:rPr>
          <w:rFonts w:ascii="Lora" w:eastAsia="Lora" w:hAnsi="Lora" w:cs="Lora"/>
          <w:i/>
          <w:kern w:val="0"/>
          <w:sz w:val="26"/>
          <w:szCs w:val="26"/>
        </w:rPr>
        <w:t xml:space="preserve">                                                            </w:t>
      </w:r>
      <w:r>
        <w:rPr>
          <w:rFonts w:ascii="Lora" w:eastAsia="Lora" w:hAnsi="Lora" w:cs="Lora"/>
          <w:kern w:val="0"/>
          <w:sz w:val="26"/>
          <w:szCs w:val="26"/>
          <w:shd w:val="clear" w:color="auto" w:fill="FFFFFF"/>
        </w:rPr>
        <w:t xml:space="preserve">  </w:t>
      </w:r>
      <w:r>
        <w:rPr>
          <w:rFonts w:ascii="Lora" w:eastAsia="Lora" w:hAnsi="Lora" w:cs="Lora"/>
          <w:kern w:val="0"/>
          <w:sz w:val="28"/>
          <w:szCs w:val="28"/>
          <w:shd w:val="clear" w:color="auto" w:fill="FFFFFF"/>
        </w:rPr>
        <w:t>(B5)</w:t>
      </w:r>
    </w:p>
    <w:p w14:paraId="6C8E00D6" w14:textId="77777777" w:rsidR="00642C10" w:rsidRDefault="00642C10" w:rsidP="00642C10">
      <w:pPr>
        <w:spacing w:before="240" w:after="240" w:line="360" w:lineRule="auto"/>
      </w:pPr>
      <w:r>
        <w:rPr>
          <w:rFonts w:ascii="Lora" w:eastAsia="Lora" w:hAnsi="Lora" w:cs="Lora"/>
          <w:kern w:val="0"/>
          <w:sz w:val="28"/>
          <w:szCs w:val="28"/>
          <w:shd w:val="clear" w:color="auto" w:fill="FFFFFF"/>
        </w:rPr>
        <w:t>Where P</w:t>
      </w:r>
      <w:r>
        <w:rPr>
          <w:rFonts w:ascii="Lora" w:eastAsia="Lora" w:hAnsi="Lora" w:cs="Lora"/>
          <w:kern w:val="0"/>
          <w:sz w:val="28"/>
          <w:szCs w:val="28"/>
          <w:shd w:val="clear" w:color="auto" w:fill="FFFFFF"/>
          <w:vertAlign w:val="subscript"/>
        </w:rPr>
        <w:t>ij</w:t>
      </w:r>
      <w:r>
        <w:rPr>
          <w:rFonts w:ascii="Lora" w:eastAsia="Lora" w:hAnsi="Lora" w:cs="Lora"/>
          <w:kern w:val="0"/>
          <w:sz w:val="28"/>
          <w:szCs w:val="28"/>
          <w:shd w:val="clear" w:color="auto" w:fill="FFFFFF"/>
        </w:rPr>
        <w:t xml:space="preserve"> represents the probability of transition from class i at time t to class j at time t+1 . These probabilities were assembled into a transition probability matrix</w:t>
      </w:r>
      <w:r>
        <w:rPr>
          <w:rFonts w:ascii="Lora" w:eastAsia="Lora" w:hAnsi="Lora" w:cs="Lora"/>
          <w:kern w:val="0"/>
          <w:sz w:val="28"/>
          <w:szCs w:val="28"/>
        </w:rPr>
        <w:t xml:space="preserve">, </w:t>
      </w:r>
      <w:r>
        <w:rPr>
          <w:rFonts w:ascii="Aptos" w:eastAsia="Aptos" w:hAnsi="Aptos" w:cs="Aptos"/>
          <w:kern w:val="0"/>
          <w:sz w:val="28"/>
          <w:szCs w:val="28"/>
        </w:rPr>
        <w:t xml:space="preserve"> </w:t>
      </w:r>
      <w:r>
        <w:rPr>
          <w:rFonts w:ascii="Lora" w:eastAsia="Times New Roman" w:hAnsi="Lora" w:cs="Times New Roman"/>
          <w:kern w:val="0"/>
          <w:sz w:val="28"/>
          <w:szCs w:val="28"/>
        </w:rPr>
        <w:t xml:space="preserve">which was </w:t>
      </w:r>
      <w:r>
        <w:rPr>
          <w:rFonts w:ascii="Lora" w:eastAsia="Lora" w:hAnsi="Lora" w:cs="Lora"/>
          <w:kern w:val="0"/>
          <w:sz w:val="28"/>
          <w:szCs w:val="28"/>
          <w:shd w:val="clear" w:color="auto" w:fill="FFFFFF"/>
        </w:rPr>
        <w:t>derived from observed land-cover changes during the periods 2004–2014 and 2014–2024, thereby providing the quantitative basis for estimating the magnitude of future transitions.</w:t>
      </w:r>
    </w:p>
    <w:p w14:paraId="1EC2F77F" w14:textId="77777777" w:rsidR="00642C10" w:rsidRDefault="00642C10" w:rsidP="00642C10">
      <w:pPr>
        <w:spacing w:before="240" w:after="240" w:line="360" w:lineRule="auto"/>
        <w:rPr>
          <w:rFonts w:ascii="Lora" w:eastAsia="Lora" w:hAnsi="Lora" w:cs="Lora"/>
          <w:kern w:val="0"/>
          <w:sz w:val="28"/>
          <w:szCs w:val="28"/>
          <w:shd w:val="clear" w:color="auto" w:fill="FFFFFF"/>
        </w:rPr>
      </w:pPr>
      <w:r>
        <w:rPr>
          <w:rFonts w:ascii="Lora" w:eastAsia="Lora" w:hAnsi="Lora" w:cs="Lora"/>
          <w:noProof/>
          <w:kern w:val="0"/>
          <w:sz w:val="28"/>
          <w:szCs w:val="28"/>
          <w:shd w:val="clear" w:color="auto" w:fill="FFFFFF"/>
        </w:rPr>
        <w:drawing>
          <wp:anchor distT="0" distB="0" distL="114300" distR="114300" simplePos="0" relativeHeight="251659264" behindDoc="1" locked="0" layoutInCell="1" allowOverlap="1" wp14:anchorId="42A5819B" wp14:editId="6269E130">
            <wp:simplePos x="0" y="0"/>
            <wp:positionH relativeFrom="margin">
              <wp:align>center</wp:align>
            </wp:positionH>
            <wp:positionV relativeFrom="paragraph">
              <wp:posOffset>9102</wp:posOffset>
            </wp:positionV>
            <wp:extent cx="2295525" cy="1343025"/>
            <wp:effectExtent l="0" t="0" r="9525" b="9525"/>
            <wp:wrapNone/>
            <wp:docPr id="850803178" name="image8.png" descr="A white background with black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extLst>
                        <a:ext uri="{28A0092B-C50C-407E-A947-70E740481C1C}">
                          <a14:useLocalDpi xmlns:a14="http://schemas.microsoft.com/office/drawing/2010/main" val="0"/>
                        </a:ext>
                      </a:extLst>
                    </a:blip>
                    <a:srcRect l="49537" t="51757"/>
                    <a:stretch>
                      <a:fillRect/>
                    </a:stretch>
                  </pic:blipFill>
                  <pic:spPr>
                    <a:xfrm>
                      <a:off x="0" y="0"/>
                      <a:ext cx="2295525" cy="1343025"/>
                    </a:xfrm>
                    <a:prstGeom prst="rect">
                      <a:avLst/>
                    </a:prstGeom>
                    <a:noFill/>
                    <a:ln>
                      <a:noFill/>
                      <a:prstDash/>
                    </a:ln>
                  </pic:spPr>
                </pic:pic>
              </a:graphicData>
            </a:graphic>
          </wp:anchor>
        </w:drawing>
      </w:r>
      <w:r>
        <w:rPr>
          <w:rFonts w:ascii="Lora" w:eastAsia="Lora" w:hAnsi="Lora" w:cs="Lora"/>
          <w:kern w:val="0"/>
          <w:sz w:val="28"/>
          <w:szCs w:val="28"/>
          <w:shd w:val="clear" w:color="auto" w:fill="FFFFFF"/>
        </w:rPr>
        <w:t xml:space="preserve">                                                                                                                </w:t>
      </w:r>
    </w:p>
    <w:p w14:paraId="389D9063" w14:textId="77777777" w:rsidR="00642C10" w:rsidRDefault="00642C10" w:rsidP="00642C10">
      <w:pPr>
        <w:spacing w:before="240" w:after="240" w:line="360" w:lineRule="auto"/>
        <w:jc w:val="right"/>
        <w:rPr>
          <w:rFonts w:ascii="Lora" w:eastAsia="Lora" w:hAnsi="Lora" w:cs="Lora"/>
          <w:kern w:val="0"/>
          <w:sz w:val="28"/>
          <w:szCs w:val="28"/>
          <w:shd w:val="clear" w:color="auto" w:fill="FFFFFF"/>
        </w:rPr>
      </w:pPr>
      <w:r>
        <w:rPr>
          <w:rFonts w:ascii="Lora" w:eastAsia="Lora" w:hAnsi="Lora" w:cs="Lora"/>
          <w:kern w:val="0"/>
          <w:sz w:val="28"/>
          <w:szCs w:val="28"/>
          <w:shd w:val="clear" w:color="auto" w:fill="FFFFFF"/>
        </w:rPr>
        <w:t xml:space="preserve">    (B6)                </w:t>
      </w:r>
    </w:p>
    <w:p w14:paraId="0FB90A39" w14:textId="77777777" w:rsidR="00642C10" w:rsidRDefault="00642C10" w:rsidP="00642C10">
      <w:pPr>
        <w:spacing w:before="240" w:after="240" w:line="360" w:lineRule="auto"/>
        <w:rPr>
          <w:rFonts w:ascii="Lora" w:eastAsia="Lora" w:hAnsi="Lora" w:cs="Lora"/>
          <w:kern w:val="0"/>
          <w:sz w:val="28"/>
          <w:szCs w:val="28"/>
          <w:shd w:val="clear" w:color="auto" w:fill="FFFFFF"/>
        </w:rPr>
      </w:pPr>
    </w:p>
    <w:p w14:paraId="48C9E188" w14:textId="77777777" w:rsidR="00642C10" w:rsidRDefault="00642C10" w:rsidP="00642C10">
      <w:pPr>
        <w:spacing w:before="240" w:after="240" w:line="360" w:lineRule="auto"/>
      </w:pPr>
      <w:r>
        <w:rPr>
          <w:rFonts w:ascii="Lora" w:eastAsia="Lora" w:hAnsi="Lora" w:cs="Lora"/>
          <w:kern w:val="0"/>
          <w:sz w:val="28"/>
          <w:szCs w:val="28"/>
          <w:shd w:val="clear" w:color="auto" w:fill="FFFFFF"/>
        </w:rPr>
        <w:t xml:space="preserve">                                                      </w:t>
      </w:r>
    </w:p>
    <w:p w14:paraId="03DDFA6C" w14:textId="77777777" w:rsidR="00642C10" w:rsidRDefault="00642C10" w:rsidP="00642C10">
      <w:pPr>
        <w:spacing w:before="240" w:after="240" w:line="360" w:lineRule="auto"/>
        <w:jc w:val="both"/>
      </w:pPr>
      <w:r>
        <w:rPr>
          <w:rFonts w:ascii="Lora" w:eastAsia="Lora" w:hAnsi="Lora" w:cs="Lora"/>
          <w:kern w:val="0"/>
          <w:sz w:val="28"/>
          <w:szCs w:val="28"/>
          <w:shd w:val="clear" w:color="auto" w:fill="FFFFFF"/>
        </w:rPr>
        <w:t xml:space="preserve">To allocate these transitions spatially, transition potentials were generated using an Artificial Neural Network (ANN) trained on a stratified random sample of observed transitions. The ANN incorporated slope, </w:t>
      </w:r>
      <w:r>
        <w:rPr>
          <w:rFonts w:ascii="Lora" w:eastAsia="Lora" w:hAnsi="Lora" w:cs="Lora"/>
          <w:kern w:val="0"/>
          <w:sz w:val="28"/>
          <w:szCs w:val="28"/>
          <w:shd w:val="clear" w:color="auto" w:fill="FFFFFF"/>
        </w:rPr>
        <w:lastRenderedPageBreak/>
        <w:t>elevation, distance-to-roads, and population density as predictor variables. Each hidden neuron was computed using the following equation</w:t>
      </w:r>
    </w:p>
    <w:tbl>
      <w:tblPr>
        <w:tblW w:w="13948" w:type="dxa"/>
        <w:tblCellMar>
          <w:left w:w="10" w:type="dxa"/>
          <w:right w:w="10" w:type="dxa"/>
        </w:tblCellMar>
        <w:tblLook w:val="04A0" w:firstRow="1" w:lastRow="0" w:firstColumn="1" w:lastColumn="0" w:noHBand="0" w:noVBand="1"/>
      </w:tblPr>
      <w:tblGrid>
        <w:gridCol w:w="13036"/>
        <w:gridCol w:w="912"/>
      </w:tblGrid>
      <w:tr w:rsidR="00642C10" w14:paraId="430662DC" w14:textId="77777777" w:rsidTr="00413032">
        <w:trPr>
          <w:trHeight w:val="2163"/>
        </w:trPr>
        <w:tc>
          <w:tcPr>
            <w:tcW w:w="13036" w:type="dxa"/>
            <w:tcMar>
              <w:top w:w="0" w:type="dxa"/>
              <w:left w:w="108" w:type="dxa"/>
              <w:bottom w:w="0" w:type="dxa"/>
              <w:right w:w="108" w:type="dxa"/>
            </w:tcMar>
            <w:vAlign w:val="center"/>
          </w:tcPr>
          <w:p w14:paraId="75DCB6CE" w14:textId="77777777" w:rsidR="00642C10" w:rsidRDefault="00642C10" w:rsidP="00413032">
            <w:pPr>
              <w:spacing w:after="0" w:line="360" w:lineRule="auto"/>
              <w:jc w:val="center"/>
            </w:pPr>
            <m:oMathPara>
              <m:oMathParaPr>
                <m:jc m:val="center"/>
              </m:oMathParaPr>
              <m:oMath>
                <m:sSub>
                  <m:sSubPr>
                    <m:ctrlPr>
                      <w:rPr>
                        <w:rFonts w:ascii="Cambria Math" w:hAnsi="Cambria Math"/>
                      </w:rPr>
                    </m:ctrlPr>
                  </m:sSubPr>
                  <m:e>
                    <m:r>
                      <w:rPr>
                        <w:rFonts w:ascii="Cambria Math" w:hAnsi="Cambria Math"/>
                      </w:rPr>
                      <m:t>h</m:t>
                    </m:r>
                  </m:e>
                  <m:sub>
                    <m:r>
                      <w:rPr>
                        <w:rFonts w:ascii="Cambria Math" w:hAnsi="Cambria Math"/>
                      </w:rPr>
                      <m:t>k</m:t>
                    </m:r>
                  </m:sub>
                </m:sSub>
                <m:r>
                  <w:rPr>
                    <w:rFonts w:ascii="Cambria Math" w:hAnsi="Cambria Math"/>
                  </w:rPr>
                  <m:t>=f</m:t>
                </m:r>
                <m:d>
                  <m:dPr>
                    <m:ctrlPr>
                      <w:rPr>
                        <w:rFonts w:ascii="Cambria Math" w:hAnsi="Cambria Math"/>
                      </w:rPr>
                    </m:ctrlPr>
                  </m:dPr>
                  <m:e>
                    <m:nary>
                      <m:naryPr>
                        <m:chr m:val="∑"/>
                        <m:limLoc m:val="subSup"/>
                        <m:ctrlPr>
                          <w:rPr>
                            <w:rFonts w:ascii="Cambria Math" w:hAnsi="Cambria Math"/>
                          </w:rPr>
                        </m:ctrlPr>
                      </m:naryPr>
                      <m:sub>
                        <m:r>
                          <w:rPr>
                            <w:rFonts w:ascii="Cambria Math" w:hAnsi="Cambria Math"/>
                          </w:rPr>
                          <m:t>m=1</m:t>
                        </m:r>
                      </m:sub>
                      <m:sup>
                        <m:r>
                          <w:rPr>
                            <w:rFonts w:ascii="Cambria Math" w:hAnsi="Cambria Math"/>
                          </w:rPr>
                          <m:t>M</m:t>
                        </m:r>
                      </m:sup>
                      <m:e>
                        <m:sSub>
                          <m:sSubPr>
                            <m:ctrlPr>
                              <w:rPr>
                                <w:rFonts w:ascii="Cambria Math" w:hAnsi="Cambria Math"/>
                              </w:rPr>
                            </m:ctrlPr>
                          </m:sSubPr>
                          <m:e>
                            <m:r>
                              <w:rPr>
                                <w:rFonts w:ascii="Cambria Math" w:hAnsi="Cambria Math"/>
                              </w:rPr>
                              <m:t>w</m:t>
                            </m:r>
                          </m:e>
                          <m:sub>
                            <m:r>
                              <w:rPr>
                                <w:rFonts w:ascii="Cambria Math" w:hAnsi="Cambria Math"/>
                              </w:rPr>
                              <m:t>km</m:t>
                            </m:r>
                          </m:sub>
                        </m:sSub>
                        <m:sSub>
                          <m:sSubPr>
                            <m:ctrlPr>
                              <w:rPr>
                                <w:rFonts w:ascii="Cambria Math" w:hAnsi="Cambria Math"/>
                              </w:rPr>
                            </m:ctrlPr>
                          </m:sSubPr>
                          <m:e>
                            <m:r>
                              <w:rPr>
                                <w:rFonts w:ascii="Cambria Math" w:hAnsi="Cambria Math"/>
                              </w:rPr>
                              <m:t>x</m:t>
                            </m:r>
                          </m:e>
                          <m:sub>
                            <m:r>
                              <w:rPr>
                                <w:rFonts w:ascii="Cambria Math" w:hAnsi="Cambria Math"/>
                              </w:rPr>
                              <m:t>m</m:t>
                            </m:r>
                          </m:sub>
                        </m:sSub>
                      </m:e>
                    </m:nary>
                    <m:r>
                      <w:rPr>
                        <w:rFonts w:ascii="Cambria Math" w:hAnsi="Cambria Math"/>
                      </w:rPr>
                      <m:t>+</m:t>
                    </m:r>
                    <m:sSub>
                      <m:sSubPr>
                        <m:ctrlPr>
                          <w:rPr>
                            <w:rFonts w:ascii="Cambria Math" w:hAnsi="Cambria Math"/>
                          </w:rPr>
                        </m:ctrlPr>
                      </m:sSubPr>
                      <m:e>
                        <m:r>
                          <w:rPr>
                            <w:rFonts w:ascii="Cambria Math" w:hAnsi="Cambria Math"/>
                          </w:rPr>
                          <m:t>b</m:t>
                        </m:r>
                      </m:e>
                      <m:sub>
                        <m:r>
                          <w:rPr>
                            <w:rFonts w:ascii="Cambria Math" w:hAnsi="Cambria Math"/>
                          </w:rPr>
                          <m:t>k</m:t>
                        </m:r>
                      </m:sub>
                    </m:sSub>
                  </m:e>
                </m:d>
              </m:oMath>
            </m:oMathPara>
          </w:p>
        </w:tc>
        <w:tc>
          <w:tcPr>
            <w:tcW w:w="912" w:type="dxa"/>
            <w:tcMar>
              <w:top w:w="0" w:type="dxa"/>
              <w:left w:w="108" w:type="dxa"/>
              <w:bottom w:w="0" w:type="dxa"/>
              <w:right w:w="108" w:type="dxa"/>
            </w:tcMar>
            <w:vAlign w:val="center"/>
          </w:tcPr>
          <w:p w14:paraId="2F5DF82B" w14:textId="77777777" w:rsidR="00642C10" w:rsidRDefault="00642C10" w:rsidP="00413032">
            <w:pPr>
              <w:spacing w:after="0" w:line="360" w:lineRule="auto"/>
            </w:pPr>
            <w:r>
              <w:rPr>
                <w:rFonts w:ascii="Lora" w:eastAsia="Lora" w:hAnsi="Lora" w:cs="Lora"/>
                <w:kern w:val="0"/>
                <w:sz w:val="28"/>
                <w:szCs w:val="28"/>
                <w:shd w:val="clear" w:color="auto" w:fill="FFFFFF"/>
              </w:rPr>
              <w:t xml:space="preserve"> (B7)</w:t>
            </w:r>
          </w:p>
        </w:tc>
      </w:tr>
    </w:tbl>
    <w:p w14:paraId="670B7892" w14:textId="77777777" w:rsidR="00642C10" w:rsidRDefault="00642C10" w:rsidP="00642C10">
      <w:pPr>
        <w:spacing w:before="240" w:after="240" w:line="360" w:lineRule="auto"/>
        <w:jc w:val="both"/>
      </w:pPr>
      <w:r>
        <w:rPr>
          <w:rFonts w:ascii="Lora" w:eastAsia="Lora" w:hAnsi="Lora" w:cs="Lora"/>
          <w:kern w:val="0"/>
          <w:sz w:val="28"/>
          <w:szCs w:val="28"/>
          <w:shd w:val="clear" w:color="auto" w:fill="FFFFFF"/>
        </w:rPr>
        <w:t>and the final transition potential surface was produced a below:</w:t>
      </w:r>
    </w:p>
    <w:tbl>
      <w:tblPr>
        <w:tblW w:w="13948" w:type="dxa"/>
        <w:tblCellMar>
          <w:left w:w="10" w:type="dxa"/>
          <w:right w:w="10" w:type="dxa"/>
        </w:tblCellMar>
        <w:tblLook w:val="04A0" w:firstRow="1" w:lastRow="0" w:firstColumn="1" w:lastColumn="0" w:noHBand="0" w:noVBand="1"/>
      </w:tblPr>
      <w:tblGrid>
        <w:gridCol w:w="13036"/>
        <w:gridCol w:w="912"/>
      </w:tblGrid>
      <w:tr w:rsidR="00642C10" w14:paraId="6F494114" w14:textId="77777777" w:rsidTr="00413032">
        <w:trPr>
          <w:trHeight w:val="2163"/>
        </w:trPr>
        <w:tc>
          <w:tcPr>
            <w:tcW w:w="13036" w:type="dxa"/>
            <w:tcMar>
              <w:top w:w="0" w:type="dxa"/>
              <w:left w:w="108" w:type="dxa"/>
              <w:bottom w:w="0" w:type="dxa"/>
              <w:right w:w="108" w:type="dxa"/>
            </w:tcMar>
            <w:vAlign w:val="center"/>
          </w:tcPr>
          <w:p w14:paraId="3E1D7366" w14:textId="77777777" w:rsidR="00642C10" w:rsidRDefault="00642C10" w:rsidP="00413032">
            <w:pPr>
              <w:spacing w:after="0" w:line="360" w:lineRule="auto"/>
              <w:jc w:val="center"/>
            </w:pPr>
            <m:oMathPara>
              <m:oMathParaPr>
                <m:jc m:val="center"/>
              </m:oMathParaPr>
              <m:oMath>
                <m:r>
                  <w:rPr>
                    <w:rFonts w:ascii="Cambria Math" w:hAnsi="Cambria Math"/>
                  </w:rPr>
                  <m:t>TP=g</m:t>
                </m:r>
                <m:d>
                  <m:dPr>
                    <m:ctrlPr>
                      <w:rPr>
                        <w:rFonts w:ascii="Cambria Math" w:hAnsi="Cambria Math"/>
                      </w:rPr>
                    </m:ctrlPr>
                  </m:dPr>
                  <m:e>
                    <m:nary>
                      <m:naryPr>
                        <m:chr m:val="∑"/>
                        <m:limLoc m:val="subSup"/>
                        <m:ctrlPr>
                          <w:rPr>
                            <w:rFonts w:ascii="Cambria Math" w:hAnsi="Cambria Math"/>
                          </w:rPr>
                        </m:ctrlPr>
                      </m:naryPr>
                      <m:sub>
                        <m:r>
                          <w:rPr>
                            <w:rFonts w:ascii="Cambria Math" w:hAnsi="Cambria Math"/>
                          </w:rPr>
                          <m:t>k=1</m:t>
                        </m:r>
                      </m:sub>
                      <m:sup>
                        <m:r>
                          <w:rPr>
                            <w:rFonts w:ascii="Cambria Math" w:hAnsi="Cambria Math"/>
                          </w:rPr>
                          <m:t>K</m:t>
                        </m:r>
                      </m:sup>
                      <m:e>
                        <m:sSub>
                          <m:sSubPr>
                            <m:ctrlPr>
                              <w:rPr>
                                <w:rFonts w:ascii="Cambria Math" w:hAnsi="Cambria Math"/>
                              </w:rPr>
                            </m:ctrlPr>
                          </m:sSubPr>
                          <m:e>
                            <m:r>
                              <w:rPr>
                                <w:rFonts w:ascii="Cambria Math" w:hAnsi="Cambria Math"/>
                              </w:rPr>
                              <m:t>v</m:t>
                            </m:r>
                          </m:e>
                          <m:sub>
                            <m:r>
                              <w:rPr>
                                <w:rFonts w:ascii="Cambria Math" w:hAnsi="Cambria Math"/>
                              </w:rPr>
                              <m:t>k</m:t>
                            </m:r>
                          </m:sub>
                        </m:sSub>
                        <m:sSub>
                          <m:sSubPr>
                            <m:ctrlPr>
                              <w:rPr>
                                <w:rFonts w:ascii="Cambria Math" w:hAnsi="Cambria Math"/>
                              </w:rPr>
                            </m:ctrlPr>
                          </m:sSubPr>
                          <m:e>
                            <m:r>
                              <w:rPr>
                                <w:rFonts w:ascii="Cambria Math" w:hAnsi="Cambria Math"/>
                              </w:rPr>
                              <m:t>h</m:t>
                            </m:r>
                          </m:e>
                          <m:sub>
                            <m:r>
                              <w:rPr>
                                <w:rFonts w:ascii="Cambria Math" w:hAnsi="Cambria Math"/>
                              </w:rPr>
                              <m:t>k</m:t>
                            </m:r>
                          </m:sub>
                        </m:sSub>
                      </m:e>
                    </m:nary>
                    <m:r>
                      <w:rPr>
                        <w:rFonts w:ascii="Cambria Math" w:hAnsi="Cambria Math"/>
                      </w:rPr>
                      <m:t>+c</m:t>
                    </m:r>
                  </m:e>
                </m:d>
              </m:oMath>
            </m:oMathPara>
          </w:p>
        </w:tc>
        <w:tc>
          <w:tcPr>
            <w:tcW w:w="912" w:type="dxa"/>
            <w:tcMar>
              <w:top w:w="0" w:type="dxa"/>
              <w:left w:w="108" w:type="dxa"/>
              <w:bottom w:w="0" w:type="dxa"/>
              <w:right w:w="108" w:type="dxa"/>
            </w:tcMar>
            <w:vAlign w:val="center"/>
          </w:tcPr>
          <w:p w14:paraId="0AE0DB49" w14:textId="77777777" w:rsidR="00642C10" w:rsidRDefault="00642C10" w:rsidP="00413032">
            <w:pPr>
              <w:spacing w:after="0" w:line="360" w:lineRule="auto"/>
            </w:pPr>
            <w:r>
              <w:rPr>
                <w:rFonts w:ascii="Lora" w:eastAsia="Lora" w:hAnsi="Lora" w:cs="Lora"/>
                <w:kern w:val="0"/>
                <w:sz w:val="28"/>
                <w:szCs w:val="28"/>
                <w:shd w:val="clear" w:color="auto" w:fill="FFFFFF"/>
              </w:rPr>
              <w:t xml:space="preserve"> (B8)</w:t>
            </w:r>
          </w:p>
        </w:tc>
      </w:tr>
    </w:tbl>
    <w:p w14:paraId="685299FE" w14:textId="77777777" w:rsidR="00642C10" w:rsidRDefault="00642C10" w:rsidP="00642C10">
      <w:pPr>
        <w:spacing w:before="240" w:after="240" w:line="360" w:lineRule="auto"/>
        <w:jc w:val="both"/>
      </w:pPr>
      <w:r>
        <w:rPr>
          <w:rFonts w:ascii="Lora" w:eastAsia="Lora" w:hAnsi="Lora" w:cs="Lora"/>
          <w:kern w:val="0"/>
          <w:sz w:val="28"/>
          <w:szCs w:val="28"/>
          <w:shd w:val="clear" w:color="auto" w:fill="FFFFFF"/>
        </w:rPr>
        <w:t>where X</w:t>
      </w:r>
      <w:r>
        <w:rPr>
          <w:rFonts w:ascii="Lora" w:eastAsia="Lora" w:hAnsi="Lora" w:cs="Lora"/>
          <w:kern w:val="0"/>
          <w:sz w:val="28"/>
          <w:szCs w:val="28"/>
          <w:shd w:val="clear" w:color="auto" w:fill="FFFFFF"/>
          <w:vertAlign w:val="subscript"/>
        </w:rPr>
        <w:t>m</w:t>
      </w:r>
      <w:r>
        <w:rPr>
          <w:rFonts w:ascii="Lora" w:eastAsia="Lora" w:hAnsi="Lora" w:cs="Lora"/>
          <w:kern w:val="0"/>
          <w:sz w:val="28"/>
          <w:szCs w:val="28"/>
          <w:shd w:val="clear" w:color="auto" w:fill="FFFFFF"/>
        </w:rPr>
        <w:t xml:space="preserve"> denotes input variables, W</w:t>
      </w:r>
      <w:r>
        <w:rPr>
          <w:rFonts w:ascii="Lora" w:eastAsia="Lora" w:hAnsi="Lora" w:cs="Lora"/>
          <w:kern w:val="0"/>
          <w:sz w:val="28"/>
          <w:szCs w:val="28"/>
          <w:shd w:val="clear" w:color="auto" w:fill="FFFFFF"/>
          <w:vertAlign w:val="subscript"/>
        </w:rPr>
        <w:t>km</w:t>
      </w:r>
      <w:r>
        <w:rPr>
          <w:rFonts w:ascii="Lora" w:eastAsia="Lora" w:hAnsi="Lora" w:cs="Lora"/>
          <w:kern w:val="0"/>
          <w:sz w:val="28"/>
          <w:szCs w:val="28"/>
          <w:shd w:val="clear" w:color="auto" w:fill="FFFFFF"/>
        </w:rPr>
        <w:t xml:space="preserve"> and V</w:t>
      </w:r>
      <w:r>
        <w:rPr>
          <w:rFonts w:ascii="Lora" w:eastAsia="Lora" w:hAnsi="Lora" w:cs="Lora"/>
          <w:kern w:val="0"/>
          <w:sz w:val="28"/>
          <w:szCs w:val="28"/>
          <w:shd w:val="clear" w:color="auto" w:fill="FFFFFF"/>
          <w:vertAlign w:val="subscript"/>
        </w:rPr>
        <w:t xml:space="preserve">k </w:t>
      </w:r>
      <w:r>
        <w:rPr>
          <w:rFonts w:ascii="Lora" w:eastAsia="Lora" w:hAnsi="Lora" w:cs="Lora"/>
          <w:kern w:val="0"/>
          <w:sz w:val="28"/>
          <w:szCs w:val="28"/>
          <w:shd w:val="clear" w:color="auto" w:fill="FFFFFF"/>
        </w:rPr>
        <w:t>are synaptic weights, and f(0) and g(0) denote activation functions. A 70/30 training–validation split was used to optimise model generalisation and prevent overfitting. Spatial allocation of transitions was conducted using a Cellular Automata (CA) model employing a 5×5 Moore neighbourhood to reproduce contiguity-driven urban growth. The CA update rule was defined as:</w:t>
      </w:r>
    </w:p>
    <w:tbl>
      <w:tblPr>
        <w:tblW w:w="13948" w:type="dxa"/>
        <w:tblCellMar>
          <w:left w:w="10" w:type="dxa"/>
          <w:right w:w="10" w:type="dxa"/>
        </w:tblCellMar>
        <w:tblLook w:val="04A0" w:firstRow="1" w:lastRow="0" w:firstColumn="1" w:lastColumn="0" w:noHBand="0" w:noVBand="1"/>
      </w:tblPr>
      <w:tblGrid>
        <w:gridCol w:w="13036"/>
        <w:gridCol w:w="912"/>
      </w:tblGrid>
      <w:tr w:rsidR="00642C10" w14:paraId="70A68708" w14:textId="77777777" w:rsidTr="00413032">
        <w:trPr>
          <w:trHeight w:val="89"/>
        </w:trPr>
        <w:tc>
          <w:tcPr>
            <w:tcW w:w="13036" w:type="dxa"/>
            <w:tcMar>
              <w:top w:w="0" w:type="dxa"/>
              <w:left w:w="108" w:type="dxa"/>
              <w:bottom w:w="0" w:type="dxa"/>
              <w:right w:w="108" w:type="dxa"/>
            </w:tcMar>
            <w:vAlign w:val="center"/>
          </w:tcPr>
          <w:p w14:paraId="43EA9DAF" w14:textId="77777777" w:rsidR="00642C10" w:rsidRDefault="00642C10" w:rsidP="00413032">
            <w:pPr>
              <w:spacing w:after="0" w:line="360" w:lineRule="auto"/>
              <w:jc w:val="center"/>
            </w:pPr>
            <m:oMathPara>
              <m:oMathParaPr>
                <m:jc m:val="center"/>
              </m:oMathParaPr>
              <m:oMath>
                <m:sSub>
                  <m:sSubPr>
                    <m:ctrlPr>
                      <w:rPr>
                        <w:rFonts w:ascii="Cambria Math" w:hAnsi="Cambria Math"/>
                      </w:rPr>
                    </m:ctrlPr>
                  </m:sSubPr>
                  <m:e>
                    <m:r>
                      <w:rPr>
                        <w:rFonts w:ascii="Cambria Math" w:hAnsi="Cambria Math"/>
                      </w:rPr>
                      <m:t>S</m:t>
                    </m:r>
                  </m:e>
                  <m:sub>
                    <m:r>
                      <w:rPr>
                        <w:rFonts w:ascii="Cambria Math" w:hAnsi="Cambria Math"/>
                      </w:rPr>
                      <m:t>t+1</m:t>
                    </m:r>
                  </m:sub>
                </m:sSub>
                <m:d>
                  <m:dPr>
                    <m:ctrlPr>
                      <w:rPr>
                        <w:rFonts w:ascii="Cambria Math" w:hAnsi="Cambria Math"/>
                      </w:rPr>
                    </m:ctrlPr>
                  </m:dPr>
                  <m:e>
                    <m:r>
                      <w:rPr>
                        <w:rFonts w:ascii="Cambria Math" w:hAnsi="Cambria Math"/>
                      </w:rPr>
                      <m:t>x,y</m:t>
                    </m:r>
                  </m:e>
                </m:d>
                <m:r>
                  <w:rPr>
                    <w:rFonts w:ascii="Cambria Math" w:hAnsi="Cambria Math"/>
                  </w:rPr>
                  <m:t>=</m:t>
                </m:r>
                <m:func>
                  <m:funcPr>
                    <m:ctrlPr>
                      <w:rPr>
                        <w:rFonts w:ascii="Cambria Math" w:hAnsi="Cambria Math"/>
                      </w:rPr>
                    </m:ctrlPr>
                  </m:funcPr>
                  <m:fName>
                    <m:r>
                      <m:rPr>
                        <m:sty m:val="p"/>
                      </m:rPr>
                      <w:rPr>
                        <w:rFonts w:ascii="Cambria Math" w:hAnsi="Cambria Math"/>
                      </w:rPr>
                      <m:t>arg</m:t>
                    </m:r>
                  </m:fName>
                  <m:e>
                    <m:func>
                      <m:funcPr>
                        <m:ctrlPr>
                          <w:rPr>
                            <w:rFonts w:ascii="Cambria Math" w:hAnsi="Cambria Math"/>
                          </w:rPr>
                        </m:ctrlPr>
                      </m:funcPr>
                      <m:fName>
                        <m:limLow>
                          <m:limLowPr>
                            <m:ctrlPr>
                              <w:rPr>
                                <w:rFonts w:ascii="Cambria Math" w:hAnsi="Cambria Math"/>
                              </w:rPr>
                            </m:ctrlPr>
                          </m:limLowPr>
                          <m:e>
                            <m:r>
                              <m:rPr>
                                <m:sty m:val="p"/>
                              </m:rPr>
                              <w:rPr>
                                <w:rFonts w:ascii="Cambria Math" w:hAnsi="Cambria Math"/>
                              </w:rPr>
                              <m:t>max</m:t>
                            </m:r>
                          </m:e>
                          <m:lim>
                            <m:r>
                              <w:rPr>
                                <w:rFonts w:ascii="Cambria Math" w:hAnsi="Cambria Math"/>
                              </w:rPr>
                              <m:t>j</m:t>
                            </m:r>
                          </m:lim>
                        </m:limLow>
                      </m:fName>
                      <m:e>
                        <m:d>
                          <m:dPr>
                            <m:begChr m:val="["/>
                            <m:endChr m:val="]"/>
                            <m:ctrlPr>
                              <w:rPr>
                                <w:rFonts w:ascii="Cambria Math" w:hAnsi="Cambria Math"/>
                              </w:rPr>
                            </m:ctrlPr>
                          </m:dPr>
                          <m:e>
                            <m:r>
                              <w:rPr>
                                <w:rFonts w:ascii="Cambria Math" w:hAnsi="Cambria Math"/>
                              </w:rPr>
                              <m:t>T</m:t>
                            </m:r>
                            <m:sSub>
                              <m:sSubPr>
                                <m:ctrlPr>
                                  <w:rPr>
                                    <w:rFonts w:ascii="Cambria Math" w:hAnsi="Cambria Math"/>
                                  </w:rPr>
                                </m:ctrlPr>
                              </m:sSubPr>
                              <m:e>
                                <m:r>
                                  <w:rPr>
                                    <w:rFonts w:ascii="Cambria Math" w:hAnsi="Cambria Math"/>
                                  </w:rPr>
                                  <m:t>P</m:t>
                                </m:r>
                              </m:e>
                              <m:sub>
                                <m:r>
                                  <w:rPr>
                                    <w:rFonts w:ascii="Cambria Math" w:hAnsi="Cambria Math"/>
                                  </w:rPr>
                                  <m:t>j</m:t>
                                </m:r>
                              </m:sub>
                            </m:sSub>
                            <m:d>
                              <m:dPr>
                                <m:ctrlPr>
                                  <w:rPr>
                                    <w:rFonts w:ascii="Cambria Math" w:hAnsi="Cambria Math"/>
                                  </w:rPr>
                                </m:ctrlPr>
                              </m:dPr>
                              <m:e>
                                <m:r>
                                  <w:rPr>
                                    <w:rFonts w:ascii="Cambria Math" w:hAnsi="Cambria Math"/>
                                  </w:rPr>
                                  <m:t>x,y</m:t>
                                </m:r>
                              </m:e>
                            </m:d>
                            <m:r>
                              <w:rPr>
                                <w:rFonts w:ascii="Cambria Math" w:hAnsi="Cambria Math"/>
                              </w:rPr>
                              <m:t>+λ</m:t>
                            </m:r>
                            <m:sSub>
                              <m:sSubPr>
                                <m:ctrlPr>
                                  <w:rPr>
                                    <w:rFonts w:ascii="Cambria Math" w:hAnsi="Cambria Math"/>
                                  </w:rPr>
                                </m:ctrlPr>
                              </m:sSubPr>
                              <m:e>
                                <m:r>
                                  <w:rPr>
                                    <w:rFonts w:ascii="Cambria Math" w:hAnsi="Cambria Math"/>
                                  </w:rPr>
                                  <m:t>N</m:t>
                                </m:r>
                              </m:e>
                              <m:sub>
                                <m:r>
                                  <w:rPr>
                                    <w:rFonts w:ascii="Cambria Math" w:hAnsi="Cambria Math"/>
                                  </w:rPr>
                                  <m:t>j</m:t>
                                </m:r>
                              </m:sub>
                            </m:sSub>
                            <m:d>
                              <m:dPr>
                                <m:ctrlPr>
                                  <w:rPr>
                                    <w:rFonts w:ascii="Cambria Math" w:hAnsi="Cambria Math"/>
                                  </w:rPr>
                                </m:ctrlPr>
                              </m:dPr>
                              <m:e>
                                <m:r>
                                  <w:rPr>
                                    <w:rFonts w:ascii="Cambria Math" w:hAnsi="Cambria Math"/>
                                  </w:rPr>
                                  <m:t>x,y</m:t>
                                </m:r>
                              </m:e>
                            </m:d>
                          </m:e>
                        </m:d>
                      </m:e>
                    </m:func>
                  </m:e>
                </m:func>
              </m:oMath>
            </m:oMathPara>
          </w:p>
        </w:tc>
        <w:tc>
          <w:tcPr>
            <w:tcW w:w="912" w:type="dxa"/>
            <w:tcMar>
              <w:top w:w="0" w:type="dxa"/>
              <w:left w:w="108" w:type="dxa"/>
              <w:bottom w:w="0" w:type="dxa"/>
              <w:right w:w="108" w:type="dxa"/>
            </w:tcMar>
            <w:vAlign w:val="center"/>
          </w:tcPr>
          <w:p w14:paraId="1AB01872" w14:textId="77777777" w:rsidR="00642C10" w:rsidRDefault="00642C10" w:rsidP="00413032">
            <w:pPr>
              <w:spacing w:after="0" w:line="360" w:lineRule="auto"/>
            </w:pPr>
            <w:r>
              <w:rPr>
                <w:rFonts w:ascii="Lora" w:eastAsia="Lora" w:hAnsi="Lora" w:cs="Lora"/>
                <w:kern w:val="0"/>
                <w:sz w:val="28"/>
                <w:szCs w:val="28"/>
                <w:shd w:val="clear" w:color="auto" w:fill="FFFFFF"/>
              </w:rPr>
              <w:t xml:space="preserve"> (B9)</w:t>
            </w:r>
          </w:p>
        </w:tc>
      </w:tr>
    </w:tbl>
    <w:p w14:paraId="3F9731E5" w14:textId="77777777" w:rsidR="00642C10" w:rsidRDefault="00642C10" w:rsidP="00642C10">
      <w:pPr>
        <w:spacing w:before="240" w:after="240" w:line="360" w:lineRule="auto"/>
        <w:rPr>
          <w:rFonts w:ascii="Lora" w:hAnsi="Lora"/>
          <w:b/>
          <w:bCs/>
          <w:sz w:val="32"/>
          <w:szCs w:val="32"/>
        </w:rPr>
      </w:pPr>
      <w:r>
        <w:rPr>
          <w:rFonts w:ascii="Lora" w:hAnsi="Lora"/>
          <w:b/>
          <w:bCs/>
          <w:sz w:val="32"/>
          <w:szCs w:val="32"/>
        </w:rPr>
        <w:t>Appendix C: Population data</w:t>
      </w:r>
    </w:p>
    <w:p w14:paraId="2661FEED" w14:textId="77777777" w:rsidR="00642C10" w:rsidRDefault="00642C10" w:rsidP="00642C10">
      <w:pPr>
        <w:spacing w:before="240" w:after="240" w:line="360" w:lineRule="auto"/>
        <w:jc w:val="center"/>
        <w:rPr>
          <w:rFonts w:ascii="Lora" w:eastAsia="Lora" w:hAnsi="Lora" w:cs="Lora"/>
          <w:kern w:val="0"/>
        </w:rPr>
      </w:pPr>
      <w:r>
        <w:rPr>
          <w:rFonts w:ascii="Lora" w:eastAsia="Lora" w:hAnsi="Lora" w:cs="Lora"/>
          <w:kern w:val="0"/>
        </w:rPr>
        <w:t>Table C1. The 2025 population and importance of the four cities.</w:t>
      </w:r>
    </w:p>
    <w:tbl>
      <w:tblPr>
        <w:tblW w:w="9450" w:type="dxa"/>
        <w:jc w:val="center"/>
        <w:tblLayout w:type="fixed"/>
        <w:tblCellMar>
          <w:left w:w="10" w:type="dxa"/>
          <w:right w:w="10" w:type="dxa"/>
        </w:tblCellMar>
        <w:tblLook w:val="04A0" w:firstRow="1" w:lastRow="0" w:firstColumn="1" w:lastColumn="0" w:noHBand="0" w:noVBand="1"/>
      </w:tblPr>
      <w:tblGrid>
        <w:gridCol w:w="1185"/>
        <w:gridCol w:w="1995"/>
        <w:gridCol w:w="6270"/>
      </w:tblGrid>
      <w:tr w:rsidR="00642C10" w14:paraId="07E86B2E" w14:textId="77777777" w:rsidTr="00413032">
        <w:trPr>
          <w:trHeight w:val="585"/>
          <w:jc w:val="center"/>
        </w:trPr>
        <w:tc>
          <w:tcPr>
            <w:tcW w:w="1185"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187D90AF" w14:textId="77777777" w:rsidR="00642C10" w:rsidRDefault="00642C10" w:rsidP="00413032">
            <w:pPr>
              <w:spacing w:before="240"/>
              <w:jc w:val="center"/>
            </w:pPr>
            <w:r>
              <w:rPr>
                <w:rFonts w:ascii="Lora" w:eastAsia="Lora" w:hAnsi="Lora" w:cs="Lora"/>
                <w:kern w:val="0"/>
                <w:sz w:val="20"/>
                <w:szCs w:val="20"/>
              </w:rPr>
              <w:t>City</w:t>
            </w:r>
          </w:p>
        </w:tc>
        <w:tc>
          <w:tcPr>
            <w:tcW w:w="1995" w:type="dxa"/>
            <w:tcBorders>
              <w:top w:val="single" w:sz="6" w:space="0" w:color="000000"/>
              <w:bottom w:val="single" w:sz="6" w:space="0" w:color="000000"/>
              <w:right w:val="single" w:sz="6" w:space="0" w:color="000000"/>
            </w:tcBorders>
            <w:tcMar>
              <w:top w:w="0" w:type="dxa"/>
              <w:left w:w="100" w:type="dxa"/>
              <w:bottom w:w="0" w:type="dxa"/>
              <w:right w:w="100" w:type="dxa"/>
            </w:tcMar>
          </w:tcPr>
          <w:p w14:paraId="24244119"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Population 2025 in millions</w:t>
            </w:r>
          </w:p>
        </w:tc>
        <w:tc>
          <w:tcPr>
            <w:tcW w:w="6270" w:type="dxa"/>
            <w:tcBorders>
              <w:top w:val="single" w:sz="6" w:space="0" w:color="000000"/>
              <w:bottom w:val="single" w:sz="6" w:space="0" w:color="000000"/>
              <w:right w:val="single" w:sz="6" w:space="0" w:color="000000"/>
            </w:tcBorders>
            <w:tcMar>
              <w:top w:w="0" w:type="dxa"/>
              <w:left w:w="100" w:type="dxa"/>
              <w:bottom w:w="0" w:type="dxa"/>
              <w:right w:w="100" w:type="dxa"/>
            </w:tcMar>
          </w:tcPr>
          <w:p w14:paraId="1DE2266A"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Importance / Key Role</w:t>
            </w:r>
          </w:p>
        </w:tc>
      </w:tr>
      <w:tr w:rsidR="00642C10" w14:paraId="2F1BF6CE" w14:textId="77777777" w:rsidTr="00413032">
        <w:trPr>
          <w:trHeight w:val="585"/>
          <w:jc w:val="center"/>
        </w:trPr>
        <w:tc>
          <w:tcPr>
            <w:tcW w:w="1185" w:type="dxa"/>
            <w:tcBorders>
              <w:left w:val="single" w:sz="6" w:space="0" w:color="000000"/>
              <w:bottom w:val="single" w:sz="6" w:space="0" w:color="000000"/>
              <w:right w:val="single" w:sz="6" w:space="0" w:color="000000"/>
            </w:tcBorders>
            <w:tcMar>
              <w:top w:w="0" w:type="dxa"/>
              <w:left w:w="100" w:type="dxa"/>
              <w:bottom w:w="0" w:type="dxa"/>
              <w:right w:w="100" w:type="dxa"/>
            </w:tcMar>
          </w:tcPr>
          <w:p w14:paraId="7A647FCD"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Riyadh</w:t>
            </w:r>
          </w:p>
        </w:tc>
        <w:tc>
          <w:tcPr>
            <w:tcW w:w="1995" w:type="dxa"/>
            <w:tcBorders>
              <w:bottom w:val="single" w:sz="6" w:space="0" w:color="000000"/>
              <w:right w:val="single" w:sz="6" w:space="0" w:color="000000"/>
            </w:tcBorders>
            <w:tcMar>
              <w:top w:w="0" w:type="dxa"/>
              <w:left w:w="100" w:type="dxa"/>
              <w:bottom w:w="0" w:type="dxa"/>
              <w:right w:w="100" w:type="dxa"/>
            </w:tcMar>
          </w:tcPr>
          <w:p w14:paraId="7C87CF3C"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7,9</w:t>
            </w:r>
          </w:p>
        </w:tc>
        <w:tc>
          <w:tcPr>
            <w:tcW w:w="6270" w:type="dxa"/>
            <w:tcBorders>
              <w:bottom w:val="single" w:sz="6" w:space="0" w:color="000000"/>
              <w:right w:val="single" w:sz="6" w:space="0" w:color="000000"/>
            </w:tcBorders>
            <w:tcMar>
              <w:top w:w="0" w:type="dxa"/>
              <w:left w:w="100" w:type="dxa"/>
              <w:bottom w:w="0" w:type="dxa"/>
              <w:right w:w="100" w:type="dxa"/>
            </w:tcMar>
          </w:tcPr>
          <w:p w14:paraId="01262311"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Capital city; administrative &amp; political centre; largest city and economic core of the Kingdom</w:t>
            </w:r>
          </w:p>
        </w:tc>
      </w:tr>
      <w:tr w:rsidR="00642C10" w14:paraId="53417AED" w14:textId="77777777" w:rsidTr="00413032">
        <w:trPr>
          <w:trHeight w:val="585"/>
          <w:jc w:val="center"/>
        </w:trPr>
        <w:tc>
          <w:tcPr>
            <w:tcW w:w="1185" w:type="dxa"/>
            <w:tcBorders>
              <w:left w:val="single" w:sz="6" w:space="0" w:color="000000"/>
              <w:bottom w:val="single" w:sz="6" w:space="0" w:color="000000"/>
              <w:right w:val="single" w:sz="6" w:space="0" w:color="000000"/>
            </w:tcBorders>
            <w:tcMar>
              <w:top w:w="0" w:type="dxa"/>
              <w:left w:w="100" w:type="dxa"/>
              <w:bottom w:w="0" w:type="dxa"/>
              <w:right w:w="100" w:type="dxa"/>
            </w:tcMar>
          </w:tcPr>
          <w:p w14:paraId="5ED7F615"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Jeddah</w:t>
            </w:r>
          </w:p>
        </w:tc>
        <w:tc>
          <w:tcPr>
            <w:tcW w:w="1995" w:type="dxa"/>
            <w:tcBorders>
              <w:bottom w:val="single" w:sz="6" w:space="0" w:color="000000"/>
              <w:right w:val="single" w:sz="6" w:space="0" w:color="000000"/>
            </w:tcBorders>
            <w:tcMar>
              <w:top w:w="0" w:type="dxa"/>
              <w:left w:w="100" w:type="dxa"/>
              <w:bottom w:w="0" w:type="dxa"/>
              <w:right w:w="100" w:type="dxa"/>
            </w:tcMar>
          </w:tcPr>
          <w:p w14:paraId="1E086048"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5,6</w:t>
            </w:r>
          </w:p>
        </w:tc>
        <w:tc>
          <w:tcPr>
            <w:tcW w:w="6270" w:type="dxa"/>
            <w:tcBorders>
              <w:bottom w:val="single" w:sz="6" w:space="0" w:color="000000"/>
              <w:right w:val="single" w:sz="6" w:space="0" w:color="000000"/>
            </w:tcBorders>
            <w:tcMar>
              <w:top w:w="0" w:type="dxa"/>
              <w:left w:w="100" w:type="dxa"/>
              <w:bottom w:w="0" w:type="dxa"/>
              <w:right w:w="100" w:type="dxa"/>
            </w:tcMar>
          </w:tcPr>
          <w:p w14:paraId="42626174"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Major commercial hub; main Red Sea port; gateway for pilgrims to Makkah; second-largest urban centre in Saudi Arabia</w:t>
            </w:r>
          </w:p>
        </w:tc>
      </w:tr>
      <w:tr w:rsidR="00642C10" w14:paraId="41AAF036" w14:textId="77777777" w:rsidTr="00413032">
        <w:trPr>
          <w:trHeight w:val="585"/>
          <w:jc w:val="center"/>
        </w:trPr>
        <w:tc>
          <w:tcPr>
            <w:tcW w:w="1185" w:type="dxa"/>
            <w:tcBorders>
              <w:left w:val="single" w:sz="6" w:space="0" w:color="000000"/>
              <w:bottom w:val="single" w:sz="6" w:space="0" w:color="000000"/>
              <w:right w:val="single" w:sz="6" w:space="0" w:color="000000"/>
            </w:tcBorders>
            <w:tcMar>
              <w:top w:w="0" w:type="dxa"/>
              <w:left w:w="100" w:type="dxa"/>
              <w:bottom w:w="0" w:type="dxa"/>
              <w:right w:w="100" w:type="dxa"/>
            </w:tcMar>
          </w:tcPr>
          <w:p w14:paraId="1215C37F"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Makkah (Mecca)</w:t>
            </w:r>
          </w:p>
        </w:tc>
        <w:tc>
          <w:tcPr>
            <w:tcW w:w="1995" w:type="dxa"/>
            <w:tcBorders>
              <w:bottom w:val="single" w:sz="6" w:space="0" w:color="000000"/>
              <w:right w:val="single" w:sz="6" w:space="0" w:color="000000"/>
            </w:tcBorders>
            <w:tcMar>
              <w:top w:w="0" w:type="dxa"/>
              <w:left w:w="100" w:type="dxa"/>
              <w:bottom w:w="0" w:type="dxa"/>
              <w:right w:w="100" w:type="dxa"/>
            </w:tcMar>
          </w:tcPr>
          <w:p w14:paraId="67F99A1A"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2,2</w:t>
            </w:r>
          </w:p>
        </w:tc>
        <w:tc>
          <w:tcPr>
            <w:tcW w:w="6270" w:type="dxa"/>
            <w:tcBorders>
              <w:bottom w:val="single" w:sz="6" w:space="0" w:color="000000"/>
              <w:right w:val="single" w:sz="6" w:space="0" w:color="000000"/>
            </w:tcBorders>
            <w:tcMar>
              <w:top w:w="0" w:type="dxa"/>
              <w:left w:w="100" w:type="dxa"/>
              <w:bottom w:w="0" w:type="dxa"/>
              <w:right w:w="100" w:type="dxa"/>
            </w:tcMar>
          </w:tcPr>
          <w:p w14:paraId="6D99D5C6"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Holiest city in Islam; centre of annual pilgrimage (Hajj &amp; Umrah); immense religious and cultural importance globally</w:t>
            </w:r>
          </w:p>
        </w:tc>
      </w:tr>
      <w:tr w:rsidR="00642C10" w14:paraId="794A4939" w14:textId="77777777" w:rsidTr="00413032">
        <w:trPr>
          <w:trHeight w:val="585"/>
          <w:jc w:val="center"/>
        </w:trPr>
        <w:tc>
          <w:tcPr>
            <w:tcW w:w="1185" w:type="dxa"/>
            <w:tcBorders>
              <w:left w:val="single" w:sz="6" w:space="0" w:color="000000"/>
              <w:bottom w:val="single" w:sz="6" w:space="0" w:color="000000"/>
              <w:right w:val="single" w:sz="6" w:space="0" w:color="000000"/>
            </w:tcBorders>
            <w:tcMar>
              <w:top w:w="0" w:type="dxa"/>
              <w:left w:w="100" w:type="dxa"/>
              <w:bottom w:w="0" w:type="dxa"/>
              <w:right w:w="100" w:type="dxa"/>
            </w:tcMar>
          </w:tcPr>
          <w:p w14:paraId="55CE1504"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Madinah (Medina)</w:t>
            </w:r>
          </w:p>
        </w:tc>
        <w:tc>
          <w:tcPr>
            <w:tcW w:w="1995" w:type="dxa"/>
            <w:tcBorders>
              <w:bottom w:val="single" w:sz="6" w:space="0" w:color="000000"/>
              <w:right w:val="single" w:sz="6" w:space="0" w:color="000000"/>
            </w:tcBorders>
            <w:tcMar>
              <w:top w:w="0" w:type="dxa"/>
              <w:left w:w="100" w:type="dxa"/>
              <w:bottom w:w="0" w:type="dxa"/>
              <w:right w:w="100" w:type="dxa"/>
            </w:tcMar>
          </w:tcPr>
          <w:p w14:paraId="5E092CA4" w14:textId="77777777" w:rsidR="00642C10" w:rsidRDefault="00642C10" w:rsidP="00413032">
            <w:pPr>
              <w:spacing w:before="240"/>
              <w:jc w:val="center"/>
              <w:rPr>
                <w:rFonts w:ascii="Lora" w:eastAsia="Lora" w:hAnsi="Lora" w:cs="Lora"/>
                <w:kern w:val="0"/>
                <w:sz w:val="20"/>
                <w:szCs w:val="20"/>
              </w:rPr>
            </w:pPr>
            <w:r>
              <w:rPr>
                <w:rFonts w:ascii="Lora" w:eastAsia="Lora" w:hAnsi="Lora" w:cs="Lora"/>
                <w:kern w:val="0"/>
                <w:sz w:val="20"/>
                <w:szCs w:val="20"/>
              </w:rPr>
              <w:t>1,6</w:t>
            </w:r>
          </w:p>
        </w:tc>
        <w:tc>
          <w:tcPr>
            <w:tcW w:w="6270" w:type="dxa"/>
            <w:tcBorders>
              <w:bottom w:val="single" w:sz="6" w:space="0" w:color="000000"/>
              <w:right w:val="single" w:sz="6" w:space="0" w:color="000000"/>
            </w:tcBorders>
            <w:tcMar>
              <w:top w:w="0" w:type="dxa"/>
              <w:left w:w="100" w:type="dxa"/>
              <w:bottom w:w="0" w:type="dxa"/>
              <w:right w:w="100" w:type="dxa"/>
            </w:tcMar>
          </w:tcPr>
          <w:p w14:paraId="210288E4" w14:textId="77777777" w:rsidR="00642C10" w:rsidRDefault="00642C10" w:rsidP="00413032">
            <w:pPr>
              <w:spacing w:before="240"/>
              <w:jc w:val="center"/>
            </w:pPr>
            <w:r>
              <w:rPr>
                <w:rFonts w:ascii="Lora" w:eastAsia="Lora" w:hAnsi="Lora" w:cs="Lora"/>
                <w:kern w:val="0"/>
                <w:sz w:val="20"/>
                <w:szCs w:val="20"/>
              </w:rPr>
              <w:t>Second-holiest city in Islam; important religious and historical centre; major destination for pilgrims and cultural heritage site</w:t>
            </w:r>
          </w:p>
        </w:tc>
      </w:tr>
    </w:tbl>
    <w:p w14:paraId="31E80AF7" w14:textId="77777777" w:rsidR="00642C10" w:rsidRDefault="00642C10" w:rsidP="00642C10">
      <w:pPr>
        <w:spacing w:before="240" w:after="240" w:line="360" w:lineRule="auto"/>
        <w:rPr>
          <w:rFonts w:ascii="Lora" w:hAnsi="Lora"/>
          <w:b/>
          <w:bCs/>
          <w:sz w:val="32"/>
          <w:szCs w:val="32"/>
        </w:rPr>
      </w:pPr>
      <w:r>
        <w:rPr>
          <w:rFonts w:ascii="Lora" w:hAnsi="Lora"/>
          <w:b/>
          <w:bCs/>
          <w:sz w:val="32"/>
          <w:szCs w:val="32"/>
        </w:rPr>
        <w:t>Appendix D: Kappa Validation for CA-Markov Model</w:t>
      </w:r>
    </w:p>
    <w:p w14:paraId="2DF977EE" w14:textId="77777777" w:rsidR="00642C10" w:rsidRDefault="00642C10" w:rsidP="00642C10">
      <w:pPr>
        <w:spacing w:before="240" w:after="240" w:line="360" w:lineRule="auto"/>
        <w:jc w:val="both"/>
        <w:rPr>
          <w:rFonts w:ascii="Lora" w:eastAsia="Lora" w:hAnsi="Lora" w:cs="Lora"/>
          <w:kern w:val="0"/>
          <w:sz w:val="28"/>
          <w:szCs w:val="28"/>
          <w:shd w:val="clear" w:color="auto" w:fill="FFFFFF"/>
        </w:rPr>
      </w:pPr>
      <w:r>
        <w:rPr>
          <w:rFonts w:ascii="Lora" w:eastAsia="Lora" w:hAnsi="Lora" w:cs="Lora"/>
          <w:kern w:val="0"/>
          <w:sz w:val="28"/>
          <w:szCs w:val="28"/>
          <w:shd w:val="clear" w:color="auto" w:fill="FFFFFF"/>
        </w:rPr>
        <w:t>Model performance was evaluated using a back-cast simulation, in which the model predicted the 2024 land-cover map from 2014 conditions. Comparison with the observed 2024 classification demonstrated strong agreement, as reflected in the overall, histogram, and location Kappa values reported in Table 5. These results confirm that the integrated ANN–CA–Markov configuration provides a robust and reliable basis for forecasting near-term built-up expansion under existing development trajectories.</w:t>
      </w:r>
    </w:p>
    <w:p w14:paraId="567AA2E7" w14:textId="77777777" w:rsidR="00642C10" w:rsidRDefault="00642C10" w:rsidP="00642C10">
      <w:pPr>
        <w:spacing w:before="240" w:after="240" w:line="360" w:lineRule="auto"/>
        <w:jc w:val="center"/>
        <w:rPr>
          <w:rFonts w:ascii="Lora" w:eastAsia="Lora" w:hAnsi="Lora" w:cs="Lora"/>
          <w:kern w:val="0"/>
          <w:shd w:val="clear" w:color="auto" w:fill="FFFFFF"/>
        </w:rPr>
      </w:pPr>
      <w:r>
        <w:rPr>
          <w:rFonts w:ascii="Lora" w:eastAsia="Lora" w:hAnsi="Lora" w:cs="Lora"/>
          <w:kern w:val="0"/>
          <w:shd w:val="clear" w:color="auto" w:fill="FFFFFF"/>
        </w:rPr>
        <w:lastRenderedPageBreak/>
        <w:t>Table D1. Kappa-based validation metrics for the CA–Markov model (2034 prediction)</w:t>
      </w:r>
    </w:p>
    <w:tbl>
      <w:tblPr>
        <w:tblW w:w="9255" w:type="dxa"/>
        <w:jc w:val="center"/>
        <w:tblLayout w:type="fixed"/>
        <w:tblCellMar>
          <w:left w:w="10" w:type="dxa"/>
          <w:right w:w="10" w:type="dxa"/>
        </w:tblCellMar>
        <w:tblLook w:val="04A0" w:firstRow="1" w:lastRow="0" w:firstColumn="1" w:lastColumn="0" w:noHBand="0" w:noVBand="1"/>
      </w:tblPr>
      <w:tblGrid>
        <w:gridCol w:w="1665"/>
        <w:gridCol w:w="2385"/>
        <w:gridCol w:w="2730"/>
        <w:gridCol w:w="2475"/>
      </w:tblGrid>
      <w:tr w:rsidR="00642C10" w14:paraId="756C8DBF" w14:textId="77777777" w:rsidTr="00413032">
        <w:trPr>
          <w:trHeight w:val="20"/>
          <w:jc w:val="center"/>
        </w:trPr>
        <w:tc>
          <w:tcPr>
            <w:tcW w:w="1665"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39C84FA9" w14:textId="77777777" w:rsidR="00642C10" w:rsidRDefault="00642C10" w:rsidP="00413032">
            <w:pPr>
              <w:spacing w:before="240" w:after="240" w:line="240" w:lineRule="auto"/>
              <w:jc w:val="center"/>
              <w:rPr>
                <w:rFonts w:ascii="Lora" w:eastAsia="Lora" w:hAnsi="Lora" w:cs="Lora"/>
                <w:kern w:val="0"/>
                <w:shd w:val="clear" w:color="auto" w:fill="FFFFFF"/>
              </w:rPr>
            </w:pPr>
            <w:r>
              <w:rPr>
                <w:rFonts w:ascii="Lora" w:eastAsia="Lora" w:hAnsi="Lora" w:cs="Lora"/>
                <w:kern w:val="0"/>
                <w:shd w:val="clear" w:color="auto" w:fill="FFFFFF"/>
              </w:rPr>
              <w:t>City</w:t>
            </w:r>
          </w:p>
        </w:tc>
        <w:tc>
          <w:tcPr>
            <w:tcW w:w="2385" w:type="dxa"/>
            <w:tcBorders>
              <w:top w:val="single" w:sz="6" w:space="0" w:color="000000"/>
              <w:bottom w:val="single" w:sz="6" w:space="0" w:color="000000"/>
              <w:right w:val="single" w:sz="6" w:space="0" w:color="000000"/>
            </w:tcBorders>
            <w:tcMar>
              <w:top w:w="0" w:type="dxa"/>
              <w:left w:w="100" w:type="dxa"/>
              <w:bottom w:w="0" w:type="dxa"/>
              <w:right w:w="100" w:type="dxa"/>
            </w:tcMar>
          </w:tcPr>
          <w:p w14:paraId="54A4D4C5" w14:textId="77777777" w:rsidR="00642C10" w:rsidRDefault="00642C10" w:rsidP="00413032">
            <w:pPr>
              <w:spacing w:before="240" w:after="240" w:line="240" w:lineRule="auto"/>
              <w:jc w:val="center"/>
              <w:rPr>
                <w:rFonts w:ascii="Lora" w:eastAsia="Lora" w:hAnsi="Lora" w:cs="Lora"/>
                <w:kern w:val="0"/>
                <w:shd w:val="clear" w:color="auto" w:fill="FFFFFF"/>
              </w:rPr>
            </w:pPr>
            <w:r>
              <w:rPr>
                <w:rFonts w:ascii="Lora" w:eastAsia="Lora" w:hAnsi="Lora" w:cs="Lora"/>
                <w:kern w:val="0"/>
                <w:shd w:val="clear" w:color="auto" w:fill="FFFFFF"/>
              </w:rPr>
              <w:t>Kappa (overall)</w:t>
            </w:r>
          </w:p>
        </w:tc>
        <w:tc>
          <w:tcPr>
            <w:tcW w:w="2730" w:type="dxa"/>
            <w:tcBorders>
              <w:top w:val="single" w:sz="6" w:space="0" w:color="000000"/>
              <w:bottom w:val="single" w:sz="6" w:space="0" w:color="000000"/>
              <w:right w:val="single" w:sz="6" w:space="0" w:color="000000"/>
            </w:tcBorders>
            <w:tcMar>
              <w:top w:w="0" w:type="dxa"/>
              <w:left w:w="100" w:type="dxa"/>
              <w:bottom w:w="0" w:type="dxa"/>
              <w:right w:w="100" w:type="dxa"/>
            </w:tcMar>
          </w:tcPr>
          <w:p w14:paraId="52836341" w14:textId="77777777" w:rsidR="00642C10" w:rsidRDefault="00642C10" w:rsidP="00413032">
            <w:pPr>
              <w:spacing w:before="240" w:after="240" w:line="240" w:lineRule="auto"/>
              <w:jc w:val="center"/>
              <w:rPr>
                <w:rFonts w:ascii="Lora" w:eastAsia="Lora" w:hAnsi="Lora" w:cs="Lora"/>
                <w:kern w:val="0"/>
                <w:shd w:val="clear" w:color="auto" w:fill="FFFFFF"/>
              </w:rPr>
            </w:pPr>
            <w:r>
              <w:rPr>
                <w:rFonts w:ascii="Lora" w:eastAsia="Lora" w:hAnsi="Lora" w:cs="Lora"/>
                <w:kern w:val="0"/>
                <w:shd w:val="clear" w:color="auto" w:fill="FFFFFF"/>
              </w:rPr>
              <w:t>Kappa (histogram)</w:t>
            </w:r>
          </w:p>
        </w:tc>
        <w:tc>
          <w:tcPr>
            <w:tcW w:w="2475" w:type="dxa"/>
            <w:tcBorders>
              <w:top w:val="single" w:sz="6" w:space="0" w:color="000000"/>
              <w:bottom w:val="single" w:sz="6" w:space="0" w:color="000000"/>
              <w:right w:val="single" w:sz="6" w:space="0" w:color="000000"/>
            </w:tcBorders>
            <w:tcMar>
              <w:top w:w="0" w:type="dxa"/>
              <w:left w:w="100" w:type="dxa"/>
              <w:bottom w:w="0" w:type="dxa"/>
              <w:right w:w="100" w:type="dxa"/>
            </w:tcMar>
          </w:tcPr>
          <w:p w14:paraId="15839EB7" w14:textId="77777777" w:rsidR="00642C10" w:rsidRDefault="00642C10" w:rsidP="00413032">
            <w:pPr>
              <w:spacing w:before="240" w:after="240" w:line="240" w:lineRule="auto"/>
              <w:jc w:val="center"/>
              <w:rPr>
                <w:rFonts w:ascii="Lora" w:eastAsia="Lora" w:hAnsi="Lora" w:cs="Lora"/>
                <w:kern w:val="0"/>
                <w:shd w:val="clear" w:color="auto" w:fill="FFFFFF"/>
              </w:rPr>
            </w:pPr>
            <w:r>
              <w:rPr>
                <w:rFonts w:ascii="Lora" w:eastAsia="Lora" w:hAnsi="Lora" w:cs="Lora"/>
                <w:kern w:val="0"/>
                <w:shd w:val="clear" w:color="auto" w:fill="FFFFFF"/>
              </w:rPr>
              <w:t>Kappa (location)</w:t>
            </w:r>
          </w:p>
        </w:tc>
      </w:tr>
      <w:tr w:rsidR="00642C10" w14:paraId="76DDB37E" w14:textId="77777777" w:rsidTr="00413032">
        <w:trPr>
          <w:trHeight w:val="20"/>
          <w:jc w:val="center"/>
        </w:trPr>
        <w:tc>
          <w:tcPr>
            <w:tcW w:w="1665" w:type="dxa"/>
            <w:tcBorders>
              <w:left w:val="single" w:sz="6" w:space="0" w:color="000000"/>
              <w:bottom w:val="single" w:sz="6" w:space="0" w:color="000000"/>
              <w:right w:val="single" w:sz="6" w:space="0" w:color="000000"/>
            </w:tcBorders>
            <w:tcMar>
              <w:top w:w="0" w:type="dxa"/>
              <w:left w:w="100" w:type="dxa"/>
              <w:bottom w:w="0" w:type="dxa"/>
              <w:right w:w="100" w:type="dxa"/>
            </w:tcMar>
          </w:tcPr>
          <w:p w14:paraId="6086CC39" w14:textId="77777777" w:rsidR="00642C10" w:rsidRDefault="00642C10" w:rsidP="00413032">
            <w:pPr>
              <w:spacing w:before="240" w:after="240" w:line="240" w:lineRule="auto"/>
              <w:jc w:val="center"/>
              <w:rPr>
                <w:rFonts w:ascii="Lora" w:eastAsia="Lora" w:hAnsi="Lora" w:cs="Lora"/>
                <w:kern w:val="0"/>
                <w:shd w:val="clear" w:color="auto" w:fill="FFFFFF"/>
              </w:rPr>
            </w:pPr>
            <w:r>
              <w:rPr>
                <w:rFonts w:ascii="Lora" w:eastAsia="Lora" w:hAnsi="Lora" w:cs="Lora"/>
                <w:kern w:val="0"/>
                <w:shd w:val="clear" w:color="auto" w:fill="FFFFFF"/>
              </w:rPr>
              <w:t>Riyadh</w:t>
            </w:r>
          </w:p>
        </w:tc>
        <w:tc>
          <w:tcPr>
            <w:tcW w:w="2385" w:type="dxa"/>
            <w:tcBorders>
              <w:bottom w:val="single" w:sz="6" w:space="0" w:color="000000"/>
              <w:right w:val="single" w:sz="6" w:space="0" w:color="000000"/>
            </w:tcBorders>
            <w:tcMar>
              <w:top w:w="0" w:type="dxa"/>
              <w:left w:w="100" w:type="dxa"/>
              <w:bottom w:w="0" w:type="dxa"/>
              <w:right w:w="100" w:type="dxa"/>
            </w:tcMar>
          </w:tcPr>
          <w:p w14:paraId="2E55A004" w14:textId="77777777" w:rsidR="00642C10" w:rsidRDefault="00642C10" w:rsidP="00413032">
            <w:pPr>
              <w:spacing w:before="240" w:after="240" w:line="240" w:lineRule="auto"/>
              <w:jc w:val="center"/>
              <w:rPr>
                <w:rFonts w:ascii="Lora" w:eastAsia="Lora" w:hAnsi="Lora" w:cs="Lora"/>
                <w:kern w:val="0"/>
                <w:shd w:val="clear" w:color="auto" w:fill="FFFFFF"/>
              </w:rPr>
            </w:pPr>
            <w:r>
              <w:rPr>
                <w:rFonts w:ascii="Lora" w:eastAsia="Lora" w:hAnsi="Lora" w:cs="Lora"/>
                <w:kern w:val="0"/>
                <w:shd w:val="clear" w:color="auto" w:fill="FFFFFF"/>
              </w:rPr>
              <w:t>0.68</w:t>
            </w:r>
          </w:p>
        </w:tc>
        <w:tc>
          <w:tcPr>
            <w:tcW w:w="2730" w:type="dxa"/>
            <w:tcBorders>
              <w:bottom w:val="single" w:sz="6" w:space="0" w:color="000000"/>
              <w:right w:val="single" w:sz="6" w:space="0" w:color="000000"/>
            </w:tcBorders>
            <w:tcMar>
              <w:top w:w="0" w:type="dxa"/>
              <w:left w:w="100" w:type="dxa"/>
              <w:bottom w:w="0" w:type="dxa"/>
              <w:right w:w="100" w:type="dxa"/>
            </w:tcMar>
          </w:tcPr>
          <w:p w14:paraId="25E89637" w14:textId="77777777" w:rsidR="00642C10" w:rsidRDefault="00642C10" w:rsidP="00413032">
            <w:pPr>
              <w:spacing w:before="240" w:after="240" w:line="240" w:lineRule="auto"/>
              <w:jc w:val="center"/>
              <w:rPr>
                <w:rFonts w:ascii="Lora" w:eastAsia="Lora" w:hAnsi="Lora" w:cs="Lora"/>
                <w:kern w:val="0"/>
                <w:shd w:val="clear" w:color="auto" w:fill="FFFFFF"/>
              </w:rPr>
            </w:pPr>
            <w:r>
              <w:rPr>
                <w:rFonts w:ascii="Lora" w:eastAsia="Lora" w:hAnsi="Lora" w:cs="Lora"/>
                <w:kern w:val="0"/>
                <w:shd w:val="clear" w:color="auto" w:fill="FFFFFF"/>
              </w:rPr>
              <w:t>0.71</w:t>
            </w:r>
          </w:p>
        </w:tc>
        <w:tc>
          <w:tcPr>
            <w:tcW w:w="2475" w:type="dxa"/>
            <w:tcBorders>
              <w:bottom w:val="single" w:sz="6" w:space="0" w:color="000000"/>
              <w:right w:val="single" w:sz="6" w:space="0" w:color="000000"/>
            </w:tcBorders>
            <w:tcMar>
              <w:top w:w="0" w:type="dxa"/>
              <w:left w:w="100" w:type="dxa"/>
              <w:bottom w:w="0" w:type="dxa"/>
              <w:right w:w="100" w:type="dxa"/>
            </w:tcMar>
          </w:tcPr>
          <w:p w14:paraId="66D790DF" w14:textId="77777777" w:rsidR="00642C10" w:rsidRDefault="00642C10" w:rsidP="00413032">
            <w:pPr>
              <w:spacing w:before="240" w:after="240" w:line="240" w:lineRule="auto"/>
              <w:jc w:val="center"/>
              <w:rPr>
                <w:rFonts w:ascii="Lora" w:eastAsia="Lora" w:hAnsi="Lora" w:cs="Lora"/>
                <w:kern w:val="0"/>
                <w:shd w:val="clear" w:color="auto" w:fill="FFFFFF"/>
              </w:rPr>
            </w:pPr>
            <w:r>
              <w:rPr>
                <w:rFonts w:ascii="Lora" w:eastAsia="Lora" w:hAnsi="Lora" w:cs="Lora"/>
                <w:kern w:val="0"/>
                <w:shd w:val="clear" w:color="auto" w:fill="FFFFFF"/>
              </w:rPr>
              <w:t>0.90</w:t>
            </w:r>
          </w:p>
        </w:tc>
      </w:tr>
      <w:tr w:rsidR="00642C10" w14:paraId="56A80FD6" w14:textId="77777777" w:rsidTr="00413032">
        <w:trPr>
          <w:trHeight w:val="20"/>
          <w:jc w:val="center"/>
        </w:trPr>
        <w:tc>
          <w:tcPr>
            <w:tcW w:w="1665" w:type="dxa"/>
            <w:tcBorders>
              <w:left w:val="single" w:sz="6" w:space="0" w:color="000000"/>
              <w:bottom w:val="single" w:sz="6" w:space="0" w:color="000000"/>
              <w:right w:val="single" w:sz="6" w:space="0" w:color="000000"/>
            </w:tcBorders>
            <w:tcMar>
              <w:top w:w="0" w:type="dxa"/>
              <w:left w:w="100" w:type="dxa"/>
              <w:bottom w:w="0" w:type="dxa"/>
              <w:right w:w="100" w:type="dxa"/>
            </w:tcMar>
          </w:tcPr>
          <w:p w14:paraId="323BEBF9" w14:textId="77777777" w:rsidR="00642C10" w:rsidRDefault="00642C10" w:rsidP="00413032">
            <w:pPr>
              <w:spacing w:before="240" w:after="240" w:line="240" w:lineRule="auto"/>
              <w:jc w:val="center"/>
              <w:rPr>
                <w:rFonts w:ascii="Lora" w:eastAsia="Lora" w:hAnsi="Lora" w:cs="Lora"/>
                <w:kern w:val="0"/>
                <w:shd w:val="clear" w:color="auto" w:fill="FFFFFF"/>
              </w:rPr>
            </w:pPr>
            <w:r>
              <w:rPr>
                <w:rFonts w:ascii="Lora" w:eastAsia="Lora" w:hAnsi="Lora" w:cs="Lora"/>
                <w:kern w:val="0"/>
                <w:shd w:val="clear" w:color="auto" w:fill="FFFFFF"/>
              </w:rPr>
              <w:t>Jeddah</w:t>
            </w:r>
          </w:p>
        </w:tc>
        <w:tc>
          <w:tcPr>
            <w:tcW w:w="2385" w:type="dxa"/>
            <w:tcBorders>
              <w:bottom w:val="single" w:sz="6" w:space="0" w:color="000000"/>
              <w:right w:val="single" w:sz="6" w:space="0" w:color="000000"/>
            </w:tcBorders>
            <w:tcMar>
              <w:top w:w="0" w:type="dxa"/>
              <w:left w:w="100" w:type="dxa"/>
              <w:bottom w:w="0" w:type="dxa"/>
              <w:right w:w="100" w:type="dxa"/>
            </w:tcMar>
          </w:tcPr>
          <w:p w14:paraId="3FD88B65" w14:textId="77777777" w:rsidR="00642C10" w:rsidRDefault="00642C10" w:rsidP="00413032">
            <w:pPr>
              <w:spacing w:before="240" w:after="240" w:line="240" w:lineRule="auto"/>
              <w:jc w:val="center"/>
              <w:rPr>
                <w:rFonts w:ascii="Lora" w:eastAsia="Lora" w:hAnsi="Lora" w:cs="Lora"/>
                <w:kern w:val="0"/>
                <w:shd w:val="clear" w:color="auto" w:fill="FFFFFF"/>
              </w:rPr>
            </w:pPr>
            <w:r>
              <w:rPr>
                <w:rFonts w:ascii="Lora" w:eastAsia="Lora" w:hAnsi="Lora" w:cs="Lora"/>
                <w:kern w:val="0"/>
                <w:shd w:val="clear" w:color="auto" w:fill="FFFFFF"/>
              </w:rPr>
              <w:t>0.85</w:t>
            </w:r>
          </w:p>
        </w:tc>
        <w:tc>
          <w:tcPr>
            <w:tcW w:w="2730" w:type="dxa"/>
            <w:tcBorders>
              <w:bottom w:val="single" w:sz="6" w:space="0" w:color="000000"/>
              <w:right w:val="single" w:sz="6" w:space="0" w:color="000000"/>
            </w:tcBorders>
            <w:tcMar>
              <w:top w:w="0" w:type="dxa"/>
              <w:left w:w="100" w:type="dxa"/>
              <w:bottom w:w="0" w:type="dxa"/>
              <w:right w:w="100" w:type="dxa"/>
            </w:tcMar>
          </w:tcPr>
          <w:p w14:paraId="716876A8" w14:textId="77777777" w:rsidR="00642C10" w:rsidRDefault="00642C10" w:rsidP="00413032">
            <w:pPr>
              <w:spacing w:before="240" w:after="240" w:line="240" w:lineRule="auto"/>
              <w:jc w:val="center"/>
              <w:rPr>
                <w:rFonts w:ascii="Lora" w:eastAsia="Lora" w:hAnsi="Lora" w:cs="Lora"/>
                <w:kern w:val="0"/>
                <w:shd w:val="clear" w:color="auto" w:fill="FFFFFF"/>
              </w:rPr>
            </w:pPr>
            <w:r>
              <w:rPr>
                <w:rFonts w:ascii="Lora" w:eastAsia="Lora" w:hAnsi="Lora" w:cs="Lora"/>
                <w:kern w:val="0"/>
                <w:shd w:val="clear" w:color="auto" w:fill="FFFFFF"/>
              </w:rPr>
              <w:t>0.87</w:t>
            </w:r>
          </w:p>
        </w:tc>
        <w:tc>
          <w:tcPr>
            <w:tcW w:w="2475" w:type="dxa"/>
            <w:tcBorders>
              <w:bottom w:val="single" w:sz="6" w:space="0" w:color="000000"/>
              <w:right w:val="single" w:sz="6" w:space="0" w:color="000000"/>
            </w:tcBorders>
            <w:tcMar>
              <w:top w:w="0" w:type="dxa"/>
              <w:left w:w="100" w:type="dxa"/>
              <w:bottom w:w="0" w:type="dxa"/>
              <w:right w:w="100" w:type="dxa"/>
            </w:tcMar>
          </w:tcPr>
          <w:p w14:paraId="4F9D0A7C" w14:textId="77777777" w:rsidR="00642C10" w:rsidRDefault="00642C10" w:rsidP="00413032">
            <w:pPr>
              <w:spacing w:before="240" w:after="240" w:line="240" w:lineRule="auto"/>
              <w:jc w:val="center"/>
              <w:rPr>
                <w:rFonts w:ascii="Lora" w:eastAsia="Lora" w:hAnsi="Lora" w:cs="Lora"/>
                <w:kern w:val="0"/>
                <w:shd w:val="clear" w:color="auto" w:fill="FFFFFF"/>
              </w:rPr>
            </w:pPr>
            <w:r>
              <w:rPr>
                <w:rFonts w:ascii="Lora" w:eastAsia="Lora" w:hAnsi="Lora" w:cs="Lora"/>
                <w:kern w:val="0"/>
                <w:shd w:val="clear" w:color="auto" w:fill="FFFFFF"/>
              </w:rPr>
              <w:t>0.93</w:t>
            </w:r>
          </w:p>
        </w:tc>
      </w:tr>
      <w:tr w:rsidR="00642C10" w14:paraId="2B126236" w14:textId="77777777" w:rsidTr="00413032">
        <w:trPr>
          <w:trHeight w:val="20"/>
          <w:jc w:val="center"/>
        </w:trPr>
        <w:tc>
          <w:tcPr>
            <w:tcW w:w="1665" w:type="dxa"/>
            <w:tcBorders>
              <w:left w:val="single" w:sz="6" w:space="0" w:color="000000"/>
              <w:bottom w:val="single" w:sz="6" w:space="0" w:color="000000"/>
              <w:right w:val="single" w:sz="6" w:space="0" w:color="000000"/>
            </w:tcBorders>
            <w:tcMar>
              <w:top w:w="0" w:type="dxa"/>
              <w:left w:w="100" w:type="dxa"/>
              <w:bottom w:w="0" w:type="dxa"/>
              <w:right w:w="100" w:type="dxa"/>
            </w:tcMar>
          </w:tcPr>
          <w:p w14:paraId="087467F3" w14:textId="77777777" w:rsidR="00642C10" w:rsidRDefault="00642C10" w:rsidP="00413032">
            <w:pPr>
              <w:spacing w:before="240" w:after="240" w:line="240" w:lineRule="auto"/>
              <w:jc w:val="center"/>
              <w:rPr>
                <w:rFonts w:ascii="Lora" w:eastAsia="Lora" w:hAnsi="Lora" w:cs="Lora"/>
                <w:kern w:val="0"/>
                <w:shd w:val="clear" w:color="auto" w:fill="FFFFFF"/>
              </w:rPr>
            </w:pPr>
            <w:r>
              <w:rPr>
                <w:rFonts w:ascii="Lora" w:eastAsia="Lora" w:hAnsi="Lora" w:cs="Lora"/>
                <w:kern w:val="0"/>
                <w:shd w:val="clear" w:color="auto" w:fill="FFFFFF"/>
              </w:rPr>
              <w:t>We Makkah</w:t>
            </w:r>
          </w:p>
        </w:tc>
        <w:tc>
          <w:tcPr>
            <w:tcW w:w="2385" w:type="dxa"/>
            <w:tcBorders>
              <w:bottom w:val="single" w:sz="6" w:space="0" w:color="000000"/>
              <w:right w:val="single" w:sz="6" w:space="0" w:color="000000"/>
            </w:tcBorders>
            <w:tcMar>
              <w:top w:w="0" w:type="dxa"/>
              <w:left w:w="100" w:type="dxa"/>
              <w:bottom w:w="0" w:type="dxa"/>
              <w:right w:w="100" w:type="dxa"/>
            </w:tcMar>
          </w:tcPr>
          <w:p w14:paraId="74C49BA2" w14:textId="77777777" w:rsidR="00642C10" w:rsidRDefault="00642C10" w:rsidP="00413032">
            <w:pPr>
              <w:spacing w:before="240" w:after="240" w:line="240" w:lineRule="auto"/>
              <w:jc w:val="center"/>
              <w:rPr>
                <w:rFonts w:ascii="Lora" w:eastAsia="Lora" w:hAnsi="Lora" w:cs="Lora"/>
                <w:kern w:val="0"/>
                <w:shd w:val="clear" w:color="auto" w:fill="FFFFFF"/>
              </w:rPr>
            </w:pPr>
            <w:r>
              <w:rPr>
                <w:rFonts w:ascii="Lora" w:eastAsia="Lora" w:hAnsi="Lora" w:cs="Lora"/>
                <w:kern w:val="0"/>
                <w:shd w:val="clear" w:color="auto" w:fill="FFFFFF"/>
              </w:rPr>
              <w:t>0.61</w:t>
            </w:r>
          </w:p>
        </w:tc>
        <w:tc>
          <w:tcPr>
            <w:tcW w:w="2730" w:type="dxa"/>
            <w:tcBorders>
              <w:bottom w:val="single" w:sz="6" w:space="0" w:color="000000"/>
              <w:right w:val="single" w:sz="6" w:space="0" w:color="000000"/>
            </w:tcBorders>
            <w:tcMar>
              <w:top w:w="0" w:type="dxa"/>
              <w:left w:w="100" w:type="dxa"/>
              <w:bottom w:w="0" w:type="dxa"/>
              <w:right w:w="100" w:type="dxa"/>
            </w:tcMar>
          </w:tcPr>
          <w:p w14:paraId="35938532" w14:textId="77777777" w:rsidR="00642C10" w:rsidRDefault="00642C10" w:rsidP="00413032">
            <w:pPr>
              <w:spacing w:before="240" w:after="240" w:line="240" w:lineRule="auto"/>
              <w:jc w:val="center"/>
              <w:rPr>
                <w:rFonts w:ascii="Lora" w:eastAsia="Lora" w:hAnsi="Lora" w:cs="Lora"/>
                <w:kern w:val="0"/>
                <w:shd w:val="clear" w:color="auto" w:fill="FFFFFF"/>
              </w:rPr>
            </w:pPr>
            <w:r>
              <w:rPr>
                <w:rFonts w:ascii="Lora" w:eastAsia="Lora" w:hAnsi="Lora" w:cs="Lora"/>
                <w:kern w:val="0"/>
                <w:shd w:val="clear" w:color="auto" w:fill="FFFFFF"/>
              </w:rPr>
              <w:t>0.63</w:t>
            </w:r>
          </w:p>
        </w:tc>
        <w:tc>
          <w:tcPr>
            <w:tcW w:w="2475" w:type="dxa"/>
            <w:tcBorders>
              <w:bottom w:val="single" w:sz="6" w:space="0" w:color="000000"/>
              <w:right w:val="single" w:sz="6" w:space="0" w:color="000000"/>
            </w:tcBorders>
            <w:tcMar>
              <w:top w:w="0" w:type="dxa"/>
              <w:left w:w="100" w:type="dxa"/>
              <w:bottom w:w="0" w:type="dxa"/>
              <w:right w:w="100" w:type="dxa"/>
            </w:tcMar>
          </w:tcPr>
          <w:p w14:paraId="7769A601" w14:textId="77777777" w:rsidR="00642C10" w:rsidRDefault="00642C10" w:rsidP="00413032">
            <w:pPr>
              <w:spacing w:before="240" w:after="240" w:line="240" w:lineRule="auto"/>
              <w:jc w:val="center"/>
              <w:rPr>
                <w:rFonts w:ascii="Lora" w:eastAsia="Lora" w:hAnsi="Lora" w:cs="Lora"/>
                <w:kern w:val="0"/>
                <w:shd w:val="clear" w:color="auto" w:fill="FFFFFF"/>
              </w:rPr>
            </w:pPr>
            <w:r>
              <w:rPr>
                <w:rFonts w:ascii="Lora" w:eastAsia="Lora" w:hAnsi="Lora" w:cs="Lora"/>
                <w:kern w:val="0"/>
                <w:shd w:val="clear" w:color="auto" w:fill="FFFFFF"/>
              </w:rPr>
              <w:t>0.90</w:t>
            </w:r>
          </w:p>
        </w:tc>
      </w:tr>
      <w:tr w:rsidR="00642C10" w14:paraId="768AD5AE" w14:textId="77777777" w:rsidTr="00413032">
        <w:trPr>
          <w:trHeight w:val="20"/>
          <w:jc w:val="center"/>
        </w:trPr>
        <w:tc>
          <w:tcPr>
            <w:tcW w:w="1665" w:type="dxa"/>
            <w:tcBorders>
              <w:left w:val="single" w:sz="6" w:space="0" w:color="000000"/>
              <w:bottom w:val="single" w:sz="6" w:space="0" w:color="000000"/>
              <w:right w:val="single" w:sz="6" w:space="0" w:color="000000"/>
            </w:tcBorders>
            <w:tcMar>
              <w:top w:w="0" w:type="dxa"/>
              <w:left w:w="100" w:type="dxa"/>
              <w:bottom w:w="0" w:type="dxa"/>
              <w:right w:w="100" w:type="dxa"/>
            </w:tcMar>
          </w:tcPr>
          <w:p w14:paraId="7B4E702E" w14:textId="77777777" w:rsidR="00642C10" w:rsidRDefault="00642C10" w:rsidP="00413032">
            <w:pPr>
              <w:spacing w:before="240" w:after="240" w:line="240" w:lineRule="auto"/>
              <w:jc w:val="center"/>
              <w:rPr>
                <w:rFonts w:ascii="Lora" w:eastAsia="Lora" w:hAnsi="Lora" w:cs="Lora"/>
                <w:kern w:val="0"/>
                <w:shd w:val="clear" w:color="auto" w:fill="FFFFFF"/>
              </w:rPr>
            </w:pPr>
            <w:r>
              <w:rPr>
                <w:rFonts w:ascii="Lora" w:eastAsia="Lora" w:hAnsi="Lora" w:cs="Lora"/>
                <w:kern w:val="0"/>
                <w:shd w:val="clear" w:color="auto" w:fill="FFFFFF"/>
              </w:rPr>
              <w:t>Madinah</w:t>
            </w:r>
          </w:p>
        </w:tc>
        <w:tc>
          <w:tcPr>
            <w:tcW w:w="2385" w:type="dxa"/>
            <w:tcBorders>
              <w:bottom w:val="single" w:sz="6" w:space="0" w:color="000000"/>
              <w:right w:val="single" w:sz="6" w:space="0" w:color="000000"/>
            </w:tcBorders>
            <w:tcMar>
              <w:top w:w="0" w:type="dxa"/>
              <w:left w:w="100" w:type="dxa"/>
              <w:bottom w:w="0" w:type="dxa"/>
              <w:right w:w="100" w:type="dxa"/>
            </w:tcMar>
          </w:tcPr>
          <w:p w14:paraId="0B328841" w14:textId="77777777" w:rsidR="00642C10" w:rsidRDefault="00642C10" w:rsidP="00413032">
            <w:pPr>
              <w:spacing w:before="240" w:after="240" w:line="240" w:lineRule="auto"/>
              <w:jc w:val="center"/>
              <w:rPr>
                <w:rFonts w:ascii="Lora" w:eastAsia="Lora" w:hAnsi="Lora" w:cs="Lora"/>
                <w:kern w:val="0"/>
                <w:shd w:val="clear" w:color="auto" w:fill="FFFFFF"/>
              </w:rPr>
            </w:pPr>
            <w:r>
              <w:rPr>
                <w:rFonts w:ascii="Lora" w:eastAsia="Lora" w:hAnsi="Lora" w:cs="Lora"/>
                <w:kern w:val="0"/>
                <w:shd w:val="clear" w:color="auto" w:fill="FFFFFF"/>
              </w:rPr>
              <w:t>0.72</w:t>
            </w:r>
          </w:p>
        </w:tc>
        <w:tc>
          <w:tcPr>
            <w:tcW w:w="2730" w:type="dxa"/>
            <w:tcBorders>
              <w:bottom w:val="single" w:sz="6" w:space="0" w:color="000000"/>
              <w:right w:val="single" w:sz="6" w:space="0" w:color="000000"/>
            </w:tcBorders>
            <w:tcMar>
              <w:top w:w="0" w:type="dxa"/>
              <w:left w:w="100" w:type="dxa"/>
              <w:bottom w:w="0" w:type="dxa"/>
              <w:right w:w="100" w:type="dxa"/>
            </w:tcMar>
          </w:tcPr>
          <w:p w14:paraId="2CA1DCB0" w14:textId="77777777" w:rsidR="00642C10" w:rsidRDefault="00642C10" w:rsidP="00413032">
            <w:pPr>
              <w:spacing w:before="240" w:after="240" w:line="240" w:lineRule="auto"/>
              <w:jc w:val="center"/>
              <w:rPr>
                <w:rFonts w:ascii="Lora" w:eastAsia="Lora" w:hAnsi="Lora" w:cs="Lora"/>
                <w:kern w:val="0"/>
                <w:shd w:val="clear" w:color="auto" w:fill="FFFFFF"/>
              </w:rPr>
            </w:pPr>
            <w:r>
              <w:rPr>
                <w:rFonts w:ascii="Lora" w:eastAsia="Lora" w:hAnsi="Lora" w:cs="Lora"/>
                <w:kern w:val="0"/>
                <w:shd w:val="clear" w:color="auto" w:fill="FFFFFF"/>
              </w:rPr>
              <w:t>0.74</w:t>
            </w:r>
          </w:p>
        </w:tc>
        <w:tc>
          <w:tcPr>
            <w:tcW w:w="2475" w:type="dxa"/>
            <w:tcBorders>
              <w:bottom w:val="single" w:sz="6" w:space="0" w:color="000000"/>
              <w:right w:val="single" w:sz="6" w:space="0" w:color="000000"/>
            </w:tcBorders>
            <w:tcMar>
              <w:top w:w="0" w:type="dxa"/>
              <w:left w:w="100" w:type="dxa"/>
              <w:bottom w:w="0" w:type="dxa"/>
              <w:right w:w="100" w:type="dxa"/>
            </w:tcMar>
          </w:tcPr>
          <w:p w14:paraId="589C12D2" w14:textId="77777777" w:rsidR="00642C10" w:rsidRDefault="00642C10" w:rsidP="00413032">
            <w:pPr>
              <w:spacing w:before="240" w:after="240" w:line="240" w:lineRule="auto"/>
              <w:jc w:val="center"/>
              <w:rPr>
                <w:rFonts w:ascii="Lora" w:eastAsia="Lora" w:hAnsi="Lora" w:cs="Lora"/>
                <w:kern w:val="0"/>
                <w:shd w:val="clear" w:color="auto" w:fill="FFFFFF"/>
              </w:rPr>
            </w:pPr>
            <w:r>
              <w:rPr>
                <w:rFonts w:ascii="Lora" w:eastAsia="Lora" w:hAnsi="Lora" w:cs="Lora"/>
                <w:kern w:val="0"/>
                <w:shd w:val="clear" w:color="auto" w:fill="FFFFFF"/>
              </w:rPr>
              <w:t>0.92</w:t>
            </w:r>
          </w:p>
        </w:tc>
      </w:tr>
    </w:tbl>
    <w:p w14:paraId="47347AC8" w14:textId="77777777" w:rsidR="00642C10" w:rsidRDefault="00642C10" w:rsidP="00642C10">
      <w:pPr>
        <w:spacing w:before="240" w:after="240" w:line="360" w:lineRule="auto"/>
        <w:rPr>
          <w:rFonts w:ascii="Lora" w:hAnsi="Lora"/>
          <w:b/>
          <w:bCs/>
          <w:sz w:val="32"/>
          <w:szCs w:val="32"/>
        </w:rPr>
      </w:pPr>
      <w:r>
        <w:rPr>
          <w:rFonts w:ascii="Lora" w:hAnsi="Lora"/>
          <w:b/>
          <w:bCs/>
          <w:sz w:val="32"/>
          <w:szCs w:val="32"/>
        </w:rPr>
        <w:t>Appendix E: Population Density Mapping</w:t>
      </w:r>
    </w:p>
    <w:p w14:paraId="43572D30" w14:textId="77777777" w:rsidR="00642C10" w:rsidRDefault="00642C10" w:rsidP="00642C10">
      <w:pPr>
        <w:spacing w:before="240" w:after="240"/>
        <w:jc w:val="center"/>
      </w:pPr>
      <w:r>
        <w:rPr>
          <w:rFonts w:ascii="Lora" w:eastAsia="Lora" w:hAnsi="Lora" w:cs="Lora"/>
          <w:noProof/>
          <w:kern w:val="0"/>
          <w:sz w:val="28"/>
          <w:szCs w:val="28"/>
        </w:rPr>
        <w:drawing>
          <wp:inline distT="0" distB="0" distL="0" distR="0" wp14:anchorId="12F0CC07" wp14:editId="3ACFD700">
            <wp:extent cx="7267578" cy="8286750"/>
            <wp:effectExtent l="0" t="0" r="9522" b="0"/>
            <wp:docPr id="2097064436" name="image23.png" descr="A collage of images of a city&#10;&#10;AI-generated content may b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rcRect/>
                    <a:stretch>
                      <a:fillRect/>
                    </a:stretch>
                  </pic:blipFill>
                  <pic:spPr>
                    <a:xfrm>
                      <a:off x="0" y="0"/>
                      <a:ext cx="7267578" cy="8286750"/>
                    </a:xfrm>
                    <a:prstGeom prst="rect">
                      <a:avLst/>
                    </a:prstGeom>
                    <a:noFill/>
                    <a:ln>
                      <a:noFill/>
                      <a:prstDash/>
                    </a:ln>
                  </pic:spPr>
                </pic:pic>
              </a:graphicData>
            </a:graphic>
          </wp:inline>
        </w:drawing>
      </w:r>
    </w:p>
    <w:p w14:paraId="026D5ED0" w14:textId="77777777" w:rsidR="00642C10" w:rsidRDefault="00642C10" w:rsidP="00642C10">
      <w:pPr>
        <w:spacing w:before="240" w:after="240"/>
        <w:jc w:val="center"/>
        <w:rPr>
          <w:rFonts w:ascii="Lora" w:eastAsia="Lora" w:hAnsi="Lora" w:cs="Lora"/>
          <w:kern w:val="0"/>
        </w:rPr>
      </w:pPr>
      <w:r>
        <w:rPr>
          <w:rFonts w:ascii="Lora" w:eastAsia="Lora" w:hAnsi="Lora" w:cs="Lora"/>
          <w:kern w:val="0"/>
        </w:rPr>
        <w:t>Figure E1. Decadal changes in population density derived from GHSL (1985–2025).Each column represents a decadal difference map from left to right (1985–1995), (1995–2005), (2005–2015), and (2015–2025). Rows correspond to the four study cities from top to bottom: Madinah, Riyadh, Makkah, and Jeddah. Brighter cyan values indicate areas of increasing population density, while darker purple tones represent stable or low-density regions.</w:t>
      </w:r>
    </w:p>
    <w:p w14:paraId="38DAF2E8" w14:textId="77777777" w:rsidR="00642C10" w:rsidRDefault="00642C10" w:rsidP="00642C10">
      <w:pPr>
        <w:spacing w:before="240" w:after="240" w:line="360" w:lineRule="auto"/>
        <w:rPr>
          <w:rFonts w:ascii="Lora" w:hAnsi="Lora"/>
          <w:sz w:val="32"/>
          <w:szCs w:val="32"/>
        </w:rPr>
      </w:pPr>
    </w:p>
    <w:p w14:paraId="2369C759" w14:textId="77777777" w:rsidR="00DE6AE2" w:rsidRDefault="00DE6AE2"/>
    <w:sectPr w:rsidR="00DE6AE2" w:rsidSect="00642C10">
      <w:pgSz w:w="16838" w:h="23811"/>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Lora">
    <w:charset w:val="00"/>
    <w:family w:val="auto"/>
    <w:pitch w:val="variable"/>
    <w:sig w:usb0="A00002FF" w:usb1="5000204B" w:usb2="00000000" w:usb3="00000000" w:csb0="00000097"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C10"/>
    <w:rsid w:val="00195413"/>
    <w:rsid w:val="001D7021"/>
    <w:rsid w:val="003D0186"/>
    <w:rsid w:val="00642C10"/>
    <w:rsid w:val="007278E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51944"/>
  <w15:chartTrackingRefBased/>
  <w15:docId w15:val="{B696430E-5701-4E15-AF51-90EB6176C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2C10"/>
    <w:pPr>
      <w:suppressAutoHyphens/>
      <w:autoSpaceDN w:val="0"/>
      <w:spacing w:line="276" w:lineRule="auto"/>
      <w:textAlignment w:val="baseline"/>
    </w:pPr>
    <w:rPr>
      <w:rFonts w:ascii="Calibri" w:eastAsia="Calibri" w:hAnsi="Calibri" w:cs="Arial"/>
      <w:kern w:val="3"/>
      <w:lang w:val="en-GB"/>
      <w14:ligatures w14:val="none"/>
    </w:rPr>
  </w:style>
  <w:style w:type="paragraph" w:styleId="Heading1">
    <w:name w:val="heading 1"/>
    <w:basedOn w:val="Normal"/>
    <w:next w:val="Normal"/>
    <w:link w:val="Heading1Char"/>
    <w:uiPriority w:val="9"/>
    <w:qFormat/>
    <w:rsid w:val="00642C10"/>
    <w:pPr>
      <w:keepNext/>
      <w:keepLines/>
      <w:suppressAutoHyphens w:val="0"/>
      <w:autoSpaceDN/>
      <w:spacing w:before="360" w:after="80" w:line="278" w:lineRule="auto"/>
      <w:textAlignment w:val="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642C10"/>
    <w:pPr>
      <w:keepNext/>
      <w:keepLines/>
      <w:suppressAutoHyphens w:val="0"/>
      <w:autoSpaceDN/>
      <w:spacing w:before="160" w:after="80" w:line="278" w:lineRule="auto"/>
      <w:textAlignment w:val="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642C10"/>
    <w:pPr>
      <w:keepNext/>
      <w:keepLines/>
      <w:suppressAutoHyphens w:val="0"/>
      <w:autoSpaceDN/>
      <w:spacing w:before="160" w:after="80" w:line="278" w:lineRule="auto"/>
      <w:textAlignment w:val="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642C10"/>
    <w:pPr>
      <w:keepNext/>
      <w:keepLines/>
      <w:suppressAutoHyphens w:val="0"/>
      <w:autoSpaceDN/>
      <w:spacing w:before="80" w:after="40" w:line="278" w:lineRule="auto"/>
      <w:textAlignment w:val="auto"/>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642C10"/>
    <w:pPr>
      <w:keepNext/>
      <w:keepLines/>
      <w:suppressAutoHyphens w:val="0"/>
      <w:autoSpaceDN/>
      <w:spacing w:before="80" w:after="40" w:line="278" w:lineRule="auto"/>
      <w:textAlignment w:val="auto"/>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642C10"/>
    <w:pPr>
      <w:keepNext/>
      <w:keepLines/>
      <w:suppressAutoHyphens w:val="0"/>
      <w:autoSpaceDN/>
      <w:spacing w:before="40" w:after="0" w:line="278" w:lineRule="auto"/>
      <w:textAlignment w:val="auto"/>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642C10"/>
    <w:pPr>
      <w:keepNext/>
      <w:keepLines/>
      <w:suppressAutoHyphens w:val="0"/>
      <w:autoSpaceDN/>
      <w:spacing w:before="40" w:after="0" w:line="278" w:lineRule="auto"/>
      <w:textAlignment w:val="auto"/>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642C10"/>
    <w:pPr>
      <w:keepNext/>
      <w:keepLines/>
      <w:suppressAutoHyphens w:val="0"/>
      <w:autoSpaceDN/>
      <w:spacing w:after="0" w:line="278" w:lineRule="auto"/>
      <w:textAlignment w:val="auto"/>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642C10"/>
    <w:pPr>
      <w:keepNext/>
      <w:keepLines/>
      <w:suppressAutoHyphens w:val="0"/>
      <w:autoSpaceDN/>
      <w:spacing w:after="0" w:line="278" w:lineRule="auto"/>
      <w:textAlignment w:val="auto"/>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2C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2C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2C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2C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2C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2C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2C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2C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2C10"/>
    <w:rPr>
      <w:rFonts w:eastAsiaTheme="majorEastAsia" w:cstheme="majorBidi"/>
      <w:color w:val="272727" w:themeColor="text1" w:themeTint="D8"/>
    </w:rPr>
  </w:style>
  <w:style w:type="paragraph" w:styleId="Title">
    <w:name w:val="Title"/>
    <w:basedOn w:val="Normal"/>
    <w:next w:val="Normal"/>
    <w:link w:val="TitleChar"/>
    <w:uiPriority w:val="10"/>
    <w:qFormat/>
    <w:rsid w:val="00642C10"/>
    <w:pPr>
      <w:suppressAutoHyphens w:val="0"/>
      <w:autoSpaceDN/>
      <w:spacing w:after="80" w:line="240" w:lineRule="auto"/>
      <w:contextualSpacing/>
      <w:textAlignment w:val="auto"/>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642C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2C10"/>
    <w:pPr>
      <w:numPr>
        <w:ilvl w:val="1"/>
      </w:numPr>
      <w:suppressAutoHyphens w:val="0"/>
      <w:autoSpaceDN/>
      <w:spacing w:line="278" w:lineRule="auto"/>
      <w:textAlignment w:val="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642C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2C10"/>
    <w:pPr>
      <w:suppressAutoHyphens w:val="0"/>
      <w:autoSpaceDN/>
      <w:spacing w:before="160" w:line="278" w:lineRule="auto"/>
      <w:jc w:val="center"/>
      <w:textAlignment w:val="auto"/>
    </w:pPr>
    <w:rPr>
      <w:rFonts w:asciiTheme="minorHAnsi" w:eastAsiaTheme="minorHAnsi"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642C10"/>
    <w:rPr>
      <w:i/>
      <w:iCs/>
      <w:color w:val="404040" w:themeColor="text1" w:themeTint="BF"/>
    </w:rPr>
  </w:style>
  <w:style w:type="paragraph" w:styleId="ListParagraph">
    <w:name w:val="List Paragraph"/>
    <w:basedOn w:val="Normal"/>
    <w:uiPriority w:val="34"/>
    <w:qFormat/>
    <w:rsid w:val="00642C10"/>
    <w:pPr>
      <w:suppressAutoHyphens w:val="0"/>
      <w:autoSpaceDN/>
      <w:spacing w:line="278" w:lineRule="auto"/>
      <w:ind w:left="720"/>
      <w:contextualSpacing/>
      <w:textAlignment w:val="auto"/>
    </w:pPr>
    <w:rPr>
      <w:rFonts w:asciiTheme="minorHAnsi" w:eastAsiaTheme="minorHAnsi" w:hAnsiTheme="minorHAnsi" w:cstheme="minorBidi"/>
      <w:kern w:val="2"/>
      <w:lang w:val="en-US"/>
      <w14:ligatures w14:val="standardContextual"/>
    </w:rPr>
  </w:style>
  <w:style w:type="character" w:styleId="IntenseEmphasis">
    <w:name w:val="Intense Emphasis"/>
    <w:basedOn w:val="DefaultParagraphFont"/>
    <w:uiPriority w:val="21"/>
    <w:qFormat/>
    <w:rsid w:val="00642C10"/>
    <w:rPr>
      <w:i/>
      <w:iCs/>
      <w:color w:val="0F4761" w:themeColor="accent1" w:themeShade="BF"/>
    </w:rPr>
  </w:style>
  <w:style w:type="paragraph" w:styleId="IntenseQuote">
    <w:name w:val="Intense Quote"/>
    <w:basedOn w:val="Normal"/>
    <w:next w:val="Normal"/>
    <w:link w:val="IntenseQuoteChar"/>
    <w:uiPriority w:val="30"/>
    <w:qFormat/>
    <w:rsid w:val="00642C10"/>
    <w:pPr>
      <w:pBdr>
        <w:top w:val="single" w:sz="4" w:space="10" w:color="0F4761" w:themeColor="accent1" w:themeShade="BF"/>
        <w:bottom w:val="single" w:sz="4" w:space="10" w:color="0F4761" w:themeColor="accent1" w:themeShade="BF"/>
      </w:pBdr>
      <w:suppressAutoHyphens w:val="0"/>
      <w:autoSpaceDN/>
      <w:spacing w:before="360" w:after="360" w:line="278" w:lineRule="auto"/>
      <w:ind w:left="864" w:right="864"/>
      <w:jc w:val="center"/>
      <w:textAlignment w:val="auto"/>
    </w:pPr>
    <w:rPr>
      <w:rFonts w:asciiTheme="minorHAnsi" w:eastAsiaTheme="minorHAnsi"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642C10"/>
    <w:rPr>
      <w:i/>
      <w:iCs/>
      <w:color w:val="0F4761" w:themeColor="accent1" w:themeShade="BF"/>
    </w:rPr>
  </w:style>
  <w:style w:type="character" w:styleId="IntenseReference">
    <w:name w:val="Intense Reference"/>
    <w:basedOn w:val="DefaultParagraphFont"/>
    <w:uiPriority w:val="32"/>
    <w:qFormat/>
    <w:rsid w:val="00642C1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1140</Words>
  <Characters>7424</Characters>
  <Application>Microsoft Office Word</Application>
  <DocSecurity>0</DocSecurity>
  <Lines>128</Lines>
  <Paragraphs>59</Paragraphs>
  <ScaleCrop>false</ScaleCrop>
  <Company>Springer Nature</Company>
  <LinksUpToDate>false</LinksUpToDate>
  <CharactersWithSpaces>8505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2026-01-05T05:47:00Z</dcterms:created>
  <dcterms:modified xsi:type="dcterms:W3CDTF">2026-01-05T05:48:00Z</dcterms:modified>
</cp:coreProperties>
</file>