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146A92" w14:textId="77777777" w:rsidR="006721F5" w:rsidRPr="00C10DFE" w:rsidRDefault="006721F5" w:rsidP="006721F5">
      <w:pPr>
        <w:pStyle w:val="Title2"/>
        <w:rPr>
          <w:b w:val="0"/>
          <w:color w:val="000000"/>
          <w:sz w:val="32"/>
          <w:szCs w:val="32"/>
        </w:rPr>
      </w:pPr>
      <w:bookmarkStart w:id="0" w:name="_GoBack"/>
      <w:bookmarkEnd w:id="0"/>
      <w:r w:rsidRPr="00C10DFE">
        <w:rPr>
          <w:b w:val="0"/>
          <w:color w:val="000000"/>
          <w:sz w:val="32"/>
          <w:szCs w:val="32"/>
        </w:rPr>
        <w:t xml:space="preserve">Supporting Information </w:t>
      </w:r>
    </w:p>
    <w:p w14:paraId="7C2ECD7F" w14:textId="77777777" w:rsidR="006721F5" w:rsidRPr="00C10DFE" w:rsidRDefault="006721F5" w:rsidP="006721F5">
      <w:pPr>
        <w:pStyle w:val="Title2"/>
        <w:rPr>
          <w:b w:val="0"/>
          <w:color w:val="FF0000"/>
        </w:rPr>
      </w:pPr>
      <w:r w:rsidRPr="00C10DFE">
        <w:t>Magnetic Nanoparticles to Unique DNA Tracers – Effect of Functionalization on Physico-Chemical Properties.</w:t>
      </w:r>
    </w:p>
    <w:p w14:paraId="44234EAB" w14:textId="77777777" w:rsidR="006154F3" w:rsidRPr="00C10DFE" w:rsidRDefault="006154F3" w:rsidP="006721F5">
      <w:pPr>
        <w:pStyle w:val="AuthorsFull"/>
      </w:pPr>
    </w:p>
    <w:p w14:paraId="36E2657D" w14:textId="26D13D24" w:rsidR="006721F5" w:rsidRPr="00C10DFE" w:rsidRDefault="006721F5" w:rsidP="006721F5">
      <w:pPr>
        <w:pStyle w:val="AuthorsFull"/>
      </w:pPr>
      <w:r w:rsidRPr="00C10DFE">
        <w:t>Anuvansh Sharma</w:t>
      </w:r>
      <w:r w:rsidRPr="00C10DFE">
        <w:rPr>
          <w:vertAlign w:val="superscript"/>
        </w:rPr>
        <w:t>1</w:t>
      </w:r>
      <w:r w:rsidRPr="00C10DFE">
        <w:t>, Jan Willem Foppen</w:t>
      </w:r>
      <w:r w:rsidRPr="00C10DFE">
        <w:rPr>
          <w:vertAlign w:val="superscript"/>
        </w:rPr>
        <w:t>2</w:t>
      </w:r>
      <w:r w:rsidRPr="00C10DFE">
        <w:t>, Abhishek Banerjee</w:t>
      </w:r>
      <w:r w:rsidRPr="00C10DFE">
        <w:rPr>
          <w:vertAlign w:val="superscript"/>
        </w:rPr>
        <w:t>1</w:t>
      </w:r>
      <w:r w:rsidRPr="00C10DFE">
        <w:t>, Slimani Sawssen</w:t>
      </w:r>
      <w:r w:rsidRPr="00C10DFE">
        <w:rPr>
          <w:vertAlign w:val="superscript"/>
        </w:rPr>
        <w:t>3,4</w:t>
      </w:r>
      <w:r w:rsidRPr="00C10DFE">
        <w:t>, Nirmalya Bachhar</w:t>
      </w:r>
      <w:r w:rsidRPr="00C10DFE">
        <w:rPr>
          <w:vertAlign w:val="superscript"/>
        </w:rPr>
        <w:t>5</w:t>
      </w:r>
      <w:r w:rsidRPr="00C10DFE">
        <w:t>, Davide Peddis</w:t>
      </w:r>
      <w:r w:rsidRPr="00C10DFE">
        <w:rPr>
          <w:vertAlign w:val="superscript"/>
        </w:rPr>
        <w:t>3,4</w:t>
      </w:r>
      <w:r w:rsidRPr="00C10DFE">
        <w:t>, Sulalit Bandyopadhyay</w:t>
      </w:r>
      <w:r w:rsidRPr="00C10DFE">
        <w:rPr>
          <w:vertAlign w:val="superscript"/>
        </w:rPr>
        <w:t>6,7*</w:t>
      </w:r>
    </w:p>
    <w:p w14:paraId="38FEECDA" w14:textId="77777777" w:rsidR="006154F3" w:rsidRPr="00C10DFE" w:rsidRDefault="006154F3" w:rsidP="006721F5">
      <w:pPr>
        <w:pStyle w:val="AuthorsFull"/>
      </w:pPr>
    </w:p>
    <w:p w14:paraId="3E27E99A" w14:textId="260F6E15" w:rsidR="006721F5" w:rsidRPr="00C10DFE" w:rsidRDefault="006721F5" w:rsidP="006721F5">
      <w:pPr>
        <w:pStyle w:val="AuthorsFull"/>
      </w:pPr>
      <w:r w:rsidRPr="00C10DFE">
        <w:t>1</w:t>
      </w:r>
      <w:r w:rsidRPr="00C10DFE">
        <w:tab/>
        <w:t>Department of Materials Science and Engineering, NTNU Norwegian University of Science and technology, N-7491 Trondheim, Norway.</w:t>
      </w:r>
    </w:p>
    <w:p w14:paraId="1C398FDD" w14:textId="77777777" w:rsidR="006721F5" w:rsidRPr="00C10DFE" w:rsidRDefault="006721F5" w:rsidP="006721F5">
      <w:pPr>
        <w:pStyle w:val="AuthorsFull"/>
      </w:pPr>
      <w:r w:rsidRPr="00C10DFE">
        <w:t>2</w:t>
      </w:r>
      <w:r w:rsidRPr="00C10DFE">
        <w:tab/>
        <w:t>Water Science and Engineering, IHE Delft Institute for Water Education, Delft, Netherlands.</w:t>
      </w:r>
    </w:p>
    <w:p w14:paraId="6750DFBC" w14:textId="77777777" w:rsidR="006721F5" w:rsidRPr="00A71BF8" w:rsidRDefault="006721F5" w:rsidP="006721F5">
      <w:pPr>
        <w:pStyle w:val="AuthorsFull"/>
        <w:rPr>
          <w:lang w:val="es-ES"/>
        </w:rPr>
      </w:pPr>
      <w:r w:rsidRPr="00A71BF8">
        <w:rPr>
          <w:lang w:val="es-ES"/>
        </w:rPr>
        <w:t>3</w:t>
      </w:r>
      <w:r w:rsidRPr="00A71BF8">
        <w:rPr>
          <w:lang w:val="es-ES"/>
        </w:rPr>
        <w:tab/>
        <w:t>Dipartimento di Chimica e Chimica Industriale, Università di Genova, Genova, Italy</w:t>
      </w:r>
    </w:p>
    <w:p w14:paraId="24A40FF5" w14:textId="77777777" w:rsidR="006721F5" w:rsidRPr="00A71BF8" w:rsidRDefault="006721F5" w:rsidP="006721F5">
      <w:pPr>
        <w:pStyle w:val="AuthorsFull"/>
        <w:rPr>
          <w:lang w:val="es-ES"/>
        </w:rPr>
      </w:pPr>
      <w:r w:rsidRPr="00A71BF8">
        <w:rPr>
          <w:lang w:val="es-ES"/>
        </w:rPr>
        <w:t>4</w:t>
      </w:r>
      <w:r w:rsidRPr="00A71BF8">
        <w:rPr>
          <w:lang w:val="es-ES"/>
        </w:rPr>
        <w:tab/>
        <w:t>Istituto di Struttura della Materia – CNR, Area della Ricerca di Roma1, Monterondo Scalo, RM 00015, Italy</w:t>
      </w:r>
    </w:p>
    <w:p w14:paraId="4504E99E" w14:textId="77777777" w:rsidR="006721F5" w:rsidRPr="00C10DFE" w:rsidRDefault="006721F5" w:rsidP="006721F5">
      <w:pPr>
        <w:pStyle w:val="AuthorsFull"/>
      </w:pPr>
      <w:r w:rsidRPr="00C10DFE">
        <w:t>5</w:t>
      </w:r>
      <w:r w:rsidRPr="00C10DFE">
        <w:tab/>
        <w:t>Department of Chemical Engineering, Indian Institute of Technology Bombay, Powai, Mumbai 400076, India</w:t>
      </w:r>
    </w:p>
    <w:p w14:paraId="68833467" w14:textId="77777777" w:rsidR="006721F5" w:rsidRPr="00C10DFE" w:rsidRDefault="006721F5" w:rsidP="006721F5">
      <w:pPr>
        <w:pStyle w:val="AuthorsFull"/>
      </w:pPr>
      <w:r w:rsidRPr="00C10DFE">
        <w:t>6</w:t>
      </w:r>
      <w:r w:rsidRPr="00C10DFE">
        <w:tab/>
        <w:t>Department of Water Management, Delft University of Technology (TU Delft), Netherlands.</w:t>
      </w:r>
    </w:p>
    <w:p w14:paraId="0C7E43BD" w14:textId="77777777" w:rsidR="006721F5" w:rsidRPr="00C10DFE" w:rsidRDefault="006721F5" w:rsidP="006721F5">
      <w:pPr>
        <w:pStyle w:val="AuthorsFull"/>
      </w:pPr>
      <w:r w:rsidRPr="00C10DFE">
        <w:t>7</w:t>
      </w:r>
      <w:r w:rsidRPr="00C10DFE">
        <w:tab/>
        <w:t>Department of Chemical Engineering, NTNU Norwegian University of Science and technology, N-7491 Trondheim, Norway.</w:t>
      </w:r>
    </w:p>
    <w:p w14:paraId="62F967D9" w14:textId="77777777" w:rsidR="006721F5" w:rsidRPr="00C10DFE" w:rsidRDefault="006721F5" w:rsidP="006721F5">
      <w:pPr>
        <w:pStyle w:val="AuthorsFull"/>
      </w:pPr>
    </w:p>
    <w:p w14:paraId="1511E6E5" w14:textId="57D56FA0" w:rsidR="006721F5" w:rsidRDefault="006721F5" w:rsidP="006721F5">
      <w:pPr>
        <w:pStyle w:val="AuthorsFull"/>
      </w:pPr>
      <w:r w:rsidRPr="00C10DFE">
        <w:t>*</w:t>
      </w:r>
      <w:r w:rsidRPr="00C10DFE">
        <w:tab/>
        <w:t>Correspondence: sulalit.bandyopadhyay@ntnu.no Tel.: +47-45071041</w:t>
      </w:r>
    </w:p>
    <w:p w14:paraId="32283F3E" w14:textId="60A268E3" w:rsidR="00A03086" w:rsidRDefault="00A03086" w:rsidP="006721F5">
      <w:pPr>
        <w:pStyle w:val="AuthorsFull"/>
      </w:pPr>
    </w:p>
    <w:p w14:paraId="519EC805" w14:textId="77777777" w:rsidR="000C2B91" w:rsidRPr="00C10DFE" w:rsidRDefault="000C2B91" w:rsidP="006721F5">
      <w:pPr>
        <w:pStyle w:val="AuthorsFull"/>
      </w:pPr>
    </w:p>
    <w:p w14:paraId="463EC5C6" w14:textId="41DAC61F" w:rsidR="004E001C" w:rsidRPr="00C10DFE" w:rsidRDefault="00C3226B" w:rsidP="0018419F">
      <w:pPr>
        <w:rPr>
          <w:i/>
          <w:iCs/>
        </w:rPr>
      </w:pPr>
      <w:r w:rsidRPr="00C10DFE">
        <w:rPr>
          <w:i/>
          <w:iCs/>
        </w:rPr>
        <w:lastRenderedPageBreak/>
        <w:t xml:space="preserve">1. </w:t>
      </w:r>
      <w:r w:rsidR="004E001C" w:rsidRPr="00C10DFE">
        <w:rPr>
          <w:i/>
          <w:iCs/>
        </w:rPr>
        <w:t>Materials and Methods</w:t>
      </w:r>
    </w:p>
    <w:p w14:paraId="713621DB" w14:textId="77777777" w:rsidR="004E001C" w:rsidRPr="00C10DFE" w:rsidRDefault="004E001C" w:rsidP="004E001C">
      <w:r w:rsidRPr="00C10DFE">
        <w:t xml:space="preserve">The following dsDNA strands were used for the studies.  </w:t>
      </w:r>
    </w:p>
    <w:p w14:paraId="44BDC219" w14:textId="65463117" w:rsidR="004E001C" w:rsidRPr="00C10DFE" w:rsidRDefault="00C3226B" w:rsidP="0018419F">
      <w:pPr>
        <w:rPr>
          <w:i/>
          <w:iCs/>
        </w:rPr>
      </w:pPr>
      <w:r w:rsidRPr="00C10DFE">
        <w:rPr>
          <w:i/>
          <w:iCs/>
        </w:rPr>
        <w:t xml:space="preserve">1.1. </w:t>
      </w:r>
      <w:r w:rsidR="004E001C" w:rsidRPr="00C10DFE">
        <w:rPr>
          <w:i/>
          <w:iCs/>
        </w:rPr>
        <w:t>T21</w:t>
      </w:r>
    </w:p>
    <w:p w14:paraId="3ECC1685" w14:textId="77777777" w:rsidR="004E001C" w:rsidRPr="00D80539" w:rsidRDefault="004E001C" w:rsidP="00D80539">
      <w:pPr>
        <w:rPr>
          <w:i/>
          <w:iCs/>
        </w:rPr>
      </w:pPr>
      <w:r w:rsidRPr="00C10DFE">
        <w:t xml:space="preserve">Sense: </w:t>
      </w:r>
      <w:r w:rsidRPr="00D80539">
        <w:t>5'–</w:t>
      </w:r>
      <w:r w:rsidRPr="00D80539">
        <w:rPr>
          <w:i/>
          <w:iCs/>
        </w:rPr>
        <w:t>CTG GAT GAT GCG AAT CGA ATC ACA CAC GTA GAG TTC GAA TGT GAT GGC CTA AAA GGA TGA GCA ATA GAG GAG CCT AAA GG–3'</w:t>
      </w:r>
    </w:p>
    <w:p w14:paraId="3688B333" w14:textId="77777777" w:rsidR="004E001C" w:rsidRPr="00C10DFE" w:rsidRDefault="004E001C" w:rsidP="004E001C">
      <w:pPr>
        <w:autoSpaceDE w:val="0"/>
        <w:autoSpaceDN w:val="0"/>
        <w:adjustRightInd w:val="0"/>
        <w:spacing w:line="240" w:lineRule="auto"/>
      </w:pPr>
    </w:p>
    <w:p w14:paraId="354F7EEC" w14:textId="77777777" w:rsidR="004E001C" w:rsidRPr="00D80539" w:rsidRDefault="004E001C" w:rsidP="00D80539">
      <w:pPr>
        <w:rPr>
          <w:i/>
          <w:iCs/>
        </w:rPr>
      </w:pPr>
      <w:r w:rsidRPr="00C10DFE">
        <w:t xml:space="preserve">Antisense: </w:t>
      </w:r>
      <w:r w:rsidRPr="00D80539">
        <w:t>5'–</w:t>
      </w:r>
      <w:r w:rsidRPr="00D80539">
        <w:rPr>
          <w:i/>
          <w:iCs/>
        </w:rPr>
        <w:t>CCT TTA GGC TCC TCT ATT GCT CAT CCT TTT AGG CCA TCA CAT TCG AAC TCT ACG TGT GTG ATT CGA TTC GCA TCA TCC AG–3'</w:t>
      </w:r>
    </w:p>
    <w:p w14:paraId="45C503F1" w14:textId="77777777" w:rsidR="004E001C" w:rsidRPr="00C10DFE" w:rsidRDefault="004E001C" w:rsidP="004E001C">
      <w:pPr>
        <w:autoSpaceDE w:val="0"/>
        <w:autoSpaceDN w:val="0"/>
        <w:adjustRightInd w:val="0"/>
        <w:spacing w:line="240" w:lineRule="auto"/>
      </w:pPr>
    </w:p>
    <w:p w14:paraId="32351715" w14:textId="51B90BAA" w:rsidR="004E001C" w:rsidRPr="00C10DFE" w:rsidRDefault="00C3226B" w:rsidP="0018419F">
      <w:pPr>
        <w:rPr>
          <w:i/>
          <w:iCs/>
        </w:rPr>
      </w:pPr>
      <w:r w:rsidRPr="00C10DFE">
        <w:rPr>
          <w:i/>
          <w:iCs/>
        </w:rPr>
        <w:t xml:space="preserve">1.2. </w:t>
      </w:r>
      <w:r w:rsidR="004E001C" w:rsidRPr="00C10DFE">
        <w:rPr>
          <w:i/>
          <w:iCs/>
        </w:rPr>
        <w:t>GM5</w:t>
      </w:r>
    </w:p>
    <w:p w14:paraId="39C35500" w14:textId="77777777" w:rsidR="004E001C" w:rsidRPr="00C10DFE" w:rsidRDefault="004E001C" w:rsidP="004E001C">
      <w:pPr>
        <w:rPr>
          <w:i/>
          <w:iCs/>
        </w:rPr>
      </w:pPr>
      <w:r w:rsidRPr="00C10DFE">
        <w:t xml:space="preserve">Sense: </w:t>
      </w:r>
      <w:r w:rsidRPr="00C10DFE">
        <w:rPr>
          <w:i/>
          <w:iCs/>
        </w:rPr>
        <w:t>5'–TTC GGA CAA TCC TTT CCA TAT TAC GCT CTG AAG GCT ACT ACT CCT TCT TAT TAA CTG GGT CTC GTT T–3'</w:t>
      </w:r>
    </w:p>
    <w:p w14:paraId="15A0A8B6" w14:textId="77777777" w:rsidR="004E001C" w:rsidRPr="00C10DFE" w:rsidRDefault="004E001C" w:rsidP="004E001C">
      <w:r w:rsidRPr="00C10DFE">
        <w:t xml:space="preserve">Antisense: </w:t>
      </w:r>
      <w:r w:rsidRPr="00C10DFE">
        <w:rPr>
          <w:i/>
          <w:iCs/>
        </w:rPr>
        <w:t>5'–AAA CGA GAC CCA GTT AAT AAG AAG GAG TAG TAG CCT TCA GAG CGT AAT ATG GAA AGG ATT GTC CGA A–3'</w:t>
      </w:r>
    </w:p>
    <w:p w14:paraId="4F74FB13" w14:textId="197E5118" w:rsidR="004E001C" w:rsidRPr="00C10DFE" w:rsidRDefault="00C3226B" w:rsidP="0018419F">
      <w:pPr>
        <w:rPr>
          <w:i/>
          <w:iCs/>
        </w:rPr>
      </w:pPr>
      <w:r w:rsidRPr="00C10DFE">
        <w:rPr>
          <w:i/>
          <w:iCs/>
        </w:rPr>
        <w:t xml:space="preserve">1.3. </w:t>
      </w:r>
      <w:r w:rsidR="004E001C" w:rsidRPr="00C10DFE">
        <w:rPr>
          <w:i/>
          <w:iCs/>
        </w:rPr>
        <w:t xml:space="preserve">GM6 </w:t>
      </w:r>
    </w:p>
    <w:p w14:paraId="55D0E124" w14:textId="77777777" w:rsidR="004E001C" w:rsidRPr="00C10DFE" w:rsidRDefault="004E001C" w:rsidP="004E001C">
      <w:pPr>
        <w:rPr>
          <w:i/>
          <w:iCs/>
        </w:rPr>
      </w:pPr>
      <w:r w:rsidRPr="00C10DFE">
        <w:t xml:space="preserve">Sense: </w:t>
      </w:r>
      <w:r w:rsidRPr="00C10DFE">
        <w:rPr>
          <w:i/>
          <w:iCs/>
        </w:rPr>
        <w:t>5'–TTC TCT GCC CTT ACG TTT ATC TTA AGG GCC GGT CCA CCA GTT GAA CAC GAA CAA ACC TCT TT–3'</w:t>
      </w:r>
    </w:p>
    <w:p w14:paraId="495A08BB" w14:textId="77777777" w:rsidR="004E001C" w:rsidRPr="00C10DFE" w:rsidRDefault="004E001C" w:rsidP="004E001C">
      <w:r w:rsidRPr="00C10DFE">
        <w:t xml:space="preserve">Antisense: </w:t>
      </w:r>
      <w:r w:rsidRPr="00C10DFE">
        <w:rPr>
          <w:i/>
          <w:iCs/>
        </w:rPr>
        <w:t>5'–AAA GAG GTT TGT TCG TGT TCA ACT GGT GGA CCG GCC CTT AAG ATA AAC GTA AGG GCA GAG AA–3'</w:t>
      </w:r>
    </w:p>
    <w:p w14:paraId="1E0DC1EE" w14:textId="77777777" w:rsidR="004E001C" w:rsidRPr="00C10DFE" w:rsidRDefault="004E001C" w:rsidP="004E001C">
      <w:pPr>
        <w:autoSpaceDE w:val="0"/>
        <w:autoSpaceDN w:val="0"/>
        <w:adjustRightInd w:val="0"/>
        <w:spacing w:line="240" w:lineRule="auto"/>
      </w:pPr>
    </w:p>
    <w:p w14:paraId="10D592B1" w14:textId="6E9671BA" w:rsidR="004E001C" w:rsidRPr="00C10DFE" w:rsidRDefault="00C3226B" w:rsidP="0018419F">
      <w:pPr>
        <w:rPr>
          <w:i/>
          <w:iCs/>
        </w:rPr>
      </w:pPr>
      <w:r w:rsidRPr="00C10DFE">
        <w:rPr>
          <w:i/>
          <w:iCs/>
        </w:rPr>
        <w:t xml:space="preserve">2. </w:t>
      </w:r>
      <w:r w:rsidR="004E001C" w:rsidRPr="00C10DFE">
        <w:rPr>
          <w:i/>
          <w:iCs/>
        </w:rPr>
        <w:t>Model and simulation of particle formation and growth</w:t>
      </w:r>
    </w:p>
    <w:p w14:paraId="6C6951DC" w14:textId="386F844D" w:rsidR="004E001C" w:rsidRPr="00C10DFE" w:rsidRDefault="00C3226B" w:rsidP="0018419F">
      <w:pPr>
        <w:rPr>
          <w:i/>
          <w:iCs/>
        </w:rPr>
      </w:pPr>
      <w:r w:rsidRPr="00C10DFE">
        <w:rPr>
          <w:i/>
          <w:iCs/>
        </w:rPr>
        <w:t xml:space="preserve">2.1. </w:t>
      </w:r>
      <w:r w:rsidR="004E001C" w:rsidRPr="00C10DFE">
        <w:rPr>
          <w:i/>
          <w:iCs/>
        </w:rPr>
        <w:t>Nucleation</w:t>
      </w:r>
    </w:p>
    <w:p w14:paraId="1F7662A7" w14:textId="5DA6E0E4" w:rsidR="004E001C" w:rsidRPr="00C10DFE" w:rsidRDefault="004E001C" w:rsidP="004E001C">
      <w:r w:rsidRPr="00C10DFE">
        <w:rPr>
          <w:rStyle w:val="title3"/>
        </w:rPr>
        <w:t>In our model</w:t>
      </w:r>
      <w:r w:rsidR="00D80539">
        <w:rPr>
          <w:rStyle w:val="title3"/>
        </w:rPr>
        <w:t>,</w:t>
      </w:r>
      <w:r w:rsidRPr="00C10DFE">
        <w:rPr>
          <w:rStyle w:val="title3"/>
        </w:rPr>
        <w:t xml:space="preserve"> we assume </w:t>
      </w:r>
      <w:r w:rsidRPr="00C10DFE">
        <w:t>homogeneous nucleation to take place during thermal decomposition and the nucleation frequency, (</w:t>
      </w:r>
      <w:r w:rsidRPr="00C10DFE">
        <w:rPr>
          <w:i/>
        </w:rPr>
        <w:t>f</w:t>
      </w:r>
      <w:r w:rsidRPr="00C10DFE">
        <w:rPr>
          <w:vertAlign w:val="subscript"/>
        </w:rPr>
        <w:t>n</w:t>
      </w:r>
      <w:r w:rsidRPr="00C10DFE">
        <w:t xml:space="preserve">), can be calculated by </w:t>
      </w:r>
      <w:r w:rsidRPr="00C10DFE">
        <w:rPr>
          <w:rStyle w:val="title3"/>
        </w:rPr>
        <w:t xml:space="preserve">classical nucleation theory </w:t>
      </w:r>
      <w:r w:rsidRPr="00C10DFE">
        <w:t>as:</w:t>
      </w:r>
    </w:p>
    <w:p w14:paraId="1BB372B8" w14:textId="77777777" w:rsidR="004E001C" w:rsidRPr="00C10DFE" w:rsidRDefault="004E001C" w:rsidP="004E001C"/>
    <w:p w14:paraId="4E44AC59" w14:textId="41C27D81" w:rsidR="004E001C" w:rsidRPr="00C10DFE" w:rsidRDefault="004E001C" w:rsidP="004E001C">
      <w:r w:rsidRPr="00C10DFE">
        <w:lastRenderedPageBreak/>
        <w:tab/>
      </w:r>
      <w:r w:rsidR="001E1A12">
        <w:rPr>
          <w:position w:val="-4"/>
        </w:rPr>
        <w:pict w14:anchorId="721243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5pt;height:14.85pt">
            <v:imagedata r:id="rId11" o:title=""/>
          </v:shape>
        </w:pict>
      </w:r>
      <w:r w:rsidR="001E1A12">
        <w:rPr>
          <w:position w:val="-52"/>
        </w:rPr>
        <w:pict w14:anchorId="0CE6ACB6">
          <v:shape id="_x0000_i1026" type="#_x0000_t75" style="width:245.75pt;height:57.15pt">
            <v:imagedata r:id="rId12" o:title=""/>
          </v:shape>
        </w:pict>
      </w:r>
      <w:r w:rsidRPr="00C10DFE">
        <w:tab/>
      </w:r>
      <w:r w:rsidRPr="00C10DFE">
        <w:tab/>
      </w:r>
      <w:r w:rsidRPr="00C10DFE">
        <w:tab/>
        <w:t xml:space="preserve"> (</w:t>
      </w:r>
      <w:r w:rsidR="005F64DC" w:rsidRPr="00C10DFE">
        <w:t>S</w:t>
      </w:r>
      <w:r w:rsidRPr="00C10DFE">
        <w:t>1)</w:t>
      </w:r>
    </w:p>
    <w:p w14:paraId="3B94B251" w14:textId="77777777" w:rsidR="004E001C" w:rsidRPr="00C10DFE" w:rsidRDefault="004E001C" w:rsidP="004E001C"/>
    <w:p w14:paraId="687AAC6D" w14:textId="5634AAF3" w:rsidR="00F365DC" w:rsidRDefault="004E001C" w:rsidP="004E001C">
      <w:r w:rsidRPr="00C10DFE">
        <w:t xml:space="preserve">where, </w:t>
      </w:r>
      <w:r w:rsidRPr="00C10DFE">
        <w:rPr>
          <w:i/>
        </w:rPr>
        <w:t>λ</w:t>
      </w:r>
      <w:r w:rsidRPr="00C10DFE">
        <w:rPr>
          <w:i/>
          <w:vertAlign w:val="subscript"/>
        </w:rPr>
        <w:t>l</w:t>
      </w:r>
      <w:r w:rsidRPr="00C10DFE">
        <w:t xml:space="preserve"> is the degree of supersaturation,</w:t>
      </w:r>
      <w:r w:rsidR="004F206A">
        <w:t xml:space="preserve"> defined by:</w:t>
      </w:r>
      <w:r w:rsidRPr="00C10DFE">
        <w:t xml:space="preserve"> </w:t>
      </w:r>
    </w:p>
    <w:p w14:paraId="3F592AFD" w14:textId="7058B79A" w:rsidR="004348D4" w:rsidRDefault="004719C7" w:rsidP="004E001C">
      <w:r w:rsidRPr="00EA2884">
        <w:rPr>
          <w:position w:val="-24"/>
        </w:rPr>
        <w:object w:dxaOrig="960" w:dyaOrig="620" w14:anchorId="35CE9027">
          <v:shape id="_x0000_i1027" type="#_x0000_t75" style="width:46.95pt;height:29.75pt" o:ole="">
            <v:imagedata r:id="rId13" o:title=""/>
          </v:shape>
          <o:OLEObject Type="Embed" ProgID="Equation.DSMT4" ShapeID="_x0000_i1027" DrawAspect="Content" ObjectID="_1657614825" r:id="rId14"/>
        </w:object>
      </w:r>
      <w:r>
        <w:tab/>
      </w:r>
      <w:r>
        <w:tab/>
      </w:r>
      <w:r>
        <w:tab/>
      </w:r>
      <w:r>
        <w:tab/>
        <w:t>(S2)</w:t>
      </w:r>
    </w:p>
    <w:p w14:paraId="52899B0D" w14:textId="2956D10E" w:rsidR="004E001C" w:rsidRPr="00C10DFE" w:rsidRDefault="00581693" w:rsidP="004E001C">
      <w:r w:rsidRPr="00590F0B">
        <w:t>and</w:t>
      </w:r>
      <w:r w:rsidRPr="00590F0B">
        <w:rPr>
          <w:i/>
          <w:iCs/>
        </w:rPr>
        <w:t xml:space="preserve"> </w:t>
      </w:r>
      <w:r w:rsidR="004E001C" w:rsidRPr="00590F0B">
        <w:rPr>
          <w:i/>
          <w:iCs/>
        </w:rPr>
        <w:t>V, A</w:t>
      </w:r>
      <w:r w:rsidR="004E001C" w:rsidRPr="00590F0B">
        <w:t xml:space="preserve">, </w:t>
      </w:r>
      <w:r w:rsidR="004E001C" w:rsidRPr="00590F0B">
        <w:rPr>
          <w:i/>
          <w:iCs/>
        </w:rPr>
        <w:t>σ</w:t>
      </w:r>
      <w:r w:rsidR="004E001C" w:rsidRPr="00590F0B">
        <w:t xml:space="preserve">, </w:t>
      </w:r>
      <w:r w:rsidR="004E001C" w:rsidRPr="00590F0B">
        <w:rPr>
          <w:i/>
        </w:rPr>
        <w:t>k</w:t>
      </w:r>
      <w:r w:rsidR="004E001C" w:rsidRPr="00590F0B">
        <w:rPr>
          <w:vertAlign w:val="subscript"/>
        </w:rPr>
        <w:t>B</w:t>
      </w:r>
      <w:r w:rsidR="004E001C" w:rsidRPr="00590F0B">
        <w:t xml:space="preserve">, </w:t>
      </w:r>
      <w:r w:rsidR="004E001C" w:rsidRPr="00590F0B">
        <w:rPr>
          <w:i/>
        </w:rPr>
        <w:t>T</w:t>
      </w:r>
      <w:r w:rsidR="004E001C" w:rsidRPr="00590F0B">
        <w:t xml:space="preserve">, </w:t>
      </w:r>
      <w:r w:rsidR="004E001C" w:rsidRPr="00590F0B">
        <w:rPr>
          <w:i/>
        </w:rPr>
        <w:t>S</w:t>
      </w:r>
      <w:r w:rsidR="004E001C" w:rsidRPr="00590F0B">
        <w:t xml:space="preserve">, </w:t>
      </w:r>
      <w:r w:rsidR="004E001C" w:rsidRPr="00590F0B">
        <w:rPr>
          <w:i/>
        </w:rPr>
        <w:t>C</w:t>
      </w:r>
      <w:r w:rsidR="004E001C" w:rsidRPr="00590F0B">
        <w:t>(</w:t>
      </w:r>
      <w:r w:rsidR="004E001C" w:rsidRPr="00590F0B">
        <w:rPr>
          <w:i/>
        </w:rPr>
        <w:t>l</w:t>
      </w:r>
      <w:r w:rsidR="004E001C" w:rsidRPr="00590F0B">
        <w:t xml:space="preserve">) and </w:t>
      </w:r>
      <w:r w:rsidR="004E001C" w:rsidRPr="00590F0B">
        <w:rPr>
          <w:i/>
        </w:rPr>
        <w:t>V</w:t>
      </w:r>
      <w:r w:rsidR="004E001C" w:rsidRPr="00590F0B">
        <w:rPr>
          <w:vertAlign w:val="subscript"/>
        </w:rPr>
        <w:t>m</w:t>
      </w:r>
      <w:r w:rsidR="004E001C" w:rsidRPr="00590F0B">
        <w:rPr>
          <w:i/>
          <w:iCs/>
        </w:rPr>
        <w:t xml:space="preserve"> </w:t>
      </w:r>
      <w:r w:rsidR="004E001C" w:rsidRPr="00590F0B">
        <w:t>are total volume</w:t>
      </w:r>
      <w:r w:rsidR="004E001C" w:rsidRPr="00C10DFE">
        <w:t xml:space="preserve"> of liquid solution, pre-exponential factor, interfacial tension between solid nuclei and the surrounding liquid, Boltzmann constant, temperature, solubility of product molecule (</w:t>
      </w:r>
      <w:r w:rsidR="004E001C" w:rsidRPr="00C10DFE">
        <w:rPr>
          <w:rStyle w:val="title3"/>
        </w:rPr>
        <w:t>Fe</w:t>
      </w:r>
      <w:r w:rsidR="004E001C" w:rsidRPr="00C10DFE">
        <w:rPr>
          <w:rStyle w:val="title3"/>
          <w:vertAlign w:val="subscript"/>
        </w:rPr>
        <w:t>3</w:t>
      </w:r>
      <w:r w:rsidR="004E001C" w:rsidRPr="00C10DFE">
        <w:rPr>
          <w:rStyle w:val="title3"/>
        </w:rPr>
        <w:t>O</w:t>
      </w:r>
      <w:r w:rsidR="004E001C" w:rsidRPr="00C10DFE">
        <w:rPr>
          <w:rStyle w:val="title3"/>
          <w:vertAlign w:val="subscript"/>
        </w:rPr>
        <w:t>4</w:t>
      </w:r>
      <w:r w:rsidR="004E001C" w:rsidRPr="00C10DFE">
        <w:t xml:space="preserve">), concentration of </w:t>
      </w:r>
      <w:r w:rsidR="004E001C" w:rsidRPr="00C10DFE">
        <w:rPr>
          <w:rStyle w:val="title3"/>
        </w:rPr>
        <w:t>Fe</w:t>
      </w:r>
      <w:r w:rsidR="004E001C" w:rsidRPr="00C10DFE">
        <w:rPr>
          <w:rStyle w:val="title3"/>
          <w:vertAlign w:val="subscript"/>
        </w:rPr>
        <w:t>3</w:t>
      </w:r>
      <w:r w:rsidR="004E001C" w:rsidRPr="00C10DFE">
        <w:rPr>
          <w:rStyle w:val="title3"/>
        </w:rPr>
        <w:t>O</w:t>
      </w:r>
      <w:r w:rsidR="004E001C" w:rsidRPr="00C10DFE">
        <w:rPr>
          <w:rStyle w:val="title3"/>
          <w:vertAlign w:val="subscript"/>
        </w:rPr>
        <w:t>4</w:t>
      </w:r>
      <w:r w:rsidR="004E001C" w:rsidRPr="00C10DFE">
        <w:rPr>
          <w:rStyle w:val="title3"/>
        </w:rPr>
        <w:t xml:space="preserve"> </w:t>
      </w:r>
      <w:r w:rsidR="004E001C" w:rsidRPr="00C10DFE">
        <w:t>in liquid phase and Fe</w:t>
      </w:r>
      <w:r w:rsidR="004E001C" w:rsidRPr="00C10DFE">
        <w:rPr>
          <w:vertAlign w:val="subscript"/>
        </w:rPr>
        <w:t>3</w:t>
      </w:r>
      <w:r w:rsidR="004E001C" w:rsidRPr="00C10DFE">
        <w:t>O</w:t>
      </w:r>
      <w:r w:rsidR="004E001C" w:rsidRPr="00C10DFE">
        <w:rPr>
          <w:vertAlign w:val="subscript"/>
        </w:rPr>
        <w:t>4</w:t>
      </w:r>
      <w:r w:rsidR="004E001C" w:rsidRPr="00C10DFE">
        <w:t xml:space="preserve"> molecular volume, respectively.</w:t>
      </w:r>
      <w:r w:rsidR="00571152" w:rsidRPr="00571152">
        <w:rPr>
          <w:vertAlign w:val="superscript"/>
        </w:rPr>
        <w:fldChar w:fldCharType="begin"/>
      </w:r>
      <w:r w:rsidR="00571152" w:rsidRPr="00571152">
        <w:rPr>
          <w:vertAlign w:val="superscript"/>
        </w:rPr>
        <w:instrText xml:space="preserve"> ADDIN EN.CITE &lt;EndNote&gt;&lt;Cite&gt;&lt;Author&gt;Randolph&lt;/Author&gt;&lt;Year&gt;2012&lt;/Year&gt;&lt;RecNum&gt;1&lt;/RecNum&gt;&lt;DisplayText&gt;[1]&lt;/DisplayText&gt;&lt;record&gt;&lt;rec-number&gt;1&lt;/rec-number&gt;&lt;foreign-keys&gt;&lt;key app="EN" db-id="s5edx5r5efrdsnespva5ezweerf0xavaafs0" timestamp="0"&gt;1&lt;/key&gt;&lt;/foreign-keys&gt;&lt;ref-type name="Book"&gt;6&lt;/ref-type&gt;&lt;contributors&gt;&lt;authors&gt;&lt;author&gt;Randolph, Alan&lt;/author&gt;&lt;/authors&gt;&lt;/contributors&gt;&lt;titles&gt;&lt;title&gt;Theory of particulate processes: analysis and techniques of continuous crystallization&lt;/title&gt;&lt;/titles&gt;&lt;dates&gt;&lt;year&gt;2012&lt;/year&gt;&lt;/dates&gt;&lt;publisher&gt;Elsevier&lt;/publisher&gt;&lt;isbn&gt;0323158498&lt;/isbn&gt;&lt;urls&gt;&lt;/urls&gt;&lt;/record&gt;&lt;/Cite&gt;&lt;/EndNote&gt;</w:instrText>
      </w:r>
      <w:r w:rsidR="00571152" w:rsidRPr="00571152">
        <w:rPr>
          <w:vertAlign w:val="superscript"/>
        </w:rPr>
        <w:fldChar w:fldCharType="separate"/>
      </w:r>
      <w:r w:rsidR="00571152" w:rsidRPr="00571152">
        <w:rPr>
          <w:noProof/>
          <w:vertAlign w:val="superscript"/>
        </w:rPr>
        <w:t>[1]</w:t>
      </w:r>
      <w:r w:rsidR="00571152" w:rsidRPr="00571152">
        <w:rPr>
          <w:vertAlign w:val="superscript"/>
        </w:rPr>
        <w:fldChar w:fldCharType="end"/>
      </w:r>
      <w:r w:rsidR="00D573F9">
        <w:t xml:space="preserve"> </w:t>
      </w:r>
      <w:r w:rsidR="004E001C" w:rsidRPr="00C10DFE">
        <w:t xml:space="preserve">The values of all model and experimental parameters are given in </w:t>
      </w:r>
      <w:r w:rsidR="004E001C" w:rsidRPr="00590F0B">
        <w:rPr>
          <w:b/>
          <w:bCs/>
        </w:rPr>
        <w:t xml:space="preserve">Table </w:t>
      </w:r>
      <w:r w:rsidR="00AA7966" w:rsidRPr="00590F0B">
        <w:rPr>
          <w:b/>
          <w:bCs/>
        </w:rPr>
        <w:t>S</w:t>
      </w:r>
      <w:r w:rsidR="004E001C" w:rsidRPr="00590F0B">
        <w:rPr>
          <w:b/>
          <w:bCs/>
        </w:rPr>
        <w:t>1</w:t>
      </w:r>
      <w:r w:rsidR="004E001C" w:rsidRPr="00C10DFE">
        <w:t>. For critical nuclei size we considered the smallest possible cluster (</w:t>
      </w:r>
      <w:r w:rsidR="004E001C" w:rsidRPr="00C10DFE">
        <w:rPr>
          <w:i/>
          <w:iCs/>
        </w:rPr>
        <w:t>l</w:t>
      </w:r>
      <w:r w:rsidR="004E001C" w:rsidRPr="00C10DFE">
        <w:rPr>
          <w:vertAlign w:val="subscript"/>
        </w:rPr>
        <w:t xml:space="preserve">c </w:t>
      </w:r>
      <w:r w:rsidR="004E001C" w:rsidRPr="00C10DFE">
        <w:t>= 2 molecules, the smallest cluster) in our simulation, since a critical number of 2 is often used for nucleation of a sparingly soluble product.</w:t>
      </w:r>
      <w:r w:rsidR="00420018" w:rsidRPr="002450EA">
        <w:rPr>
          <w:vertAlign w:val="superscript"/>
        </w:rPr>
        <w:fldChar w:fldCharType="begin">
          <w:fldData xml:space="preserve">PEVuZE5vdGU+PENpdGU+PEF1dGhvcj5CYW5keW9wYWRoeWF5YTwvQXV0aG9yPjxZZWFyPjIwMDA8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</w:fldData>
        </w:fldChar>
      </w:r>
      <w:r w:rsidR="002450EA" w:rsidRPr="002450EA">
        <w:rPr>
          <w:vertAlign w:val="superscript"/>
        </w:rPr>
        <w:instrText xml:space="preserve"> ADDIN EN.CITE </w:instrText>
      </w:r>
      <w:r w:rsidR="002450EA" w:rsidRPr="002450EA">
        <w:rPr>
          <w:vertAlign w:val="superscript"/>
        </w:rPr>
        <w:fldChar w:fldCharType="begin">
          <w:fldData xml:space="preserve">PEVuZE5vdGU+PENpdGU+PEF1dGhvcj5CYW5keW9wYWRoeWF5YTwvQXV0aG9yPjxZZWFyPjIwMDA8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</w:fldData>
        </w:fldChar>
      </w:r>
      <w:r w:rsidR="002450EA" w:rsidRPr="002450EA">
        <w:rPr>
          <w:vertAlign w:val="superscript"/>
        </w:rPr>
        <w:instrText xml:space="preserve"> ADDIN EN.CITE.DATA </w:instrText>
      </w:r>
      <w:r w:rsidR="002450EA" w:rsidRPr="002450EA">
        <w:rPr>
          <w:vertAlign w:val="superscript"/>
        </w:rPr>
      </w:r>
      <w:r w:rsidR="002450EA" w:rsidRPr="002450EA">
        <w:rPr>
          <w:vertAlign w:val="superscript"/>
        </w:rPr>
        <w:fldChar w:fldCharType="end"/>
      </w:r>
      <w:r w:rsidR="00420018" w:rsidRPr="002450EA">
        <w:rPr>
          <w:vertAlign w:val="superscript"/>
        </w:rPr>
      </w:r>
      <w:r w:rsidR="00420018" w:rsidRPr="002450EA">
        <w:rPr>
          <w:vertAlign w:val="superscript"/>
        </w:rPr>
        <w:fldChar w:fldCharType="separate"/>
      </w:r>
      <w:r w:rsidR="002450EA" w:rsidRPr="002450EA">
        <w:rPr>
          <w:noProof/>
          <w:vertAlign w:val="superscript"/>
        </w:rPr>
        <w:t>[2-4]</w:t>
      </w:r>
      <w:r w:rsidR="00420018" w:rsidRPr="002450EA">
        <w:rPr>
          <w:vertAlign w:val="superscript"/>
        </w:rPr>
        <w:fldChar w:fldCharType="end"/>
      </w:r>
      <w:r w:rsidR="004E001C" w:rsidRPr="00C10DFE">
        <w:t xml:space="preserve"> </w:t>
      </w:r>
    </w:p>
    <w:p w14:paraId="040E2276" w14:textId="7D280047" w:rsidR="004E001C" w:rsidRPr="00C10DFE" w:rsidRDefault="00C3226B" w:rsidP="0018419F">
      <w:pPr>
        <w:rPr>
          <w:i/>
          <w:iCs/>
        </w:rPr>
      </w:pPr>
      <w:r w:rsidRPr="00C10DFE">
        <w:rPr>
          <w:i/>
          <w:iCs/>
        </w:rPr>
        <w:t xml:space="preserve">2.2. </w:t>
      </w:r>
      <w:r w:rsidR="004E001C" w:rsidRPr="00C10DFE">
        <w:rPr>
          <w:i/>
          <w:iCs/>
        </w:rPr>
        <w:t>Diffusion controlled growth</w:t>
      </w:r>
    </w:p>
    <w:p w14:paraId="2D4CA916" w14:textId="77777777" w:rsidR="004E001C" w:rsidRPr="00C10DFE" w:rsidRDefault="004E001C" w:rsidP="004E001C">
      <w:r w:rsidRPr="00C10DFE">
        <w:t xml:space="preserve">The growth of nanoparticles by diffusion transport of molecules to its surface consists of two steps: (i) diffusion of solute molecule through a boundary layer (diffusion layer) from the bulk to the solid surface and (ii) surface-reaction of solute molecules that bind it to the nanoparticle. Generally, surface-reaction of molecules on the particle surface are very fast, therefore we ignore this step in our model. Hence, diffusion transport driven growth rate of iron oxide nanoparticles can be written as, </w:t>
      </w:r>
    </w:p>
    <w:p w14:paraId="70FF8EE0" w14:textId="77777777" w:rsidR="004E001C" w:rsidRPr="00C10DFE" w:rsidRDefault="004E001C" w:rsidP="004E001C"/>
    <w:p w14:paraId="17191812" w14:textId="4FAE77AE" w:rsidR="004E001C" w:rsidRPr="00C10DFE" w:rsidRDefault="004E001C" w:rsidP="004E001C">
      <w:r w:rsidRPr="00C10DFE">
        <w:tab/>
      </w:r>
      <w:r w:rsidRPr="00C10DFE">
        <w:tab/>
      </w:r>
      <w:r w:rsidR="001E1A12">
        <w:rPr>
          <w:position w:val="-24"/>
        </w:rPr>
        <w:pict w14:anchorId="26F8B995">
          <v:shape id="_x0000_i1028" type="#_x0000_t75" style="width:91.55pt;height:32.1pt">
            <v:imagedata r:id="rId15" o:title=""/>
          </v:shape>
        </w:pict>
      </w:r>
      <w:r w:rsidRPr="00C10DFE">
        <w:tab/>
      </w:r>
      <w:r w:rsidRPr="00C10DFE">
        <w:tab/>
      </w:r>
      <w:r w:rsidRPr="00C10DFE">
        <w:tab/>
      </w:r>
      <w:r w:rsidRPr="00C10DFE">
        <w:tab/>
      </w:r>
      <w:r w:rsidRPr="00C10DFE">
        <w:tab/>
      </w:r>
      <w:r w:rsidRPr="00C10DFE">
        <w:tab/>
        <w:t xml:space="preserve">            </w:t>
      </w:r>
      <w:r w:rsidRPr="00C10DFE">
        <w:tab/>
        <w:t>(</w:t>
      </w:r>
      <w:r w:rsidR="001F5A49" w:rsidRPr="00C10DFE">
        <w:t>S</w:t>
      </w:r>
      <w:r w:rsidR="001F5A49">
        <w:t>3</w:t>
      </w:r>
      <w:r w:rsidRPr="00C10DFE">
        <w:t>)</w:t>
      </w:r>
    </w:p>
    <w:p w14:paraId="38BD2535" w14:textId="77777777" w:rsidR="004E001C" w:rsidRPr="00C10DFE" w:rsidRDefault="004E001C" w:rsidP="004E001C"/>
    <w:p w14:paraId="4B4944B6" w14:textId="5FC7A612" w:rsidR="004E001C" w:rsidRPr="00C10DFE" w:rsidRDefault="00ED59CD" w:rsidP="004E001C">
      <w:r>
        <w:rPr>
          <w:iCs/>
        </w:rPr>
        <w:lastRenderedPageBreak/>
        <w:t>where</w:t>
      </w:r>
      <w:r w:rsidR="004E001C" w:rsidRPr="00C10DFE">
        <w:rPr>
          <w:iCs/>
        </w:rPr>
        <w:t xml:space="preserve"> </w:t>
      </w:r>
      <w:r w:rsidR="004E001C" w:rsidRPr="00C10DFE">
        <w:rPr>
          <w:i/>
          <w:iCs/>
        </w:rPr>
        <w:t>D</w:t>
      </w:r>
      <w:r w:rsidR="004E001C" w:rsidRPr="00C10DFE">
        <w:rPr>
          <w:iCs/>
          <w:vertAlign w:val="subscript"/>
        </w:rPr>
        <w:t>m</w:t>
      </w:r>
      <w:r w:rsidR="004E001C" w:rsidRPr="00C10DFE">
        <w:t>,</w:t>
      </w:r>
      <w:r w:rsidR="004E001C" w:rsidRPr="00C10DFE">
        <w:rPr>
          <w:i/>
          <w:iCs/>
        </w:rPr>
        <w:t xml:space="preserve"> N</w:t>
      </w:r>
      <w:r w:rsidR="004E001C" w:rsidRPr="00C10DFE">
        <w:rPr>
          <w:i/>
          <w:iCs/>
          <w:vertAlign w:val="subscript"/>
        </w:rPr>
        <w:t>A</w:t>
      </w:r>
      <w:r w:rsidR="004E001C" w:rsidRPr="00C10DFE">
        <w:rPr>
          <w:i/>
          <w:iCs/>
        </w:rPr>
        <w:t xml:space="preserve"> </w:t>
      </w:r>
      <w:r w:rsidR="004E001C" w:rsidRPr="00C10DFE">
        <w:rPr>
          <w:iCs/>
        </w:rPr>
        <w:t>and</w:t>
      </w:r>
      <w:r w:rsidR="004E001C" w:rsidRPr="00C10DFE">
        <w:rPr>
          <w:i/>
          <w:iCs/>
        </w:rPr>
        <w:t xml:space="preserve"> r, </w:t>
      </w:r>
      <w:r w:rsidR="004E001C" w:rsidRPr="00C10DFE">
        <w:t>are molecular diffusivity of solute molecule, Avogadro’s number and radius of particle, respectively.</w:t>
      </w:r>
      <w:r w:rsidR="00E3650F" w:rsidRPr="00E3650F">
        <w:rPr>
          <w:vertAlign w:val="superscript"/>
        </w:rPr>
        <w:fldChar w:fldCharType="begin"/>
      </w:r>
      <w:r w:rsidR="00E3650F" w:rsidRPr="00E3650F">
        <w:rPr>
          <w:vertAlign w:val="superscript"/>
        </w:rPr>
        <w:instrText xml:space="preserve"> ADDIN EN.CITE &lt;EndNote&gt;&lt;Cite&gt;&lt;Author&gt;Bachhar&lt;/Author&gt;&lt;Year&gt;2016&lt;/Year&gt;&lt;RecNum&gt;22&lt;/RecNum&gt;&lt;DisplayText&gt;[5, 6]&lt;/DisplayText&gt;&lt;record&gt;&lt;rec-number&gt;22&lt;/rec-number&gt;&lt;foreign-keys&gt;&lt;key app="EN" db-id="s5edx5r5efrdsnespva5ezweerf0xavaafs0" timestamp="0"&gt;22&lt;/key&gt;&lt;/foreign-keys&gt;&lt;ref-type name="Journal Article"&gt;17&lt;/ref-type&gt;&lt;contributors&gt;&lt;authors&gt;&lt;author&gt;Bachhar, Nirmalya&lt;/author&gt;&lt;author&gt;Bandyopadhyaya, Rajdip&lt;/author&gt;&lt;/authors&gt;&lt;/contributors&gt;&lt;titles&gt;&lt;title&gt;Role of coating agent in iron oxide nanoparticle formation in an aqueous dispersion: Experiments and simulation&lt;/title&gt;&lt;secondary-title&gt;Journal of colloid and interface science&lt;/secondary-title&gt;&lt;/titles&gt;&lt;pages&gt;254-263&lt;/pages&gt;&lt;volume&gt;464&lt;/volume&gt;&lt;dates&gt;&lt;year&gt;2016&lt;/year&gt;&lt;/dates&gt;&lt;isbn&gt;0021-9797&lt;/isbn&gt;&lt;urls&gt;&lt;/urls&gt;&lt;/record&gt;&lt;/Cite&gt;&lt;Cite&gt;&lt;Author&gt;Bachhar&lt;/Author&gt;&lt;Year&gt;2016&lt;/Year&gt;&lt;RecNum&gt;23&lt;/RecNum&gt;&lt;record&gt;&lt;rec-number&gt;23&lt;/rec-number&gt;&lt;foreign-keys&gt;&lt;key app="EN" db-id="s5edx5r5efrdsnespva5ezweerf0xavaafs0" timestamp="0"&gt;23&lt;/key&gt;&lt;/foreign-keys&gt;&lt;ref-type name="Journal Article"&gt;17&lt;/ref-type&gt;&lt;contributors&gt;&lt;authors&gt;&lt;author&gt;Bachhar, Nirmalya&lt;/author&gt;&lt;author&gt;Bandyopadhyaya, Rajdip&lt;/author&gt;&lt;/authors&gt;&lt;/contributors&gt;&lt;titles&gt;&lt;title&gt;Predicting complete size distribution of nanoparticles based on interparticle potential: experiments and simulation&lt;/title&gt;&lt;secondary-title&gt;The Journal of Physical Chemistry C&lt;/secondary-title&gt;&lt;/titles&gt;&lt;pages&gt;4612-4622&lt;/pages&gt;&lt;volume&gt;120&lt;/volume&gt;&lt;number&gt;8&lt;/number&gt;&lt;dates&gt;&lt;year&gt;2016&lt;/year&gt;&lt;/dates&gt;&lt;isbn&gt;1932-7447&lt;/isbn&gt;&lt;urls&gt;&lt;/urls&gt;&lt;/record&gt;&lt;/Cite&gt;&lt;/EndNote&gt;</w:instrText>
      </w:r>
      <w:r w:rsidR="00E3650F" w:rsidRPr="00E3650F">
        <w:rPr>
          <w:vertAlign w:val="superscript"/>
        </w:rPr>
        <w:fldChar w:fldCharType="separate"/>
      </w:r>
      <w:r w:rsidR="00E3650F" w:rsidRPr="00E3650F">
        <w:rPr>
          <w:noProof/>
          <w:vertAlign w:val="superscript"/>
        </w:rPr>
        <w:t>[5, 6]</w:t>
      </w:r>
      <w:r w:rsidR="00E3650F" w:rsidRPr="00E3650F">
        <w:rPr>
          <w:vertAlign w:val="superscript"/>
        </w:rPr>
        <w:fldChar w:fldCharType="end"/>
      </w:r>
      <w:r w:rsidR="002450EA">
        <w:t xml:space="preserve"> </w:t>
      </w:r>
      <w:r w:rsidR="004E001C" w:rsidRPr="00C10DFE">
        <w:rPr>
          <w:bCs/>
        </w:rPr>
        <w:t>Diffusivity of Fe</w:t>
      </w:r>
      <w:r w:rsidR="004E001C" w:rsidRPr="00C10DFE">
        <w:rPr>
          <w:bCs/>
          <w:vertAlign w:val="subscript"/>
        </w:rPr>
        <w:t>3</w:t>
      </w:r>
      <w:r w:rsidR="004E001C" w:rsidRPr="00C10DFE">
        <w:rPr>
          <w:bCs/>
        </w:rPr>
        <w:t>O</w:t>
      </w:r>
      <w:r w:rsidR="004E001C" w:rsidRPr="00C10DFE">
        <w:rPr>
          <w:bCs/>
          <w:vertAlign w:val="subscript"/>
        </w:rPr>
        <w:t>4</w:t>
      </w:r>
      <w:r w:rsidR="004E001C" w:rsidRPr="00C10DFE">
        <w:rPr>
          <w:bCs/>
        </w:rPr>
        <w:t xml:space="preserve"> molecules in </w:t>
      </w:r>
      <w:r w:rsidR="004E001C" w:rsidRPr="00C10DFE">
        <w:t xml:space="preserve">octadecene has been estimated by </w:t>
      </w:r>
      <w:r w:rsidR="004E001C" w:rsidRPr="00C10DFE">
        <w:rPr>
          <w:bCs/>
        </w:rPr>
        <w:t>the Wilke-Chang correlation for molecular diffusion.</w:t>
      </w:r>
      <w:r w:rsidR="000F6F6A" w:rsidRPr="000F6F6A">
        <w:rPr>
          <w:bCs/>
          <w:vertAlign w:val="superscript"/>
        </w:rPr>
        <w:fldChar w:fldCharType="begin"/>
      </w:r>
      <w:r w:rsidR="000F6F6A" w:rsidRPr="000F6F6A">
        <w:rPr>
          <w:bCs/>
          <w:vertAlign w:val="superscript"/>
        </w:rPr>
        <w:instrText xml:space="preserve"> ADDIN EN.CITE &lt;EndNote&gt;&lt;Cite&gt;&lt;Author&gt;Treybal&lt;/Author&gt;&lt;Year&gt;1980&lt;/Year&gt;&lt;RecNum&gt;6&lt;/RecNum&gt;&lt;DisplayText&gt;[7]&lt;/DisplayText&gt;&lt;record&gt;&lt;rec-number&gt;6&lt;/rec-number&gt;&lt;foreign-keys&gt;&lt;key app="EN" db-id="s5edx5r5efrdsnespva5ezweerf0xavaafs0" timestamp="0"&gt;6&lt;/key&gt;&lt;/foreign-keys&gt;&lt;ref-type name="Journal Article"&gt;17&lt;/ref-type&gt;&lt;contributors&gt;&lt;authors&gt;&lt;author&gt;Treybal, Robert E&lt;/author&gt;&lt;/authors&gt;&lt;/contributors&gt;&lt;titles&gt;&lt;title&gt;Mass transfer operations&lt;/title&gt;&lt;secondary-title&gt;New York&lt;/secondary-title&gt;&lt;/titles&gt;&lt;volume&gt;466&lt;/volume&gt;&lt;dates&gt;&lt;year&gt;1980&lt;/year&gt;&lt;/dates&gt;&lt;urls&gt;&lt;/urls&gt;&lt;/record&gt;&lt;/Cite&gt;&lt;/EndNote&gt;</w:instrText>
      </w:r>
      <w:r w:rsidR="000F6F6A" w:rsidRPr="000F6F6A">
        <w:rPr>
          <w:bCs/>
          <w:vertAlign w:val="superscript"/>
        </w:rPr>
        <w:fldChar w:fldCharType="separate"/>
      </w:r>
      <w:r w:rsidR="000F6F6A" w:rsidRPr="000F6F6A">
        <w:rPr>
          <w:bCs/>
          <w:noProof/>
          <w:vertAlign w:val="superscript"/>
        </w:rPr>
        <w:t>[7]</w:t>
      </w:r>
      <w:r w:rsidR="000F6F6A" w:rsidRPr="000F6F6A">
        <w:rPr>
          <w:bCs/>
          <w:vertAlign w:val="superscript"/>
        </w:rPr>
        <w:fldChar w:fldCharType="end"/>
      </w:r>
    </w:p>
    <w:p w14:paraId="54DDC784" w14:textId="56689116" w:rsidR="004E001C" w:rsidRPr="00C10DFE" w:rsidRDefault="00C3226B" w:rsidP="00C3226B">
      <w:pPr>
        <w:rPr>
          <w:i/>
          <w:iCs/>
        </w:rPr>
      </w:pPr>
      <w:r w:rsidRPr="00C10DFE">
        <w:rPr>
          <w:i/>
          <w:iCs/>
        </w:rPr>
        <w:t xml:space="preserve">2.3. </w:t>
      </w:r>
      <w:r w:rsidR="004E001C" w:rsidRPr="00C10DFE">
        <w:rPr>
          <w:i/>
          <w:iCs/>
        </w:rPr>
        <w:t>Coagulation</w:t>
      </w:r>
    </w:p>
    <w:p w14:paraId="5B3C0524" w14:textId="512F88D1" w:rsidR="004E001C" w:rsidRPr="00C10DFE" w:rsidRDefault="004E001C" w:rsidP="004E001C">
      <w:r w:rsidRPr="00C10DFE">
        <w:t>Brownian collisions of the nanoparticles which result in complete coalescence (coagulation), leading to primary particle growth. The coagulation driven growth rate of a nanoparticle is therefore estimated using the Brownian collision frequency (</w:t>
      </w:r>
      <w:r w:rsidRPr="00C10DFE">
        <w:rPr>
          <w:i/>
        </w:rPr>
        <w:t>q</w:t>
      </w:r>
      <w:r w:rsidRPr="00C10DFE">
        <w:rPr>
          <w:vertAlign w:val="subscript"/>
        </w:rPr>
        <w:t>p</w:t>
      </w:r>
      <w:r w:rsidRPr="00C10DFE">
        <w:t xml:space="preserve">) modified by a coagulation efficiency, </w:t>
      </w:r>
      <w:r w:rsidRPr="00C10DFE">
        <w:rPr>
          <w:i/>
        </w:rPr>
        <w:t>β</w:t>
      </w:r>
      <w:r w:rsidRPr="00C10DFE">
        <w:rPr>
          <w:iCs/>
        </w:rPr>
        <w:t>.</w:t>
      </w:r>
      <w:r w:rsidR="000F6F6A" w:rsidRPr="000F6F6A">
        <w:rPr>
          <w:iCs/>
          <w:vertAlign w:val="superscript"/>
        </w:rPr>
        <w:fldChar w:fldCharType="begin"/>
      </w:r>
      <w:r w:rsidR="000F6F6A" w:rsidRPr="000F6F6A">
        <w:rPr>
          <w:iCs/>
          <w:vertAlign w:val="superscript"/>
        </w:rPr>
        <w:instrText xml:space="preserve"> ADDIN EN.CITE &lt;EndNote&gt;&lt;Cite&gt;&lt;Author&gt;Randolph&lt;/Author&gt;&lt;Year&gt;2012&lt;/Year&gt;&lt;RecNum&gt;1&lt;/RecNum&gt;&lt;DisplayText&gt;[1]&lt;/DisplayText&gt;&lt;record&gt;&lt;rec-number&gt;1&lt;/rec-number&gt;&lt;foreign-keys&gt;&lt;key app="EN" db-id="s5edx5r5efrdsnespva5ezweerf0xavaafs0" timestamp="0"&gt;1&lt;/key&gt;&lt;/foreign-keys&gt;&lt;ref-type name="Book"&gt;6&lt;/ref-type&gt;&lt;contributors&gt;&lt;authors&gt;&lt;author&gt;Randolph, Alan&lt;/author&gt;&lt;/authors&gt;&lt;/contributors&gt;&lt;titles&gt;&lt;title&gt;Theory of particulate processes: analysis and techniques of continuous crystallization&lt;/title&gt;&lt;/titles&gt;&lt;dates&gt;&lt;year&gt;2012&lt;/year&gt;&lt;/dates&gt;&lt;publisher&gt;Elsevier&lt;/publisher&gt;&lt;isbn&gt;0323158498&lt;/isbn&gt;&lt;urls&gt;&lt;/urls&gt;&lt;/record&gt;&lt;/Cite&gt;&lt;/EndNote&gt;</w:instrText>
      </w:r>
      <w:r w:rsidR="000F6F6A" w:rsidRPr="000F6F6A">
        <w:rPr>
          <w:iCs/>
          <w:vertAlign w:val="superscript"/>
        </w:rPr>
        <w:fldChar w:fldCharType="separate"/>
      </w:r>
      <w:r w:rsidR="000F6F6A" w:rsidRPr="000F6F6A">
        <w:rPr>
          <w:iCs/>
          <w:noProof/>
          <w:vertAlign w:val="superscript"/>
        </w:rPr>
        <w:t>[1]</w:t>
      </w:r>
      <w:r w:rsidR="000F6F6A" w:rsidRPr="000F6F6A">
        <w:rPr>
          <w:iCs/>
          <w:vertAlign w:val="superscript"/>
        </w:rPr>
        <w:fldChar w:fldCharType="end"/>
      </w:r>
      <w:r w:rsidRPr="00C10DFE">
        <w:rPr>
          <w:iCs/>
        </w:rPr>
        <w:t xml:space="preserve"> </w:t>
      </w:r>
      <w:r w:rsidRPr="00C10DFE">
        <w:t xml:space="preserve">The efficiency </w:t>
      </w:r>
      <w:r w:rsidRPr="00C10DFE">
        <w:rPr>
          <w:bCs/>
          <w:i/>
        </w:rPr>
        <w:t>β</w:t>
      </w:r>
      <w:r w:rsidRPr="00C10DFE">
        <w:rPr>
          <w:bCs/>
        </w:rPr>
        <w:t xml:space="preserve"> is the ratio of the number of successful Brownian collisions (leading to coagulation), against the total number of Brownian collisions. </w:t>
      </w:r>
      <w:r w:rsidRPr="00C10DFE">
        <w:rPr>
          <w:i/>
        </w:rPr>
        <w:t>q</w:t>
      </w:r>
      <w:r w:rsidRPr="00C10DFE">
        <w:rPr>
          <w:vertAlign w:val="subscript"/>
        </w:rPr>
        <w:t>p</w:t>
      </w:r>
      <w:r w:rsidRPr="00C10DFE">
        <w:t xml:space="preserve"> is given by Smoluchowski’s equation:</w:t>
      </w:r>
    </w:p>
    <w:p w14:paraId="289E2F64" w14:textId="77777777" w:rsidR="004E001C" w:rsidRPr="00C10DFE" w:rsidRDefault="004E001C" w:rsidP="004E001C"/>
    <w:p w14:paraId="578CC5BA" w14:textId="21712C95" w:rsidR="004E001C" w:rsidRPr="00C10DFE" w:rsidRDefault="004E001C" w:rsidP="004E001C">
      <w:r w:rsidRPr="00C10DFE">
        <w:tab/>
      </w:r>
      <w:r w:rsidR="001E1A12">
        <w:rPr>
          <w:position w:val="-32"/>
        </w:rPr>
        <w:pict w14:anchorId="5EA3B46E">
          <v:shape id="_x0000_i1029" type="#_x0000_t75" style="width:114.25pt;height:39.9pt">
            <v:imagedata r:id="rId16" o:title=""/>
          </v:shape>
        </w:pict>
      </w:r>
      <w:r w:rsidRPr="00C10DFE">
        <w:tab/>
      </w:r>
      <w:r w:rsidRPr="00C10DFE">
        <w:tab/>
      </w:r>
      <w:r w:rsidRPr="00C10DFE">
        <w:tab/>
      </w:r>
      <w:r w:rsidRPr="00C10DFE">
        <w:tab/>
      </w:r>
      <w:r w:rsidRPr="00C10DFE">
        <w:tab/>
      </w:r>
      <w:r w:rsidRPr="00C10DFE">
        <w:tab/>
      </w:r>
      <w:r w:rsidRPr="00C10DFE">
        <w:tab/>
        <w:t>(</w:t>
      </w:r>
      <w:r w:rsidR="001F5A49" w:rsidRPr="00C10DFE">
        <w:t>S</w:t>
      </w:r>
      <w:r w:rsidR="001F5A49">
        <w:t>4</w:t>
      </w:r>
      <w:r w:rsidRPr="00C10DFE">
        <w:t>)</w:t>
      </w:r>
      <w:r w:rsidRPr="00C10DFE">
        <w:tab/>
      </w:r>
    </w:p>
    <w:p w14:paraId="4E8A4577" w14:textId="77777777" w:rsidR="004E001C" w:rsidRPr="00C10DFE" w:rsidRDefault="004E001C" w:rsidP="004E001C"/>
    <w:p w14:paraId="2997B85B" w14:textId="2463738D" w:rsidR="004E001C" w:rsidRPr="00C10DFE" w:rsidRDefault="004E001C" w:rsidP="004E001C">
      <w:r w:rsidRPr="00C10DFE">
        <w:t xml:space="preserve">where </w:t>
      </w:r>
      <w:r w:rsidRPr="00C10DFE">
        <w:rPr>
          <w:i/>
        </w:rPr>
        <w:t>r</w:t>
      </w:r>
      <w:r w:rsidRPr="00C10DFE">
        <w:rPr>
          <w:iCs/>
          <w:vertAlign w:val="subscript"/>
        </w:rPr>
        <w:t>1</w:t>
      </w:r>
      <w:r w:rsidRPr="00C10DFE">
        <w:rPr>
          <w:i/>
          <w:vertAlign w:val="subscript"/>
        </w:rPr>
        <w:t xml:space="preserve"> </w:t>
      </w:r>
      <w:r w:rsidRPr="00C10DFE">
        <w:rPr>
          <w:iCs/>
        </w:rPr>
        <w:t>a</w:t>
      </w:r>
      <w:r w:rsidRPr="00C10DFE">
        <w:t xml:space="preserve">nd </w:t>
      </w:r>
      <w:r w:rsidRPr="00C10DFE">
        <w:rPr>
          <w:i/>
        </w:rPr>
        <w:t>r</w:t>
      </w:r>
      <w:r w:rsidRPr="00C10DFE">
        <w:rPr>
          <w:iCs/>
          <w:vertAlign w:val="subscript"/>
        </w:rPr>
        <w:t>2</w:t>
      </w:r>
      <w:r w:rsidRPr="00C10DFE">
        <w:rPr>
          <w:i/>
          <w:iCs/>
        </w:rPr>
        <w:t xml:space="preserve"> </w:t>
      </w:r>
      <w:r w:rsidRPr="00C10DFE">
        <w:t xml:space="preserve">are radii of colliding particles and </w:t>
      </w:r>
      <w:r w:rsidRPr="00C10DFE">
        <w:rPr>
          <w:i/>
        </w:rPr>
        <w:t>μ</w:t>
      </w:r>
      <w:r w:rsidRPr="00C10DFE">
        <w:t xml:space="preserve"> is viscosity of the solvent</w:t>
      </w:r>
      <w:r w:rsidR="00F146AD">
        <w:t>.</w:t>
      </w:r>
      <w:r w:rsidR="00F146AD" w:rsidRPr="00F146AD">
        <w:rPr>
          <w:vertAlign w:val="superscript"/>
        </w:rPr>
        <w:fldChar w:fldCharType="begin"/>
      </w:r>
      <w:r w:rsidR="00F146AD" w:rsidRPr="00F146AD">
        <w:rPr>
          <w:vertAlign w:val="superscript"/>
        </w:rPr>
        <w:instrText xml:space="preserve"> ADDIN EN.CITE &lt;EndNote&gt;&lt;Cite&gt;&lt;Author&gt;Friedlander&lt;/Author&gt;&lt;Year&gt;2000&lt;/Year&gt;&lt;RecNum&gt;8&lt;/RecNum&gt;&lt;DisplayText&gt;[8, 9]&lt;/DisplayText&gt;&lt;record&gt;&lt;rec-number&gt;8&lt;/rec-number&gt;&lt;foreign-keys&gt;&lt;key app="EN" db-id="s5edx5r5efrdsnespva5ezweerf0xavaafs0" timestamp="0"&gt;8&lt;/key&gt;&lt;/foreign-keys&gt;&lt;ref-type name="Book"&gt;6&lt;/ref-type&gt;&lt;contributors&gt;&lt;authors&gt;&lt;author&gt;Friedlander, Sheldon K&lt;/author&gt;&lt;/authors&gt;&lt;/contributors&gt;&lt;titles&gt;&lt;title&gt;Smoke, dust, and haze&lt;/title&gt;&lt;/titles&gt;&lt;volume&gt;198&lt;/volume&gt;&lt;dates&gt;&lt;year&gt;2000&lt;/year&gt;&lt;/dates&gt;&lt;publisher&gt;Oxford University Press New York&lt;/publisher&gt;&lt;urls&gt;&lt;/urls&gt;&lt;/record&gt;&lt;/Cite&gt;&lt;Cite&gt;&lt;Author&gt;Kestin&lt;/Author&gt;&lt;Year&gt;1978&lt;/Year&gt;&lt;RecNum&gt;9&lt;/RecNum&gt;&lt;record&gt;&lt;rec-number&gt;9&lt;/rec-number&gt;&lt;foreign-keys&gt;&lt;key app="EN" db-id="s5edx5r5efrdsnespva5ezweerf0xavaafs0" timestamp="0"&gt;9&lt;/key&gt;&lt;/foreign-keys&gt;&lt;ref-type name="Journal Article"&gt;17&lt;/ref-type&gt;&lt;contributors&gt;&lt;authors&gt;&lt;author&gt;Kestin, Joseph&lt;/author&gt;&lt;author&gt;Sokolov, Mordechai&lt;/author&gt;&lt;author&gt;Wakeham, William A&lt;/author&gt;&lt;/authors&gt;&lt;/contributors&gt;&lt;titles&gt;&lt;title&gt;Viscosity of liquid water in the range− 8 C to 150 C&lt;/title&gt;&lt;secondary-title&gt;Journal of Physical and Chemical Reference Data&lt;/secondary-title&gt;&lt;/titles&gt;&lt;pages&gt;941-948&lt;/pages&gt;&lt;volume&gt;7&lt;/volume&gt;&lt;number&gt;3&lt;/number&gt;&lt;dates&gt;&lt;year&gt;1978&lt;/year&gt;&lt;/dates&gt;&lt;isbn&gt;0047-2689&lt;/isbn&gt;&lt;urls&gt;&lt;/urls&gt;&lt;/record&gt;&lt;/Cite&gt;&lt;/EndNote&gt;</w:instrText>
      </w:r>
      <w:r w:rsidR="00F146AD" w:rsidRPr="00F146AD">
        <w:rPr>
          <w:vertAlign w:val="superscript"/>
        </w:rPr>
        <w:fldChar w:fldCharType="separate"/>
      </w:r>
      <w:r w:rsidR="00F146AD" w:rsidRPr="00F146AD">
        <w:rPr>
          <w:noProof/>
          <w:vertAlign w:val="superscript"/>
        </w:rPr>
        <w:t>[8, 9]</w:t>
      </w:r>
      <w:r w:rsidR="00F146AD" w:rsidRPr="00F146AD">
        <w:rPr>
          <w:vertAlign w:val="superscript"/>
        </w:rPr>
        <w:fldChar w:fldCharType="end"/>
      </w:r>
      <w:r w:rsidRPr="00C10DFE">
        <w:t xml:space="preserve"> The coagulation frequency is hence calculated as:</w:t>
      </w:r>
    </w:p>
    <w:p w14:paraId="3C883188" w14:textId="77777777" w:rsidR="004E001C" w:rsidRPr="00C10DFE" w:rsidRDefault="004E001C" w:rsidP="004E001C"/>
    <w:p w14:paraId="4FE10A45" w14:textId="5E646575" w:rsidR="004E001C" w:rsidRPr="00C10DFE" w:rsidRDefault="004E001C" w:rsidP="004E001C">
      <w:r w:rsidRPr="00C10DFE">
        <w:tab/>
      </w:r>
      <w:r w:rsidR="001E1A12">
        <w:rPr>
          <w:position w:val="-24"/>
        </w:rPr>
        <w:pict w14:anchorId="5158B4E1">
          <v:shape id="_x0000_i1030" type="#_x0000_t75" style="width:74.35pt;height:32.1pt">
            <v:imagedata r:id="rId17" o:title=""/>
          </v:shape>
        </w:pict>
      </w:r>
      <w:r w:rsidRPr="00C10DFE">
        <w:tab/>
      </w:r>
      <w:r w:rsidRPr="00C10DFE">
        <w:tab/>
      </w:r>
      <w:r w:rsidRPr="00C10DFE">
        <w:tab/>
      </w:r>
      <w:r w:rsidRPr="00C10DFE">
        <w:tab/>
      </w:r>
      <w:r w:rsidRPr="00C10DFE">
        <w:tab/>
      </w:r>
      <w:r w:rsidRPr="00C10DFE">
        <w:tab/>
      </w:r>
      <w:r w:rsidRPr="00C10DFE">
        <w:tab/>
      </w:r>
      <w:r w:rsidRPr="00C10DFE">
        <w:tab/>
        <w:t>(</w:t>
      </w:r>
      <w:r w:rsidR="001F5A49" w:rsidRPr="00C10DFE">
        <w:t>S</w:t>
      </w:r>
      <w:r w:rsidR="001F5A49">
        <w:t>5</w:t>
      </w:r>
      <w:r w:rsidRPr="00C10DFE">
        <w:t>)</w:t>
      </w:r>
    </w:p>
    <w:p w14:paraId="0753C712" w14:textId="77777777" w:rsidR="004E001C" w:rsidRPr="00C10DFE" w:rsidRDefault="004E001C" w:rsidP="004E001C"/>
    <w:p w14:paraId="3408B463" w14:textId="77777777" w:rsidR="004E001C" w:rsidRPr="00C10DFE" w:rsidRDefault="004E001C" w:rsidP="004E001C">
      <w:r w:rsidRPr="00C10DFE">
        <w:t xml:space="preserve">where </w:t>
      </w:r>
      <w:r w:rsidRPr="00C10DFE">
        <w:rPr>
          <w:i/>
          <w:iCs/>
        </w:rPr>
        <w:t>N</w:t>
      </w:r>
      <w:r w:rsidRPr="00C10DFE">
        <w:t xml:space="preserve"> is the number density of nanoparticles.</w:t>
      </w:r>
    </w:p>
    <w:p w14:paraId="4CFD124E" w14:textId="04850A67" w:rsidR="004E001C" w:rsidRPr="00C10DFE" w:rsidRDefault="00C3226B" w:rsidP="00C3226B">
      <w:pPr>
        <w:rPr>
          <w:i/>
          <w:iCs/>
        </w:rPr>
      </w:pPr>
      <w:r w:rsidRPr="00C10DFE">
        <w:rPr>
          <w:i/>
          <w:iCs/>
        </w:rPr>
        <w:t xml:space="preserve">2.4. </w:t>
      </w:r>
      <w:r w:rsidR="004E001C" w:rsidRPr="00C10DFE">
        <w:rPr>
          <w:i/>
          <w:iCs/>
        </w:rPr>
        <w:t>Ostwald ripening</w:t>
      </w:r>
    </w:p>
    <w:p w14:paraId="0BCF7991" w14:textId="77777777" w:rsidR="00E80014" w:rsidRDefault="004E001C" w:rsidP="004E001C">
      <w:r w:rsidRPr="00C10DFE">
        <w:t xml:space="preserve">The timescale of Ostwald Ripening (OR) is large compared to all other formation and growth processes. The rate constant of OR, </w:t>
      </w:r>
      <w:r w:rsidRPr="00C10DFE">
        <w:rPr>
          <w:i/>
          <w:iCs/>
        </w:rPr>
        <w:t>k</w:t>
      </w:r>
      <w:r w:rsidRPr="00C10DFE">
        <w:rPr>
          <w:vertAlign w:val="subscript"/>
        </w:rPr>
        <w:t>OR</w:t>
      </w:r>
      <w:r w:rsidRPr="00C10DFE">
        <w:t xml:space="preserve"> can be written as,</w:t>
      </w:r>
    </w:p>
    <w:p w14:paraId="4CC1B9BA" w14:textId="4C9517EA" w:rsidR="00E80014" w:rsidRDefault="001E1A12" w:rsidP="004E001C">
      <w:r>
        <w:rPr>
          <w:color w:val="000000"/>
          <w:kern w:val="28"/>
          <w:position w:val="-24"/>
        </w:rPr>
        <w:lastRenderedPageBreak/>
        <w:pict w14:anchorId="709ABEF8">
          <v:shape id="_x0000_i1031" type="#_x0000_t75" style="width:109.55pt;height:32.1pt">
            <v:imagedata r:id="rId18" o:title=""/>
          </v:shape>
        </w:pict>
      </w:r>
      <w:r w:rsidR="006B0F59">
        <w:tab/>
      </w:r>
      <w:r w:rsidR="006B0F59">
        <w:tab/>
      </w:r>
      <w:r w:rsidR="006B0F59">
        <w:tab/>
      </w:r>
      <w:r w:rsidR="006B0F59">
        <w:tab/>
        <w:t>(S</w:t>
      </w:r>
      <w:r w:rsidR="004D6310">
        <w:t>6)</w:t>
      </w:r>
    </w:p>
    <w:p w14:paraId="23B41A19" w14:textId="2D944885" w:rsidR="004E001C" w:rsidRPr="00C10DFE" w:rsidRDefault="004E001C" w:rsidP="004E001C">
      <w:r w:rsidRPr="00C10DFE">
        <w:t xml:space="preserve"> where </w:t>
      </w:r>
      <w:r w:rsidRPr="00C10DFE">
        <w:rPr>
          <w:i/>
          <w:iCs/>
        </w:rPr>
        <w:t>R</w:t>
      </w:r>
      <w:r w:rsidRPr="00C10DFE">
        <w:t xml:space="preserve"> is universal gas constant (8.314 JK</w:t>
      </w:r>
      <w:r w:rsidRPr="00C10DFE">
        <w:rPr>
          <w:vertAlign w:val="superscript"/>
        </w:rPr>
        <w:t>-1</w:t>
      </w:r>
      <w:r w:rsidRPr="00C10DFE">
        <w:t>mol</w:t>
      </w:r>
      <w:r w:rsidRPr="00C10DFE">
        <w:rPr>
          <w:vertAlign w:val="superscript"/>
        </w:rPr>
        <w:t>-1</w:t>
      </w:r>
      <w:r w:rsidRPr="00C10DFE">
        <w:t xml:space="preserve">). Oskam </w:t>
      </w:r>
      <w:r w:rsidRPr="00C10DFE">
        <w:rPr>
          <w:i/>
          <w:iCs/>
        </w:rPr>
        <w:t xml:space="preserve">et al. </w:t>
      </w:r>
      <w:r w:rsidRPr="00C10DFE">
        <w:t xml:space="preserve">have shown by linearizing the Gibbs-Thomson equation, that the condition </w:t>
      </w:r>
      <w:r w:rsidR="001E1A12">
        <w:rPr>
          <w:color w:val="000000"/>
          <w:kern w:val="28"/>
          <w:position w:val="-30"/>
        </w:rPr>
        <w:pict w14:anchorId="0ACC3BB1">
          <v:shape id="_x0000_i1032" type="#_x0000_t75" style="width:61.85pt;height:34.45pt">
            <v:imagedata r:id="rId19" o:title=""/>
          </v:shape>
        </w:pict>
      </w:r>
      <w:r w:rsidRPr="00C10DFE">
        <w:t xml:space="preserve"> must be valid, to have Ostwald ripening take place in a system.</w:t>
      </w:r>
      <w:r w:rsidR="007465A7" w:rsidRPr="007465A7">
        <w:rPr>
          <w:vertAlign w:val="superscript"/>
        </w:rPr>
        <w:fldChar w:fldCharType="begin"/>
      </w:r>
      <w:r w:rsidR="007465A7" w:rsidRPr="007465A7">
        <w:rPr>
          <w:vertAlign w:val="superscript"/>
        </w:rPr>
        <w:instrText xml:space="preserve"> ADDIN EN.CITE &lt;EndNote&gt;&lt;Cite&gt;&lt;Author&gt;Oskam&lt;/Author&gt;&lt;Year&gt;2002&lt;/Year&gt;&lt;RecNum&gt;10&lt;/RecNum&gt;&lt;DisplayText&gt;[10]&lt;/DisplayText&gt;&lt;record&gt;&lt;rec-number&gt;10&lt;/rec-number&gt;&lt;foreign-keys&gt;&lt;key app="EN" db-id="s5edx5r5efrdsnespva5ezweerf0xavaafs0" timestamp="0"&gt;10&lt;/key&gt;&lt;/foreign-keys&gt;&lt;ref-type name="Journal Article"&gt;17&lt;/ref-type&gt;&lt;contributors&gt;&lt;authors&gt;&lt;author&gt;Oskam, Gerko&lt;/author&gt;&lt;author&gt;Hu, Zeshan&lt;/author&gt;&lt;author&gt;Penn, R Lee&lt;/author&gt;&lt;author&gt;Pesika, Noshir&lt;/author&gt;&lt;author&gt;Searson, Peter C&lt;/author&gt;&lt;/authors&gt;&lt;/contributors&gt;&lt;titles&gt;&lt;title&gt;Coarsening of metal oxide nanoparticles&lt;/title&gt;&lt;secondary-title&gt;Physical Review E&lt;/secondary-title&gt;&lt;/titles&gt;&lt;pages&gt;011403&lt;/pages&gt;&lt;volume&gt;66&lt;/volume&gt;&lt;number&gt;1&lt;/number&gt;&lt;dates&gt;&lt;year&gt;2002&lt;/year&gt;&lt;/dates&gt;&lt;urls&gt;&lt;/urls&gt;&lt;/record&gt;&lt;/Cite&gt;&lt;/EndNote&gt;</w:instrText>
      </w:r>
      <w:r w:rsidR="007465A7" w:rsidRPr="007465A7">
        <w:rPr>
          <w:vertAlign w:val="superscript"/>
        </w:rPr>
        <w:fldChar w:fldCharType="separate"/>
      </w:r>
      <w:r w:rsidR="007465A7" w:rsidRPr="007465A7">
        <w:rPr>
          <w:noProof/>
          <w:vertAlign w:val="superscript"/>
        </w:rPr>
        <w:t>[10]</w:t>
      </w:r>
      <w:r w:rsidR="007465A7" w:rsidRPr="007465A7">
        <w:rPr>
          <w:vertAlign w:val="superscript"/>
        </w:rPr>
        <w:fldChar w:fldCharType="end"/>
      </w:r>
      <w:r w:rsidRPr="00C10DFE">
        <w:t xml:space="preserve"> Based on our parameter values of Fe</w:t>
      </w:r>
      <w:r w:rsidRPr="00C10DFE">
        <w:rPr>
          <w:vertAlign w:val="subscript"/>
        </w:rPr>
        <w:t>3</w:t>
      </w:r>
      <w:r w:rsidRPr="00C10DFE">
        <w:t>O</w:t>
      </w:r>
      <w:r w:rsidRPr="00C10DFE">
        <w:rPr>
          <w:vertAlign w:val="subscript"/>
        </w:rPr>
        <w:t>4</w:t>
      </w:r>
      <w:r w:rsidRPr="00C10DFE">
        <w:t xml:space="preserve"> nanoparticle, </w:t>
      </w:r>
      <w:r w:rsidR="001E1A12">
        <w:rPr>
          <w:color w:val="000000"/>
          <w:kern w:val="28"/>
          <w:position w:val="-30"/>
        </w:rPr>
        <w:pict w14:anchorId="2C81A6F7">
          <v:shape id="_x0000_i1033" type="#_x0000_t75" style="width:82.15pt;height:34.45pt">
            <v:imagedata r:id="rId20" o:title=""/>
          </v:shape>
        </w:pict>
      </w:r>
      <w:r w:rsidRPr="00C10DFE">
        <w:t xml:space="preserve">nm. Therefore, we assume the onset point of OR in our system is 12 nm. The rate of the corresponding coarsening process can be given as: </w:t>
      </w:r>
    </w:p>
    <w:p w14:paraId="4F59E9CD" w14:textId="77777777" w:rsidR="004E001C" w:rsidRPr="00C10DFE" w:rsidRDefault="004E001C" w:rsidP="004E001C"/>
    <w:p w14:paraId="476B4A91" w14:textId="7397F04C" w:rsidR="004E001C" w:rsidRPr="00C10DFE" w:rsidRDefault="004E001C" w:rsidP="004E001C">
      <w:r w:rsidRPr="00C10DFE">
        <w:tab/>
      </w:r>
      <w:r w:rsidR="001E1A12">
        <w:rPr>
          <w:position w:val="-32"/>
        </w:rPr>
        <w:pict w14:anchorId="44C79148">
          <v:shape id="_x0000_i1034" type="#_x0000_t75" style="width:129.15pt;height:37.55pt">
            <v:imagedata r:id="rId21" o:title=""/>
          </v:shape>
        </w:pict>
      </w:r>
      <w:r w:rsidRPr="00C10DFE">
        <w:tab/>
      </w:r>
      <w:r w:rsidRPr="00C10DFE">
        <w:tab/>
      </w:r>
      <w:r w:rsidRPr="00C10DFE">
        <w:tab/>
      </w:r>
      <w:r w:rsidRPr="00C10DFE">
        <w:tab/>
      </w:r>
      <w:r w:rsidRPr="00C10DFE">
        <w:tab/>
      </w:r>
      <w:r w:rsidRPr="00C10DFE">
        <w:tab/>
      </w:r>
      <w:r w:rsidRPr="00C10DFE">
        <w:tab/>
      </w:r>
      <w:r w:rsidRPr="00C10DFE">
        <w:tab/>
        <w:t>(</w:t>
      </w:r>
      <w:r w:rsidR="001F5A49" w:rsidRPr="00C10DFE">
        <w:t>S</w:t>
      </w:r>
      <w:r w:rsidR="004D6310">
        <w:t>7</w:t>
      </w:r>
      <w:r w:rsidRPr="00C10DFE">
        <w:t>)</w:t>
      </w:r>
    </w:p>
    <w:p w14:paraId="7A18887F" w14:textId="77777777" w:rsidR="004E001C" w:rsidRPr="00C10DFE" w:rsidRDefault="004E001C" w:rsidP="004E001C"/>
    <w:p w14:paraId="1A395897" w14:textId="726446C1" w:rsidR="004E001C" w:rsidRPr="00C10DFE" w:rsidRDefault="004D6310" w:rsidP="004E001C">
      <w:r>
        <w:t>where</w:t>
      </w:r>
      <w:r w:rsidR="004E001C" w:rsidRPr="00C10DFE">
        <w:t xml:space="preserve"> </w:t>
      </w:r>
      <w:r w:rsidR="004E001C" w:rsidRPr="00C10DFE">
        <w:rPr>
          <w:i/>
          <w:iCs/>
        </w:rPr>
        <w:t>dr</w:t>
      </w:r>
      <w:r w:rsidR="004E001C" w:rsidRPr="00C10DFE">
        <w:t>/</w:t>
      </w:r>
      <w:r w:rsidR="004E001C" w:rsidRPr="00C10DFE">
        <w:rPr>
          <w:i/>
          <w:iCs/>
        </w:rPr>
        <w:t>dt</w:t>
      </w:r>
      <w:r w:rsidR="004E001C" w:rsidRPr="00C10DFE">
        <w:t xml:space="preserve"> represents the growth or decay in particle radius depending on whether </w:t>
      </w:r>
      <w:r w:rsidR="004E001C" w:rsidRPr="00C10DFE">
        <w:rPr>
          <w:i/>
          <w:iCs/>
        </w:rPr>
        <w:t>r</w:t>
      </w:r>
      <w:r w:rsidR="004E001C" w:rsidRPr="00C10DFE">
        <w:t>/</w:t>
      </w:r>
      <w:r w:rsidR="004E001C" w:rsidRPr="00C10DFE">
        <w:rPr>
          <w:i/>
          <w:iCs/>
        </w:rPr>
        <w:t>r</w:t>
      </w:r>
      <w:r w:rsidR="004E001C" w:rsidRPr="00C10DFE">
        <w:rPr>
          <w:vertAlign w:val="subscript"/>
        </w:rPr>
        <w:t>c</w:t>
      </w:r>
      <w:r w:rsidR="004E001C" w:rsidRPr="00C10DFE">
        <w:t xml:space="preserve"> is greater or less than 1, respectively.</w:t>
      </w:r>
      <w:r w:rsidR="00B5137D" w:rsidRPr="00B5137D">
        <w:rPr>
          <w:vertAlign w:val="superscript"/>
        </w:rPr>
        <w:fldChar w:fldCharType="begin"/>
      </w:r>
      <w:r w:rsidR="00B5137D" w:rsidRPr="00B5137D">
        <w:rPr>
          <w:vertAlign w:val="superscript"/>
        </w:rPr>
        <w:instrText xml:space="preserve"> ADDIN EN.CITE &lt;EndNote&gt;&lt;Cite&gt;&lt;Author&gt;Kabalnov&lt;/Author&gt;&lt;Year&gt;1992&lt;/Year&gt;&lt;RecNum&gt;11&lt;/RecNum&gt;&lt;DisplayText&gt;[11]&lt;/DisplayText&gt;&lt;record&gt;&lt;rec-number&gt;11&lt;/rec-number&gt;&lt;foreign-keys&gt;&lt;key app="EN" db-id="s5edx5r5efrdsnespva5ezweerf0xavaafs0" timestamp="0"&gt;11&lt;/key&gt;&lt;/foreign-keys&gt;&lt;ref-type name="Journal Article"&gt;17&lt;/ref-type&gt;&lt;contributors&gt;&lt;authors&gt;&lt;author&gt;Kabalnov, Alexey S&lt;/author&gt;&lt;author&gt;Schchukin, ED&lt;/author&gt;&lt;/authors&gt;&lt;/contributors&gt;&lt;titles&gt;&lt;title&gt;Ostwald ripening theory: applications to fluorocarbon emulsion stability&lt;/title&gt;&lt;secondary-title&gt;Advances in colloid and interface science&lt;/secondary-title&gt;&lt;/titles&gt;&lt;pages&gt;69-97&lt;/pages&gt;&lt;volume&gt;38&lt;/volume&gt;&lt;dates&gt;&lt;year&gt;1992&lt;/year&gt;&lt;/dates&gt;&lt;isbn&gt;0001-8686&lt;/isbn&gt;&lt;urls&gt;&lt;/urls&gt;&lt;/record&gt;&lt;/Cite&gt;&lt;/EndNote&gt;</w:instrText>
      </w:r>
      <w:r w:rsidR="00B5137D" w:rsidRPr="00B5137D">
        <w:rPr>
          <w:vertAlign w:val="superscript"/>
        </w:rPr>
        <w:fldChar w:fldCharType="separate"/>
      </w:r>
      <w:r w:rsidR="00B5137D" w:rsidRPr="00B5137D">
        <w:rPr>
          <w:noProof/>
          <w:vertAlign w:val="superscript"/>
        </w:rPr>
        <w:t>[11]</w:t>
      </w:r>
      <w:r w:rsidR="00B5137D" w:rsidRPr="00B5137D">
        <w:rPr>
          <w:vertAlign w:val="superscript"/>
        </w:rPr>
        <w:fldChar w:fldCharType="end"/>
      </w:r>
      <w:r w:rsidR="004E001C" w:rsidRPr="00F61E28">
        <w:rPr>
          <w:vertAlign w:val="superscript"/>
        </w:rPr>
        <w:t xml:space="preserve"> </w:t>
      </w:r>
      <w:r w:rsidR="004E001C" w:rsidRPr="00C10DFE">
        <w:t xml:space="preserve">The rate equation of OR implies that in the PSD, particles larger than </w:t>
      </w:r>
      <w:r w:rsidR="004E001C" w:rsidRPr="00C10DFE">
        <w:rPr>
          <w:i/>
          <w:iCs/>
        </w:rPr>
        <w:t>r</w:t>
      </w:r>
      <w:r w:rsidR="004E001C" w:rsidRPr="00C10DFE">
        <w:rPr>
          <w:vertAlign w:val="subscript"/>
        </w:rPr>
        <w:t>c</w:t>
      </w:r>
      <w:r w:rsidR="004E001C" w:rsidRPr="00C10DFE">
        <w:t xml:space="preserve"> will grow while smaller particles dissolve. Here critical radius </w:t>
      </w:r>
      <w:r w:rsidR="004E001C" w:rsidRPr="00C10DFE">
        <w:rPr>
          <w:i/>
          <w:iCs/>
        </w:rPr>
        <w:t>r</w:t>
      </w:r>
      <w:r w:rsidR="004E001C" w:rsidRPr="00C10DFE">
        <w:rPr>
          <w:vertAlign w:val="subscript"/>
        </w:rPr>
        <w:t>c</w:t>
      </w:r>
      <w:r w:rsidR="004E001C" w:rsidRPr="00C10DFE">
        <w:t xml:space="preserve"> is given by, </w:t>
      </w:r>
      <w:r w:rsidR="004E001C" w:rsidRPr="00C10DFE">
        <w:rPr>
          <w:i/>
          <w:iCs/>
        </w:rPr>
        <w:t>r</w:t>
      </w:r>
      <w:r w:rsidR="004E001C" w:rsidRPr="00C10DFE">
        <w:rPr>
          <w:vertAlign w:val="subscript"/>
        </w:rPr>
        <w:t>c</w:t>
      </w:r>
      <w:r w:rsidR="004E001C" w:rsidRPr="00C10DFE">
        <w:t xml:space="preserve"> =</w:t>
      </w:r>
      <w:r w:rsidR="004E001C" w:rsidRPr="00C10DFE">
        <w:rPr>
          <w:i/>
          <w:iCs/>
        </w:rPr>
        <w:t xml:space="preserve"> α</w:t>
      </w:r>
      <w:r w:rsidR="004E001C" w:rsidRPr="00C10DFE">
        <w:t xml:space="preserve"> /</w:t>
      </w:r>
      <w:r w:rsidR="004E001C" w:rsidRPr="00C10DFE">
        <w:rPr>
          <w:i/>
          <w:iCs/>
        </w:rPr>
        <w:t>θ</w:t>
      </w:r>
      <w:r w:rsidR="004E001C" w:rsidRPr="00C10DFE">
        <w:t>(</w:t>
      </w:r>
      <w:r w:rsidR="004E001C" w:rsidRPr="00C10DFE">
        <w:rPr>
          <w:i/>
          <w:iCs/>
        </w:rPr>
        <w:t>t</w:t>
      </w:r>
      <w:r w:rsidR="004E001C" w:rsidRPr="00C10DFE">
        <w:t xml:space="preserve">), where, </w:t>
      </w:r>
      <w:r w:rsidR="004E001C" w:rsidRPr="00C10DFE">
        <w:rPr>
          <w:i/>
          <w:iCs/>
        </w:rPr>
        <w:t>θ</w:t>
      </w:r>
      <w:r w:rsidR="004E001C" w:rsidRPr="00C10DFE">
        <w:t>(</w:t>
      </w:r>
      <w:r w:rsidR="004E001C" w:rsidRPr="00C10DFE">
        <w:rPr>
          <w:i/>
          <w:iCs/>
        </w:rPr>
        <w:t>t</w:t>
      </w:r>
      <w:r w:rsidR="004E001C" w:rsidRPr="00C10DFE">
        <w:t>) = [</w:t>
      </w:r>
      <w:r w:rsidR="004E001C" w:rsidRPr="00C10DFE">
        <w:rPr>
          <w:i/>
          <w:iCs/>
        </w:rPr>
        <w:t>C</w:t>
      </w:r>
      <w:r w:rsidR="004E001C" w:rsidRPr="00C10DFE">
        <w:t>(</w:t>
      </w:r>
      <w:r w:rsidR="004E001C" w:rsidRPr="00C10DFE">
        <w:rPr>
          <w:i/>
          <w:iCs/>
        </w:rPr>
        <w:t>l</w:t>
      </w:r>
      <w:r w:rsidR="004E001C" w:rsidRPr="00C10DFE">
        <w:t>)-</w:t>
      </w:r>
      <w:r w:rsidR="004E001C" w:rsidRPr="00C10DFE">
        <w:rPr>
          <w:i/>
          <w:iCs/>
        </w:rPr>
        <w:t>S</w:t>
      </w:r>
      <w:r w:rsidR="004E001C" w:rsidRPr="00C10DFE">
        <w:t>]/</w:t>
      </w:r>
      <w:r w:rsidR="004E001C" w:rsidRPr="00C10DFE">
        <w:rPr>
          <w:i/>
          <w:iCs/>
        </w:rPr>
        <w:t>S</w:t>
      </w:r>
      <w:r w:rsidR="004E001C" w:rsidRPr="00C10DFE">
        <w:t>, is a dimensionless concentration.</w:t>
      </w:r>
      <w:r w:rsidR="00B5137D" w:rsidRPr="00B5137D">
        <w:rPr>
          <w:vertAlign w:val="superscript"/>
        </w:rPr>
        <w:fldChar w:fldCharType="begin"/>
      </w:r>
      <w:r w:rsidR="00B5137D" w:rsidRPr="00B5137D">
        <w:rPr>
          <w:vertAlign w:val="superscript"/>
        </w:rPr>
        <w:instrText xml:space="preserve"> ADDIN EN.CITE &lt;EndNote&gt;&lt;Cite&gt;&lt;Author&gt;Kabalnov&lt;/Author&gt;&lt;Year&gt;1992&lt;/Year&gt;&lt;RecNum&gt;11&lt;/RecNum&gt;&lt;DisplayText&gt;[11]&lt;/DisplayText&gt;&lt;record&gt;&lt;rec-number&gt;11&lt;/rec-number&gt;&lt;foreign-keys&gt;&lt;key app="EN" db-id="s5edx5r5efrdsnespva5ezweerf0xavaafs0" timestamp="0"&gt;11&lt;/key&gt;&lt;/foreign-keys&gt;&lt;ref-type name="Journal Article"&gt;17&lt;/ref-type&gt;&lt;contributors&gt;&lt;authors&gt;&lt;author&gt;Kabalnov, Alexey S&lt;/author&gt;&lt;author&gt;Schchukin, ED&lt;/author&gt;&lt;/authors&gt;&lt;/contributors&gt;&lt;titles&gt;&lt;title&gt;Ostwald ripening theory: applications to fluorocarbon emulsion stability&lt;/title&gt;&lt;secondary-title&gt;Advances in colloid and interface science&lt;/secondary-title&gt;&lt;/titles&gt;&lt;pages&gt;69-97&lt;/pages&gt;&lt;volume&gt;38&lt;/volume&gt;&lt;dates&gt;&lt;year&gt;1992&lt;/year&gt;&lt;/dates&gt;&lt;isbn&gt;0001-8686&lt;/isbn&gt;&lt;urls&gt;&lt;/urls&gt;&lt;/record&gt;&lt;/Cite&gt;&lt;/EndNote&gt;</w:instrText>
      </w:r>
      <w:r w:rsidR="00B5137D" w:rsidRPr="00B5137D">
        <w:rPr>
          <w:vertAlign w:val="superscript"/>
        </w:rPr>
        <w:fldChar w:fldCharType="separate"/>
      </w:r>
      <w:r w:rsidR="00B5137D" w:rsidRPr="00B5137D">
        <w:rPr>
          <w:noProof/>
          <w:vertAlign w:val="superscript"/>
        </w:rPr>
        <w:t>[11]</w:t>
      </w:r>
      <w:r w:rsidR="00B5137D" w:rsidRPr="00B5137D">
        <w:rPr>
          <w:vertAlign w:val="superscript"/>
        </w:rPr>
        <w:fldChar w:fldCharType="end"/>
      </w:r>
      <w:r w:rsidR="004E001C" w:rsidRPr="00C10DFE">
        <w:t xml:space="preserve"> We have arbitrarily fitted </w:t>
      </w:r>
      <w:r w:rsidR="004E001C" w:rsidRPr="00C10DFE">
        <w:rPr>
          <w:i/>
          <w:iCs/>
        </w:rPr>
        <w:t>θ</w:t>
      </w:r>
      <w:r w:rsidR="004E001C" w:rsidRPr="00C10DFE">
        <w:t>(</w:t>
      </w:r>
      <w:r w:rsidR="004E001C" w:rsidRPr="00C10DFE">
        <w:rPr>
          <w:i/>
          <w:iCs/>
        </w:rPr>
        <w:t>t</w:t>
      </w:r>
      <w:r w:rsidR="004E001C" w:rsidRPr="00C10DFE">
        <w:t xml:space="preserve">) to be 1 to match the PSD. </w:t>
      </w:r>
    </w:p>
    <w:p w14:paraId="2508546D" w14:textId="77777777" w:rsidR="004E001C" w:rsidRPr="00C10DFE" w:rsidRDefault="004E001C" w:rsidP="004E001C">
      <w:pPr>
        <w:rPr>
          <w:b/>
          <w:bCs/>
        </w:rPr>
      </w:pPr>
    </w:p>
    <w:p w14:paraId="4B9B9C95" w14:textId="34E01E62" w:rsidR="004E001C" w:rsidRPr="00C10DFE" w:rsidRDefault="004E001C" w:rsidP="004E001C">
      <w:pPr>
        <w:rPr>
          <w:sz w:val="32"/>
          <w:szCs w:val="32"/>
        </w:rPr>
      </w:pPr>
      <w:r w:rsidRPr="00C10DFE">
        <w:rPr>
          <w:b/>
          <w:bCs/>
        </w:rPr>
        <w:t xml:space="preserve">Table </w:t>
      </w:r>
      <w:r w:rsidR="005F64DC" w:rsidRPr="00C10DFE">
        <w:rPr>
          <w:b/>
          <w:bCs/>
        </w:rPr>
        <w:t>S1</w:t>
      </w:r>
      <w:r w:rsidRPr="00C10DFE">
        <w:t>. List of input parameters in the simulation.</w:t>
      </w:r>
    </w:p>
    <w:tbl>
      <w:tblPr>
        <w:tblW w:w="9558" w:type="dxa"/>
        <w:tblBorders>
          <w:top w:val="single" w:sz="4" w:space="0" w:color="auto"/>
          <w:bottom w:val="single" w:sz="4" w:space="0" w:color="auto"/>
        </w:tblBorders>
        <w:tblLook w:val="04A0" w:firstRow="1" w:lastRow="0" w:firstColumn="1" w:lastColumn="0" w:noHBand="0" w:noVBand="1"/>
      </w:tblPr>
      <w:tblGrid>
        <w:gridCol w:w="1728"/>
        <w:gridCol w:w="2250"/>
        <w:gridCol w:w="5580"/>
      </w:tblGrid>
      <w:tr w:rsidR="00AE6F08" w:rsidRPr="00C10DFE" w14:paraId="40034598" w14:textId="77777777" w:rsidTr="00AE6F08">
        <w:tc>
          <w:tcPr>
            <w:tcW w:w="1728" w:type="dxa"/>
            <w:tcBorders>
              <w:top w:val="single" w:sz="4" w:space="0" w:color="auto"/>
              <w:left w:val="nil"/>
              <w:bottom w:val="single" w:sz="4" w:space="0" w:color="auto"/>
              <w:right w:val="nil"/>
            </w:tcBorders>
            <w:shd w:val="clear" w:color="auto" w:fill="auto"/>
            <w:vAlign w:val="center"/>
            <w:hideMark/>
          </w:tcPr>
          <w:p w14:paraId="2BD2E8CE" w14:textId="77777777" w:rsidR="004E001C" w:rsidRPr="00C10DFE" w:rsidRDefault="004E001C" w:rsidP="00AE6F08">
            <w:pPr>
              <w:spacing w:before="240" w:line="276" w:lineRule="auto"/>
              <w:rPr>
                <w:rFonts w:eastAsia="Calibri"/>
                <w:b/>
                <w:bCs/>
                <w:sz w:val="22"/>
              </w:rPr>
            </w:pPr>
            <w:r w:rsidRPr="00C10DFE">
              <w:rPr>
                <w:rFonts w:eastAsia="Calibri"/>
                <w:b/>
                <w:bCs/>
                <w:sz w:val="22"/>
              </w:rPr>
              <w:t>Parameter</w:t>
            </w:r>
          </w:p>
        </w:tc>
        <w:tc>
          <w:tcPr>
            <w:tcW w:w="2250" w:type="dxa"/>
            <w:tcBorders>
              <w:top w:val="single" w:sz="4" w:space="0" w:color="auto"/>
              <w:left w:val="nil"/>
              <w:bottom w:val="single" w:sz="4" w:space="0" w:color="auto"/>
              <w:right w:val="nil"/>
            </w:tcBorders>
            <w:shd w:val="clear" w:color="auto" w:fill="auto"/>
            <w:vAlign w:val="center"/>
            <w:hideMark/>
          </w:tcPr>
          <w:p w14:paraId="5539F728" w14:textId="77777777" w:rsidR="004E001C" w:rsidRPr="00C10DFE" w:rsidRDefault="004E001C" w:rsidP="00AE6F08">
            <w:pPr>
              <w:spacing w:before="240" w:line="276" w:lineRule="auto"/>
              <w:rPr>
                <w:rFonts w:eastAsia="Calibri"/>
                <w:b/>
                <w:bCs/>
                <w:sz w:val="22"/>
              </w:rPr>
            </w:pPr>
            <w:r w:rsidRPr="00C10DFE">
              <w:rPr>
                <w:rFonts w:eastAsia="Calibri"/>
                <w:b/>
                <w:bCs/>
                <w:sz w:val="22"/>
              </w:rPr>
              <w:t>Value</w:t>
            </w:r>
          </w:p>
        </w:tc>
        <w:tc>
          <w:tcPr>
            <w:tcW w:w="5580" w:type="dxa"/>
            <w:tcBorders>
              <w:top w:val="single" w:sz="4" w:space="0" w:color="auto"/>
              <w:left w:val="nil"/>
              <w:bottom w:val="single" w:sz="4" w:space="0" w:color="auto"/>
              <w:right w:val="nil"/>
            </w:tcBorders>
            <w:shd w:val="clear" w:color="auto" w:fill="auto"/>
            <w:vAlign w:val="center"/>
            <w:hideMark/>
          </w:tcPr>
          <w:p w14:paraId="2BCBAEF2" w14:textId="77777777" w:rsidR="004E001C" w:rsidRPr="00C10DFE" w:rsidRDefault="004E001C" w:rsidP="00AE6F08">
            <w:pPr>
              <w:spacing w:before="240" w:line="276" w:lineRule="auto"/>
              <w:rPr>
                <w:rFonts w:eastAsia="Calibri"/>
                <w:b/>
                <w:bCs/>
                <w:sz w:val="22"/>
              </w:rPr>
            </w:pPr>
            <w:r w:rsidRPr="00C10DFE">
              <w:rPr>
                <w:rFonts w:eastAsia="Calibri"/>
                <w:b/>
                <w:bCs/>
                <w:sz w:val="22"/>
              </w:rPr>
              <w:t>Source</w:t>
            </w:r>
          </w:p>
        </w:tc>
      </w:tr>
      <w:tr w:rsidR="00AE6F08" w:rsidRPr="00C10DFE" w14:paraId="459F5586" w14:textId="77777777" w:rsidTr="00AE6F08">
        <w:tc>
          <w:tcPr>
            <w:tcW w:w="1728" w:type="dxa"/>
            <w:tcBorders>
              <w:top w:val="single" w:sz="4" w:space="0" w:color="auto"/>
              <w:left w:val="nil"/>
              <w:bottom w:val="nil"/>
              <w:right w:val="nil"/>
            </w:tcBorders>
            <w:shd w:val="clear" w:color="auto" w:fill="auto"/>
            <w:vAlign w:val="center"/>
            <w:hideMark/>
          </w:tcPr>
          <w:p w14:paraId="58919D3A" w14:textId="77777777" w:rsidR="004E001C" w:rsidRPr="00C10DFE" w:rsidRDefault="004E001C" w:rsidP="00AE6F08">
            <w:pPr>
              <w:spacing w:before="240" w:line="240" w:lineRule="auto"/>
              <w:rPr>
                <w:rFonts w:eastAsia="Calibri"/>
                <w:sz w:val="22"/>
              </w:rPr>
            </w:pPr>
            <w:r w:rsidRPr="00C10DFE">
              <w:rPr>
                <w:rFonts w:eastAsia="Calibri"/>
                <w:i/>
                <w:iCs/>
                <w:sz w:val="22"/>
              </w:rPr>
              <w:t>C</w:t>
            </w:r>
            <w:r w:rsidRPr="00C10DFE">
              <w:rPr>
                <w:rFonts w:eastAsia="Calibri"/>
                <w:sz w:val="22"/>
              </w:rPr>
              <w:t>(</w:t>
            </w:r>
            <w:r w:rsidRPr="00C10DFE">
              <w:rPr>
                <w:rFonts w:eastAsia="Calibri"/>
                <w:i/>
                <w:iCs/>
                <w:sz w:val="22"/>
              </w:rPr>
              <w:t>l</w:t>
            </w:r>
            <w:r w:rsidRPr="00C10DFE">
              <w:rPr>
                <w:rFonts w:eastAsia="Calibri"/>
                <w:sz w:val="22"/>
              </w:rPr>
              <w:t>)</w:t>
            </w:r>
            <w:r w:rsidRPr="00C10DFE">
              <w:rPr>
                <w:rFonts w:eastAsia="Calibri"/>
                <w:i/>
                <w:iCs/>
                <w:sz w:val="22"/>
                <w:vertAlign w:val="subscript"/>
              </w:rPr>
              <w:t>t</w:t>
            </w:r>
            <w:r w:rsidRPr="00C10DFE">
              <w:rPr>
                <w:rFonts w:eastAsia="Calibri"/>
                <w:sz w:val="22"/>
                <w:vertAlign w:val="subscript"/>
              </w:rPr>
              <w:t>=0</w:t>
            </w:r>
          </w:p>
        </w:tc>
        <w:tc>
          <w:tcPr>
            <w:tcW w:w="2250" w:type="dxa"/>
            <w:tcBorders>
              <w:top w:val="single" w:sz="4" w:space="0" w:color="auto"/>
              <w:left w:val="nil"/>
              <w:bottom w:val="nil"/>
              <w:right w:val="nil"/>
            </w:tcBorders>
            <w:shd w:val="clear" w:color="auto" w:fill="auto"/>
            <w:vAlign w:val="center"/>
            <w:hideMark/>
          </w:tcPr>
          <w:p w14:paraId="65499F12" w14:textId="77777777" w:rsidR="004E001C" w:rsidRPr="00C10DFE" w:rsidRDefault="004E001C" w:rsidP="00AE6F08">
            <w:pPr>
              <w:spacing w:before="240" w:line="240" w:lineRule="auto"/>
              <w:rPr>
                <w:rFonts w:eastAsia="Calibri"/>
                <w:sz w:val="22"/>
              </w:rPr>
            </w:pPr>
            <w:r w:rsidRPr="00C10DFE">
              <w:rPr>
                <w:rFonts w:eastAsia="Calibri"/>
                <w:sz w:val="22"/>
              </w:rPr>
              <w:t>23.7 mol m</w:t>
            </w:r>
            <w:r w:rsidRPr="00C10DFE">
              <w:rPr>
                <w:rFonts w:eastAsia="Calibri"/>
                <w:sz w:val="22"/>
                <w:vertAlign w:val="superscript"/>
              </w:rPr>
              <w:t>-3</w:t>
            </w:r>
          </w:p>
        </w:tc>
        <w:tc>
          <w:tcPr>
            <w:tcW w:w="5580" w:type="dxa"/>
            <w:tcBorders>
              <w:top w:val="single" w:sz="4" w:space="0" w:color="auto"/>
              <w:left w:val="nil"/>
              <w:bottom w:val="nil"/>
              <w:right w:val="nil"/>
            </w:tcBorders>
            <w:shd w:val="clear" w:color="auto" w:fill="auto"/>
            <w:vAlign w:val="center"/>
            <w:hideMark/>
          </w:tcPr>
          <w:p w14:paraId="5468700C" w14:textId="77777777" w:rsidR="004E001C" w:rsidRPr="00C10DFE" w:rsidRDefault="004E001C" w:rsidP="00AE6F08">
            <w:pPr>
              <w:spacing w:before="240" w:line="240" w:lineRule="auto"/>
              <w:rPr>
                <w:rFonts w:eastAsia="Calibri"/>
                <w:sz w:val="22"/>
              </w:rPr>
            </w:pPr>
            <w:r w:rsidRPr="00C10DFE">
              <w:rPr>
                <w:rFonts w:eastAsia="Calibri"/>
                <w:sz w:val="22"/>
              </w:rPr>
              <w:t>our experiment</w:t>
            </w:r>
          </w:p>
        </w:tc>
      </w:tr>
      <w:tr w:rsidR="00AE6F08" w:rsidRPr="00C10DFE" w14:paraId="7F50A103" w14:textId="77777777" w:rsidTr="00AE6F08">
        <w:tc>
          <w:tcPr>
            <w:tcW w:w="1728" w:type="dxa"/>
            <w:tcBorders>
              <w:top w:val="nil"/>
              <w:left w:val="nil"/>
              <w:bottom w:val="nil"/>
              <w:right w:val="nil"/>
            </w:tcBorders>
            <w:shd w:val="clear" w:color="auto" w:fill="auto"/>
            <w:vAlign w:val="center"/>
            <w:hideMark/>
          </w:tcPr>
          <w:p w14:paraId="0CA0D55E" w14:textId="77777777" w:rsidR="004E001C" w:rsidRPr="00C10DFE" w:rsidRDefault="004E001C" w:rsidP="00AE6F08">
            <w:pPr>
              <w:spacing w:before="240" w:line="240" w:lineRule="auto"/>
              <w:rPr>
                <w:rFonts w:eastAsia="Calibri"/>
                <w:i/>
                <w:iCs/>
                <w:sz w:val="22"/>
              </w:rPr>
            </w:pPr>
            <w:r w:rsidRPr="00C10DFE">
              <w:rPr>
                <w:rFonts w:eastAsia="Calibri"/>
                <w:i/>
                <w:iCs/>
                <w:sz w:val="22"/>
              </w:rPr>
              <w:t>V</w:t>
            </w:r>
          </w:p>
        </w:tc>
        <w:tc>
          <w:tcPr>
            <w:tcW w:w="2250" w:type="dxa"/>
            <w:tcBorders>
              <w:top w:val="nil"/>
              <w:left w:val="nil"/>
              <w:bottom w:val="nil"/>
              <w:right w:val="nil"/>
            </w:tcBorders>
            <w:shd w:val="clear" w:color="auto" w:fill="auto"/>
            <w:vAlign w:val="center"/>
            <w:hideMark/>
          </w:tcPr>
          <w:p w14:paraId="112628E7" w14:textId="77777777" w:rsidR="004E001C" w:rsidRPr="00C10DFE" w:rsidRDefault="004E001C" w:rsidP="00AE6F08">
            <w:pPr>
              <w:spacing w:before="240" w:line="240" w:lineRule="auto"/>
              <w:rPr>
                <w:rFonts w:eastAsia="Calibri"/>
                <w:sz w:val="22"/>
              </w:rPr>
            </w:pPr>
            <w:r w:rsidRPr="00C10DFE">
              <w:rPr>
                <w:rFonts w:eastAsia="Calibri"/>
                <w:sz w:val="22"/>
              </w:rPr>
              <w:t>2.5 × 10</w:t>
            </w:r>
            <w:r w:rsidRPr="00C10DFE">
              <w:rPr>
                <w:rFonts w:eastAsia="Calibri"/>
                <w:sz w:val="22"/>
                <w:vertAlign w:val="superscript"/>
              </w:rPr>
              <w:t>-5</w:t>
            </w:r>
            <w:r w:rsidRPr="00C10DFE">
              <w:rPr>
                <w:rFonts w:eastAsia="Calibri"/>
                <w:sz w:val="22"/>
              </w:rPr>
              <w:t xml:space="preserve"> m</w:t>
            </w:r>
            <w:r w:rsidRPr="00C10DFE">
              <w:rPr>
                <w:rFonts w:eastAsia="Calibri"/>
                <w:sz w:val="22"/>
                <w:vertAlign w:val="superscript"/>
              </w:rPr>
              <w:t>3</w:t>
            </w:r>
          </w:p>
        </w:tc>
        <w:tc>
          <w:tcPr>
            <w:tcW w:w="5580" w:type="dxa"/>
            <w:tcBorders>
              <w:top w:val="nil"/>
              <w:left w:val="nil"/>
              <w:bottom w:val="nil"/>
              <w:right w:val="nil"/>
            </w:tcBorders>
            <w:shd w:val="clear" w:color="auto" w:fill="auto"/>
            <w:vAlign w:val="center"/>
            <w:hideMark/>
          </w:tcPr>
          <w:p w14:paraId="7FFBF0C5" w14:textId="77777777" w:rsidR="004E001C" w:rsidRPr="00C10DFE" w:rsidRDefault="004E001C" w:rsidP="00AE6F08">
            <w:pPr>
              <w:spacing w:before="240" w:line="240" w:lineRule="auto"/>
              <w:rPr>
                <w:rFonts w:eastAsia="Calibri"/>
                <w:sz w:val="22"/>
              </w:rPr>
            </w:pPr>
            <w:r w:rsidRPr="00C10DFE">
              <w:rPr>
                <w:rFonts w:eastAsia="Calibri"/>
                <w:sz w:val="22"/>
              </w:rPr>
              <w:t>our experiment</w:t>
            </w:r>
          </w:p>
        </w:tc>
      </w:tr>
      <w:tr w:rsidR="00AE6F08" w:rsidRPr="00C10DFE" w14:paraId="6650F89D" w14:textId="77777777" w:rsidTr="00AE6F08">
        <w:tc>
          <w:tcPr>
            <w:tcW w:w="1728" w:type="dxa"/>
            <w:tcBorders>
              <w:top w:val="nil"/>
              <w:left w:val="nil"/>
              <w:bottom w:val="nil"/>
              <w:right w:val="nil"/>
            </w:tcBorders>
            <w:shd w:val="clear" w:color="auto" w:fill="auto"/>
            <w:vAlign w:val="center"/>
            <w:hideMark/>
          </w:tcPr>
          <w:p w14:paraId="533DDC36" w14:textId="77777777" w:rsidR="004E001C" w:rsidRPr="00C10DFE" w:rsidRDefault="004E001C" w:rsidP="00AE6F08">
            <w:pPr>
              <w:spacing w:before="240" w:line="240" w:lineRule="auto"/>
              <w:rPr>
                <w:rFonts w:eastAsia="Calibri"/>
                <w:sz w:val="22"/>
              </w:rPr>
            </w:pPr>
            <w:r w:rsidRPr="00C10DFE">
              <w:rPr>
                <w:rFonts w:eastAsia="Calibri"/>
                <w:i/>
                <w:iCs/>
                <w:sz w:val="22"/>
              </w:rPr>
              <w:t>V</w:t>
            </w:r>
            <w:r w:rsidRPr="00C10DFE">
              <w:rPr>
                <w:rFonts w:eastAsia="Calibri"/>
                <w:sz w:val="22"/>
                <w:vertAlign w:val="subscript"/>
              </w:rPr>
              <w:t>b</w:t>
            </w:r>
          </w:p>
        </w:tc>
        <w:tc>
          <w:tcPr>
            <w:tcW w:w="2250" w:type="dxa"/>
            <w:tcBorders>
              <w:top w:val="nil"/>
              <w:left w:val="nil"/>
              <w:bottom w:val="nil"/>
              <w:right w:val="nil"/>
            </w:tcBorders>
            <w:shd w:val="clear" w:color="auto" w:fill="auto"/>
            <w:vAlign w:val="center"/>
            <w:hideMark/>
          </w:tcPr>
          <w:p w14:paraId="0735E1A8" w14:textId="77777777" w:rsidR="004E001C" w:rsidRPr="00C10DFE" w:rsidRDefault="004E001C" w:rsidP="00AE6F08">
            <w:pPr>
              <w:spacing w:before="240" w:line="240" w:lineRule="auto"/>
              <w:rPr>
                <w:rFonts w:eastAsia="Calibri"/>
                <w:sz w:val="22"/>
              </w:rPr>
            </w:pPr>
            <w:r w:rsidRPr="00C10DFE">
              <w:rPr>
                <w:rFonts w:eastAsia="Calibri"/>
                <w:sz w:val="22"/>
              </w:rPr>
              <w:t>2.8×10</w:t>
            </w:r>
            <w:r w:rsidRPr="00C10DFE">
              <w:rPr>
                <w:rFonts w:eastAsia="Calibri"/>
                <w:sz w:val="22"/>
                <w:vertAlign w:val="superscript"/>
              </w:rPr>
              <w:t>-19</w:t>
            </w:r>
            <w:r w:rsidRPr="00C10DFE">
              <w:rPr>
                <w:rFonts w:eastAsia="Calibri"/>
                <w:sz w:val="22"/>
              </w:rPr>
              <w:t xml:space="preserve"> m</w:t>
            </w:r>
            <w:r w:rsidRPr="00C10DFE">
              <w:rPr>
                <w:rFonts w:eastAsia="Calibri"/>
                <w:sz w:val="22"/>
                <w:vertAlign w:val="superscript"/>
              </w:rPr>
              <w:t>3</w:t>
            </w:r>
          </w:p>
        </w:tc>
        <w:tc>
          <w:tcPr>
            <w:tcW w:w="5580" w:type="dxa"/>
            <w:tcBorders>
              <w:top w:val="nil"/>
              <w:left w:val="nil"/>
              <w:bottom w:val="nil"/>
              <w:right w:val="nil"/>
            </w:tcBorders>
            <w:shd w:val="clear" w:color="auto" w:fill="auto"/>
            <w:vAlign w:val="center"/>
            <w:hideMark/>
          </w:tcPr>
          <w:p w14:paraId="391E9BEF" w14:textId="77777777" w:rsidR="004E001C" w:rsidRPr="00C10DFE" w:rsidRDefault="004E001C" w:rsidP="00AE6F08">
            <w:pPr>
              <w:spacing w:before="240" w:line="240" w:lineRule="auto"/>
              <w:rPr>
                <w:rFonts w:eastAsia="Calibri"/>
                <w:sz w:val="22"/>
              </w:rPr>
            </w:pPr>
            <w:r w:rsidRPr="00C10DFE">
              <w:rPr>
                <w:rFonts w:eastAsia="Calibri"/>
                <w:sz w:val="22"/>
              </w:rPr>
              <w:t>our simulation</w:t>
            </w:r>
          </w:p>
        </w:tc>
      </w:tr>
      <w:tr w:rsidR="00AE6F08" w:rsidRPr="00C10DFE" w14:paraId="5A57C152" w14:textId="77777777" w:rsidTr="00AE6F08">
        <w:tc>
          <w:tcPr>
            <w:tcW w:w="1728" w:type="dxa"/>
            <w:tcBorders>
              <w:top w:val="nil"/>
              <w:left w:val="nil"/>
              <w:bottom w:val="nil"/>
              <w:right w:val="nil"/>
            </w:tcBorders>
            <w:shd w:val="clear" w:color="auto" w:fill="auto"/>
            <w:vAlign w:val="center"/>
            <w:hideMark/>
          </w:tcPr>
          <w:p w14:paraId="4B5E823D" w14:textId="77777777" w:rsidR="004E001C" w:rsidRPr="00C10DFE" w:rsidRDefault="004E001C" w:rsidP="00AE6F08">
            <w:pPr>
              <w:spacing w:before="240" w:line="240" w:lineRule="auto"/>
              <w:rPr>
                <w:rFonts w:eastAsia="Calibri"/>
                <w:i/>
                <w:iCs/>
                <w:sz w:val="22"/>
              </w:rPr>
            </w:pPr>
            <w:r w:rsidRPr="00C10DFE">
              <w:rPr>
                <w:rFonts w:eastAsia="Calibri"/>
                <w:i/>
                <w:iCs/>
                <w:sz w:val="22"/>
              </w:rPr>
              <w:t>T</w:t>
            </w:r>
          </w:p>
        </w:tc>
        <w:tc>
          <w:tcPr>
            <w:tcW w:w="2250" w:type="dxa"/>
            <w:tcBorders>
              <w:top w:val="nil"/>
              <w:left w:val="nil"/>
              <w:bottom w:val="nil"/>
              <w:right w:val="nil"/>
            </w:tcBorders>
            <w:shd w:val="clear" w:color="auto" w:fill="auto"/>
            <w:vAlign w:val="center"/>
            <w:hideMark/>
          </w:tcPr>
          <w:p w14:paraId="03B74AE3" w14:textId="77777777" w:rsidR="004E001C" w:rsidRPr="00C10DFE" w:rsidRDefault="004E001C" w:rsidP="00AE6F08">
            <w:pPr>
              <w:spacing w:before="240" w:line="240" w:lineRule="auto"/>
              <w:rPr>
                <w:rFonts w:eastAsia="Calibri"/>
                <w:sz w:val="22"/>
              </w:rPr>
            </w:pPr>
            <w:r w:rsidRPr="00C10DFE">
              <w:rPr>
                <w:rFonts w:eastAsia="Calibri"/>
                <w:sz w:val="22"/>
              </w:rPr>
              <w:t>593 K</w:t>
            </w:r>
          </w:p>
        </w:tc>
        <w:tc>
          <w:tcPr>
            <w:tcW w:w="5580" w:type="dxa"/>
            <w:tcBorders>
              <w:top w:val="nil"/>
              <w:left w:val="nil"/>
              <w:bottom w:val="nil"/>
              <w:right w:val="nil"/>
            </w:tcBorders>
            <w:shd w:val="clear" w:color="auto" w:fill="auto"/>
            <w:vAlign w:val="center"/>
            <w:hideMark/>
          </w:tcPr>
          <w:p w14:paraId="29C08915" w14:textId="77777777" w:rsidR="004E001C" w:rsidRPr="00C10DFE" w:rsidRDefault="004E001C" w:rsidP="00AE6F08">
            <w:pPr>
              <w:spacing w:before="240" w:line="240" w:lineRule="auto"/>
              <w:rPr>
                <w:rFonts w:eastAsia="Calibri"/>
                <w:sz w:val="22"/>
              </w:rPr>
            </w:pPr>
            <w:r w:rsidRPr="00C10DFE">
              <w:rPr>
                <w:rFonts w:eastAsia="Calibri"/>
                <w:sz w:val="22"/>
              </w:rPr>
              <w:t>our experiment</w:t>
            </w:r>
          </w:p>
        </w:tc>
      </w:tr>
      <w:tr w:rsidR="00AE6F08" w:rsidRPr="00C10DFE" w14:paraId="26A7870B" w14:textId="77777777" w:rsidTr="00AE6F08">
        <w:tc>
          <w:tcPr>
            <w:tcW w:w="1728" w:type="dxa"/>
            <w:tcBorders>
              <w:top w:val="nil"/>
              <w:left w:val="nil"/>
              <w:bottom w:val="nil"/>
              <w:right w:val="nil"/>
            </w:tcBorders>
            <w:shd w:val="clear" w:color="auto" w:fill="auto"/>
            <w:vAlign w:val="center"/>
            <w:hideMark/>
          </w:tcPr>
          <w:p w14:paraId="73A046B2" w14:textId="77777777" w:rsidR="004E001C" w:rsidRPr="00C10DFE" w:rsidRDefault="004E001C" w:rsidP="00AE6F08">
            <w:pPr>
              <w:spacing w:before="240" w:line="240" w:lineRule="auto"/>
              <w:rPr>
                <w:rFonts w:eastAsia="Calibri"/>
                <w:sz w:val="22"/>
              </w:rPr>
            </w:pPr>
            <w:r w:rsidRPr="00C10DFE">
              <w:rPr>
                <w:rFonts w:eastAsia="Calibri"/>
                <w:i/>
                <w:iCs/>
                <w:sz w:val="22"/>
              </w:rPr>
              <w:t xml:space="preserve">μ </w:t>
            </w:r>
          </w:p>
        </w:tc>
        <w:tc>
          <w:tcPr>
            <w:tcW w:w="2250" w:type="dxa"/>
            <w:tcBorders>
              <w:top w:val="nil"/>
              <w:left w:val="nil"/>
              <w:bottom w:val="nil"/>
              <w:right w:val="nil"/>
            </w:tcBorders>
            <w:shd w:val="clear" w:color="auto" w:fill="auto"/>
            <w:vAlign w:val="center"/>
            <w:hideMark/>
          </w:tcPr>
          <w:p w14:paraId="66C507AF" w14:textId="77777777" w:rsidR="004E001C" w:rsidRPr="00C10DFE" w:rsidRDefault="004E001C" w:rsidP="00AE6F08">
            <w:pPr>
              <w:spacing w:before="240" w:line="240" w:lineRule="auto"/>
              <w:rPr>
                <w:rFonts w:eastAsia="Calibri"/>
                <w:sz w:val="22"/>
              </w:rPr>
            </w:pPr>
            <w:r w:rsidRPr="00C10DFE">
              <w:rPr>
                <w:rFonts w:eastAsia="Calibri"/>
                <w:sz w:val="22"/>
              </w:rPr>
              <w:t>0.3 kg.m</w:t>
            </w:r>
            <w:r w:rsidRPr="00C10DFE">
              <w:rPr>
                <w:rFonts w:eastAsia="Calibri"/>
                <w:sz w:val="22"/>
                <w:vertAlign w:val="superscript"/>
              </w:rPr>
              <w:t>-1</w:t>
            </w:r>
            <w:r w:rsidRPr="00C10DFE">
              <w:rPr>
                <w:rFonts w:eastAsia="Calibri"/>
                <w:sz w:val="22"/>
              </w:rPr>
              <w:t>s</w:t>
            </w:r>
            <w:r w:rsidRPr="00C10DFE">
              <w:rPr>
                <w:rFonts w:eastAsia="Calibri"/>
                <w:sz w:val="22"/>
                <w:vertAlign w:val="superscript"/>
              </w:rPr>
              <w:t>-1</w:t>
            </w:r>
          </w:p>
        </w:tc>
        <w:tc>
          <w:tcPr>
            <w:tcW w:w="5580" w:type="dxa"/>
            <w:tcBorders>
              <w:top w:val="nil"/>
              <w:left w:val="nil"/>
              <w:bottom w:val="nil"/>
              <w:right w:val="nil"/>
            </w:tcBorders>
            <w:shd w:val="clear" w:color="auto" w:fill="auto"/>
            <w:vAlign w:val="center"/>
            <w:hideMark/>
          </w:tcPr>
          <w:p w14:paraId="2FC4A981" w14:textId="77777777" w:rsidR="004E001C" w:rsidRPr="00C10DFE" w:rsidRDefault="004E001C" w:rsidP="00AE6F08">
            <w:pPr>
              <w:spacing w:before="240" w:line="240" w:lineRule="auto"/>
              <w:rPr>
                <w:rFonts w:eastAsia="Calibri"/>
                <w:sz w:val="22"/>
              </w:rPr>
            </w:pPr>
            <w:r w:rsidRPr="00C10DFE">
              <w:rPr>
                <w:rFonts w:eastAsia="Calibri"/>
                <w:sz w:val="22"/>
              </w:rPr>
              <w:t xml:space="preserve">obtained from literature </w:t>
            </w:r>
          </w:p>
        </w:tc>
      </w:tr>
      <w:tr w:rsidR="00AE6F08" w:rsidRPr="00C10DFE" w14:paraId="6BE3234A" w14:textId="77777777" w:rsidTr="00AE6F08">
        <w:tc>
          <w:tcPr>
            <w:tcW w:w="1728" w:type="dxa"/>
            <w:tcBorders>
              <w:top w:val="nil"/>
              <w:left w:val="nil"/>
              <w:bottom w:val="nil"/>
              <w:right w:val="nil"/>
            </w:tcBorders>
            <w:shd w:val="clear" w:color="auto" w:fill="auto"/>
            <w:vAlign w:val="center"/>
            <w:hideMark/>
          </w:tcPr>
          <w:p w14:paraId="03F467EC" w14:textId="77777777" w:rsidR="004E001C" w:rsidRPr="00C10DFE" w:rsidRDefault="004E001C" w:rsidP="00AE6F08">
            <w:pPr>
              <w:spacing w:before="240" w:line="240" w:lineRule="auto"/>
              <w:rPr>
                <w:rFonts w:eastAsia="Calibri"/>
                <w:sz w:val="22"/>
              </w:rPr>
            </w:pPr>
            <w:r w:rsidRPr="00C10DFE">
              <w:rPr>
                <w:rFonts w:eastAsia="Calibri"/>
                <w:i/>
                <w:iCs/>
                <w:sz w:val="22"/>
              </w:rPr>
              <w:lastRenderedPageBreak/>
              <w:t>D</w:t>
            </w:r>
            <w:r w:rsidRPr="00C10DFE">
              <w:rPr>
                <w:rFonts w:eastAsia="Calibri"/>
                <w:sz w:val="22"/>
                <w:vertAlign w:val="subscript"/>
              </w:rPr>
              <w:t>m</w:t>
            </w:r>
          </w:p>
        </w:tc>
        <w:tc>
          <w:tcPr>
            <w:tcW w:w="2250" w:type="dxa"/>
            <w:tcBorders>
              <w:top w:val="nil"/>
              <w:left w:val="nil"/>
              <w:bottom w:val="nil"/>
              <w:right w:val="nil"/>
            </w:tcBorders>
            <w:shd w:val="clear" w:color="auto" w:fill="auto"/>
            <w:vAlign w:val="center"/>
            <w:hideMark/>
          </w:tcPr>
          <w:p w14:paraId="524381AE" w14:textId="77777777" w:rsidR="004E001C" w:rsidRPr="00C10DFE" w:rsidRDefault="004E001C" w:rsidP="00AE6F08">
            <w:pPr>
              <w:spacing w:before="240" w:line="240" w:lineRule="auto"/>
              <w:rPr>
                <w:rFonts w:eastAsia="Calibri"/>
                <w:sz w:val="22"/>
              </w:rPr>
            </w:pPr>
            <w:r w:rsidRPr="00C10DFE">
              <w:rPr>
                <w:rFonts w:eastAsia="Calibri"/>
                <w:sz w:val="22"/>
              </w:rPr>
              <w:t>2.28 × 10</w:t>
            </w:r>
            <w:r w:rsidRPr="00C10DFE">
              <w:rPr>
                <w:rFonts w:eastAsia="Calibri"/>
                <w:sz w:val="22"/>
                <w:vertAlign w:val="superscript"/>
              </w:rPr>
              <w:t>-8</w:t>
            </w:r>
            <w:r w:rsidRPr="00C10DFE">
              <w:rPr>
                <w:rFonts w:eastAsia="Calibri"/>
                <w:sz w:val="22"/>
              </w:rPr>
              <w:t xml:space="preserve"> m</w:t>
            </w:r>
            <w:r w:rsidRPr="00C10DFE">
              <w:rPr>
                <w:rFonts w:eastAsia="Calibri"/>
                <w:sz w:val="22"/>
                <w:vertAlign w:val="superscript"/>
              </w:rPr>
              <w:t>2</w:t>
            </w:r>
            <w:r w:rsidRPr="00C10DFE">
              <w:rPr>
                <w:rFonts w:eastAsia="Calibri"/>
                <w:sz w:val="22"/>
              </w:rPr>
              <w:t>s</w:t>
            </w:r>
            <w:r w:rsidRPr="00C10DFE">
              <w:rPr>
                <w:rFonts w:eastAsia="Calibri"/>
                <w:sz w:val="22"/>
                <w:vertAlign w:val="superscript"/>
              </w:rPr>
              <w:t>-1</w:t>
            </w:r>
          </w:p>
        </w:tc>
        <w:tc>
          <w:tcPr>
            <w:tcW w:w="5580" w:type="dxa"/>
            <w:tcBorders>
              <w:top w:val="nil"/>
              <w:left w:val="nil"/>
              <w:bottom w:val="nil"/>
              <w:right w:val="nil"/>
            </w:tcBorders>
            <w:shd w:val="clear" w:color="auto" w:fill="auto"/>
            <w:vAlign w:val="center"/>
            <w:hideMark/>
          </w:tcPr>
          <w:p w14:paraId="02D2CBDA" w14:textId="0CC23860" w:rsidR="004E001C" w:rsidRPr="00C10DFE" w:rsidRDefault="004E001C" w:rsidP="00AE6F08">
            <w:pPr>
              <w:spacing w:before="240" w:line="240" w:lineRule="auto"/>
              <w:rPr>
                <w:rFonts w:eastAsia="Calibri"/>
                <w:sz w:val="22"/>
              </w:rPr>
            </w:pPr>
            <w:r w:rsidRPr="00C10DFE">
              <w:rPr>
                <w:rFonts w:eastAsia="Calibri"/>
                <w:sz w:val="22"/>
              </w:rPr>
              <w:t xml:space="preserve">Estimated using Wilke-Chang </w:t>
            </w:r>
            <w:r w:rsidR="00F61E28" w:rsidRPr="00C10DFE">
              <w:rPr>
                <w:rFonts w:eastAsia="Calibri"/>
                <w:sz w:val="22"/>
              </w:rPr>
              <w:t>correlation</w:t>
            </w:r>
            <w:r w:rsidR="00F61E28" w:rsidRPr="00C10DFE">
              <w:rPr>
                <w:rFonts w:eastAsia="Calibri"/>
                <w:noProof/>
                <w:sz w:val="22"/>
                <w:vertAlign w:val="superscript"/>
              </w:rPr>
              <w:t xml:space="preserve"> </w:t>
            </w:r>
            <w:r w:rsidR="00B55512">
              <w:rPr>
                <w:rFonts w:eastAsia="Calibri"/>
                <w:noProof/>
                <w:sz w:val="22"/>
                <w:vertAlign w:val="superscript"/>
              </w:rPr>
              <w:fldChar w:fldCharType="begin"/>
            </w:r>
            <w:r w:rsidR="00B55512">
              <w:rPr>
                <w:rFonts w:eastAsia="Calibri"/>
                <w:noProof/>
                <w:sz w:val="22"/>
                <w:vertAlign w:val="superscript"/>
              </w:rPr>
              <w:instrText xml:space="preserve"> ADDIN EN.CITE &lt;EndNote&gt;&lt;Cite&gt;&lt;Author&gt;Treybal&lt;/Author&gt;&lt;Year&gt;1980&lt;/Year&gt;&lt;RecNum&gt;6&lt;/RecNum&gt;&lt;DisplayText&gt;[7]&lt;/DisplayText&gt;&lt;record&gt;&lt;rec-number&gt;6&lt;/rec-number&gt;&lt;foreign-keys&gt;&lt;key app="EN" db-id="s5edx5r5efrdsnespva5ezweerf0xavaafs0" timestamp="0"&gt;6&lt;/key&gt;&lt;/foreign-keys&gt;&lt;ref-type name="Journal Article"&gt;17&lt;/ref-type&gt;&lt;contributors&gt;&lt;authors&gt;&lt;author&gt;Treybal, Robert E&lt;/author&gt;&lt;/authors&gt;&lt;/contributors&gt;&lt;titles&gt;&lt;title&gt;Mass transfer operations&lt;/title&gt;&lt;secondary-title&gt;New York&lt;/secondary-title&gt;&lt;/titles&gt;&lt;volume&gt;466&lt;/volume&gt;&lt;dates&gt;&lt;year&gt;1980&lt;/year&gt;&lt;/dates&gt;&lt;urls&gt;&lt;/urls&gt;&lt;/record&gt;&lt;/Cite&gt;&lt;/EndNote&gt;</w:instrText>
            </w:r>
            <w:r w:rsidR="00B55512">
              <w:rPr>
                <w:rFonts w:eastAsia="Calibri"/>
                <w:noProof/>
                <w:sz w:val="22"/>
                <w:vertAlign w:val="superscript"/>
              </w:rPr>
              <w:fldChar w:fldCharType="separate"/>
            </w:r>
            <w:r w:rsidR="00B55512">
              <w:rPr>
                <w:rFonts w:eastAsia="Calibri"/>
                <w:noProof/>
                <w:sz w:val="22"/>
                <w:vertAlign w:val="superscript"/>
              </w:rPr>
              <w:t>[7]</w:t>
            </w:r>
            <w:r w:rsidR="00B55512">
              <w:rPr>
                <w:rFonts w:eastAsia="Calibri"/>
                <w:noProof/>
                <w:sz w:val="22"/>
                <w:vertAlign w:val="superscript"/>
              </w:rPr>
              <w:fldChar w:fldCharType="end"/>
            </w:r>
            <w:r w:rsidRPr="00C10DFE">
              <w:rPr>
                <w:rFonts w:eastAsia="Calibri"/>
                <w:sz w:val="22"/>
              </w:rPr>
              <w:t xml:space="preserve"> </w:t>
            </w:r>
          </w:p>
        </w:tc>
      </w:tr>
      <w:tr w:rsidR="00AE6F08" w:rsidRPr="00C10DFE" w14:paraId="70BFD13A" w14:textId="77777777" w:rsidTr="00AE6F08">
        <w:tc>
          <w:tcPr>
            <w:tcW w:w="1728" w:type="dxa"/>
            <w:tcBorders>
              <w:top w:val="nil"/>
              <w:left w:val="nil"/>
              <w:bottom w:val="nil"/>
              <w:right w:val="nil"/>
            </w:tcBorders>
            <w:shd w:val="clear" w:color="auto" w:fill="auto"/>
            <w:vAlign w:val="center"/>
            <w:hideMark/>
          </w:tcPr>
          <w:p w14:paraId="03CDB777" w14:textId="77777777" w:rsidR="004E001C" w:rsidRPr="00C10DFE" w:rsidRDefault="004E001C" w:rsidP="00AE6F08">
            <w:pPr>
              <w:spacing w:before="240" w:line="240" w:lineRule="auto"/>
              <w:rPr>
                <w:rFonts w:eastAsia="Calibri"/>
                <w:sz w:val="22"/>
              </w:rPr>
            </w:pPr>
            <w:r w:rsidRPr="00C10DFE">
              <w:rPr>
                <w:rFonts w:eastAsia="Calibri"/>
                <w:i/>
                <w:iCs/>
                <w:sz w:val="22"/>
              </w:rPr>
              <w:t>l</w:t>
            </w:r>
            <w:r w:rsidRPr="00C10DFE">
              <w:rPr>
                <w:rFonts w:eastAsia="Calibri"/>
                <w:sz w:val="22"/>
                <w:vertAlign w:val="subscript"/>
              </w:rPr>
              <w:t>c</w:t>
            </w:r>
          </w:p>
        </w:tc>
        <w:tc>
          <w:tcPr>
            <w:tcW w:w="2250" w:type="dxa"/>
            <w:tcBorders>
              <w:top w:val="nil"/>
              <w:left w:val="nil"/>
              <w:bottom w:val="nil"/>
              <w:right w:val="nil"/>
            </w:tcBorders>
            <w:shd w:val="clear" w:color="auto" w:fill="auto"/>
            <w:vAlign w:val="center"/>
            <w:hideMark/>
          </w:tcPr>
          <w:p w14:paraId="0603F1BA" w14:textId="77777777" w:rsidR="004E001C" w:rsidRPr="00C10DFE" w:rsidRDefault="004E001C" w:rsidP="00AE6F08">
            <w:pPr>
              <w:spacing w:before="240" w:line="240" w:lineRule="auto"/>
              <w:rPr>
                <w:rFonts w:eastAsia="Calibri"/>
                <w:sz w:val="22"/>
              </w:rPr>
            </w:pPr>
            <w:r w:rsidRPr="00C10DFE">
              <w:rPr>
                <w:rFonts w:eastAsia="Calibri"/>
                <w:sz w:val="22"/>
              </w:rPr>
              <w:t>2</w:t>
            </w:r>
          </w:p>
        </w:tc>
        <w:tc>
          <w:tcPr>
            <w:tcW w:w="5580" w:type="dxa"/>
            <w:tcBorders>
              <w:top w:val="nil"/>
              <w:left w:val="nil"/>
              <w:bottom w:val="nil"/>
              <w:right w:val="nil"/>
            </w:tcBorders>
            <w:shd w:val="clear" w:color="auto" w:fill="auto"/>
            <w:vAlign w:val="center"/>
            <w:hideMark/>
          </w:tcPr>
          <w:p w14:paraId="605D2776" w14:textId="6CB34BC5" w:rsidR="004E001C" w:rsidRPr="00C10DFE" w:rsidRDefault="004E001C" w:rsidP="00AE6F08">
            <w:pPr>
              <w:spacing w:before="240" w:line="240" w:lineRule="auto"/>
              <w:rPr>
                <w:rFonts w:eastAsia="Calibri"/>
                <w:sz w:val="22"/>
              </w:rPr>
            </w:pPr>
            <w:r w:rsidRPr="00C10DFE">
              <w:rPr>
                <w:rFonts w:eastAsia="Calibri"/>
                <w:sz w:val="22"/>
              </w:rPr>
              <w:t xml:space="preserve">obtained from literature </w:t>
            </w:r>
            <w:r w:rsidR="00B55512">
              <w:rPr>
                <w:rFonts w:eastAsia="Calibri"/>
                <w:noProof/>
                <w:sz w:val="22"/>
                <w:vertAlign w:val="superscript"/>
              </w:rPr>
              <w:fldChar w:fldCharType="begin"/>
            </w:r>
            <w:r w:rsidR="00B55512">
              <w:rPr>
                <w:rFonts w:eastAsia="Calibri"/>
                <w:noProof/>
                <w:sz w:val="22"/>
                <w:vertAlign w:val="superscript"/>
              </w:rPr>
              <w:instrText xml:space="preserve"> ADDIN EN.CITE &lt;EndNote&gt;&lt;Cite&gt;&lt;Author&gt;Layek&lt;/Author&gt;&lt;Year&gt;2012&lt;/Year&gt;&lt;RecNum&gt;14&lt;/RecNum&gt;&lt;DisplayText&gt;[4]&lt;/DisplayText&gt;&lt;record&gt;&lt;rec-number&gt;14&lt;/rec-number&gt;&lt;foreign-keys&gt;&lt;key app="EN" db-id="s5edx5r5efrdsnespva5ezweerf0xavaafs0" timestamp="0"&gt;14&lt;/key&gt;&lt;/foreign-keys&gt;&lt;ref-type name="Journal Article"&gt;17&lt;/ref-type&gt;&lt;contributors&gt;&lt;authors&gt;&lt;author&gt;Layek, Arunasish&lt;/author&gt;&lt;author&gt;Mishra, Gargi&lt;/author&gt;&lt;author&gt;Sharma, Archana&lt;/author&gt;&lt;author&gt;Spasova, Marina&lt;/author&gt;&lt;author&gt;Dhar, Subhabrata&lt;/author&gt;&lt;author&gt;Chowdhury, Arindam&lt;/author&gt;&lt;author&gt;Bandyopadhyaya, Rajdip&lt;/author&gt;&lt;/authors&gt;&lt;/contributors&gt;&lt;titles&gt;&lt;title&gt;A generalized three-stage mechanism of ZnO nanoparticle formation in homogeneous liquid medium&lt;/title&gt;&lt;secondary-title&gt;The Journal of Physical Chemistry C&lt;/secondary-title&gt;&lt;/titles&gt;&lt;pages&gt;24757-24769&lt;/pages&gt;&lt;volume&gt;116&lt;/volume&gt;&lt;number&gt;46&lt;/number&gt;&lt;dates&gt;&lt;year&gt;2012&lt;/year&gt;&lt;/dates&gt;&lt;isbn&gt;1932-7447&lt;/isbn&gt;&lt;urls&gt;&lt;/urls&gt;&lt;/record&gt;&lt;/Cite&gt;&lt;/EndNote&gt;</w:instrText>
            </w:r>
            <w:r w:rsidR="00B55512">
              <w:rPr>
                <w:rFonts w:eastAsia="Calibri"/>
                <w:noProof/>
                <w:sz w:val="22"/>
                <w:vertAlign w:val="superscript"/>
              </w:rPr>
              <w:fldChar w:fldCharType="separate"/>
            </w:r>
            <w:r w:rsidR="00B55512">
              <w:rPr>
                <w:rFonts w:eastAsia="Calibri"/>
                <w:noProof/>
                <w:sz w:val="22"/>
                <w:vertAlign w:val="superscript"/>
              </w:rPr>
              <w:t>[4]</w:t>
            </w:r>
            <w:r w:rsidR="00B55512">
              <w:rPr>
                <w:rFonts w:eastAsia="Calibri"/>
                <w:noProof/>
                <w:sz w:val="22"/>
                <w:vertAlign w:val="superscript"/>
              </w:rPr>
              <w:fldChar w:fldCharType="end"/>
            </w:r>
          </w:p>
        </w:tc>
      </w:tr>
      <w:tr w:rsidR="00AE6F08" w:rsidRPr="00C10DFE" w14:paraId="4ACF4FDA" w14:textId="77777777" w:rsidTr="00AE6F08">
        <w:tc>
          <w:tcPr>
            <w:tcW w:w="1728" w:type="dxa"/>
            <w:tcBorders>
              <w:top w:val="nil"/>
              <w:left w:val="nil"/>
              <w:bottom w:val="nil"/>
              <w:right w:val="nil"/>
            </w:tcBorders>
            <w:shd w:val="clear" w:color="auto" w:fill="auto"/>
            <w:vAlign w:val="center"/>
            <w:hideMark/>
          </w:tcPr>
          <w:p w14:paraId="09CA857A" w14:textId="77777777" w:rsidR="004E001C" w:rsidRPr="00C10DFE" w:rsidRDefault="004E001C" w:rsidP="00AE6F08">
            <w:pPr>
              <w:spacing w:before="240" w:line="240" w:lineRule="auto"/>
              <w:rPr>
                <w:rFonts w:eastAsia="Calibri"/>
                <w:i/>
                <w:iCs/>
                <w:sz w:val="22"/>
              </w:rPr>
            </w:pPr>
            <w:r w:rsidRPr="00C10DFE">
              <w:rPr>
                <w:rFonts w:eastAsia="Calibri"/>
                <w:i/>
                <w:iCs/>
                <w:sz w:val="22"/>
              </w:rPr>
              <w:t>A</w:t>
            </w:r>
          </w:p>
        </w:tc>
        <w:tc>
          <w:tcPr>
            <w:tcW w:w="2250" w:type="dxa"/>
            <w:tcBorders>
              <w:top w:val="nil"/>
              <w:left w:val="nil"/>
              <w:bottom w:val="nil"/>
              <w:right w:val="nil"/>
            </w:tcBorders>
            <w:shd w:val="clear" w:color="auto" w:fill="auto"/>
            <w:vAlign w:val="center"/>
            <w:hideMark/>
          </w:tcPr>
          <w:p w14:paraId="396F3FE9" w14:textId="77777777" w:rsidR="004E001C" w:rsidRPr="00C10DFE" w:rsidRDefault="004E001C" w:rsidP="00AE6F08">
            <w:pPr>
              <w:spacing w:before="240" w:line="240" w:lineRule="auto"/>
              <w:rPr>
                <w:rFonts w:eastAsia="Calibri"/>
                <w:sz w:val="22"/>
              </w:rPr>
            </w:pPr>
            <w:r w:rsidRPr="00C10DFE">
              <w:rPr>
                <w:rFonts w:eastAsia="Calibri"/>
                <w:sz w:val="22"/>
              </w:rPr>
              <w:t>10</w:t>
            </w:r>
            <w:r w:rsidRPr="00C10DFE">
              <w:rPr>
                <w:rFonts w:eastAsia="Calibri"/>
                <w:sz w:val="22"/>
                <w:vertAlign w:val="superscript"/>
              </w:rPr>
              <w:t>34</w:t>
            </w:r>
            <w:r w:rsidRPr="00C10DFE">
              <w:rPr>
                <w:rFonts w:eastAsia="Calibri"/>
                <w:sz w:val="22"/>
              </w:rPr>
              <w:t xml:space="preserve"> m</w:t>
            </w:r>
            <w:r w:rsidRPr="00C10DFE">
              <w:rPr>
                <w:rFonts w:eastAsia="Calibri"/>
                <w:sz w:val="22"/>
                <w:vertAlign w:val="superscript"/>
              </w:rPr>
              <w:t>-3</w:t>
            </w:r>
            <w:r w:rsidRPr="00C10DFE">
              <w:rPr>
                <w:rFonts w:eastAsia="Calibri"/>
                <w:sz w:val="22"/>
              </w:rPr>
              <w:t>s</w:t>
            </w:r>
            <w:r w:rsidRPr="00C10DFE">
              <w:rPr>
                <w:rFonts w:eastAsia="Calibri"/>
                <w:sz w:val="22"/>
                <w:vertAlign w:val="superscript"/>
              </w:rPr>
              <w:t>-1</w:t>
            </w:r>
          </w:p>
        </w:tc>
        <w:tc>
          <w:tcPr>
            <w:tcW w:w="5580" w:type="dxa"/>
            <w:tcBorders>
              <w:top w:val="nil"/>
              <w:left w:val="nil"/>
              <w:bottom w:val="nil"/>
              <w:right w:val="nil"/>
            </w:tcBorders>
            <w:shd w:val="clear" w:color="auto" w:fill="auto"/>
            <w:vAlign w:val="center"/>
            <w:hideMark/>
          </w:tcPr>
          <w:p w14:paraId="7BF39606" w14:textId="5D8F02FD" w:rsidR="004E001C" w:rsidRPr="00C10DFE" w:rsidRDefault="004E001C" w:rsidP="00AE6F08">
            <w:pPr>
              <w:spacing w:before="240" w:line="240" w:lineRule="auto"/>
              <w:rPr>
                <w:rFonts w:eastAsia="Calibri"/>
                <w:sz w:val="22"/>
              </w:rPr>
            </w:pPr>
            <w:r w:rsidRPr="00C10DFE">
              <w:rPr>
                <w:rFonts w:eastAsia="Calibri"/>
                <w:sz w:val="22"/>
              </w:rPr>
              <w:t xml:space="preserve">obtained from literature </w:t>
            </w:r>
            <w:r w:rsidR="00B55512">
              <w:rPr>
                <w:rFonts w:eastAsia="Calibri"/>
                <w:noProof/>
                <w:sz w:val="22"/>
                <w:vertAlign w:val="superscript"/>
              </w:rPr>
              <w:fldChar w:fldCharType="begin"/>
            </w:r>
            <w:r w:rsidR="00B55512">
              <w:rPr>
                <w:rFonts w:eastAsia="Calibri"/>
                <w:noProof/>
                <w:sz w:val="22"/>
                <w:vertAlign w:val="superscript"/>
              </w:rPr>
              <w:instrText xml:space="preserve"> ADDIN EN.CITE &lt;EndNote&gt;&lt;Cite&gt;&lt;Author&gt;Layek&lt;/Author&gt;&lt;Year&gt;2012&lt;/Year&gt;&lt;RecNum&gt;14&lt;/RecNum&gt;&lt;DisplayText&gt;[4]&lt;/DisplayText&gt;&lt;record&gt;&lt;rec-number&gt;14&lt;/rec-number&gt;&lt;foreign-keys&gt;&lt;key app="EN" db-id="s5edx5r5efrdsnespva5ezweerf0xavaafs0" timestamp="0"&gt;14&lt;/key&gt;&lt;/foreign-keys&gt;&lt;ref-type name="Journal Article"&gt;17&lt;/ref-type&gt;&lt;contributors&gt;&lt;authors&gt;&lt;author&gt;Layek, Arunasish&lt;/author&gt;&lt;author&gt;Mishra, Gargi&lt;/author&gt;&lt;author&gt;Sharma, Archana&lt;/author&gt;&lt;author&gt;Spasova, Marina&lt;/author&gt;&lt;author&gt;Dhar, Subhabrata&lt;/author&gt;&lt;author&gt;Chowdhury, Arindam&lt;/author&gt;&lt;author&gt;Bandyopadhyaya, Rajdip&lt;/author&gt;&lt;/authors&gt;&lt;/contributors&gt;&lt;titles&gt;&lt;title&gt;A generalized three-stage mechanism of ZnO nanoparticle formation in homogeneous liquid medium&lt;/title&gt;&lt;secondary-title&gt;The Journal of Physical Chemistry C&lt;/secondary-title&gt;&lt;/titles&gt;&lt;pages&gt;24757-24769&lt;/pages&gt;&lt;volume&gt;116&lt;/volume&gt;&lt;number&gt;46&lt;/number&gt;&lt;dates&gt;&lt;year&gt;2012&lt;/year&gt;&lt;/dates&gt;&lt;isbn&gt;1932-7447&lt;/isbn&gt;&lt;urls&gt;&lt;/urls&gt;&lt;/record&gt;&lt;/Cite&gt;&lt;/EndNote&gt;</w:instrText>
            </w:r>
            <w:r w:rsidR="00B55512">
              <w:rPr>
                <w:rFonts w:eastAsia="Calibri"/>
                <w:noProof/>
                <w:sz w:val="22"/>
                <w:vertAlign w:val="superscript"/>
              </w:rPr>
              <w:fldChar w:fldCharType="separate"/>
            </w:r>
            <w:r w:rsidR="00B55512">
              <w:rPr>
                <w:rFonts w:eastAsia="Calibri"/>
                <w:noProof/>
                <w:sz w:val="22"/>
                <w:vertAlign w:val="superscript"/>
              </w:rPr>
              <w:t>[4]</w:t>
            </w:r>
            <w:r w:rsidR="00B55512">
              <w:rPr>
                <w:rFonts w:eastAsia="Calibri"/>
                <w:noProof/>
                <w:sz w:val="22"/>
                <w:vertAlign w:val="superscript"/>
              </w:rPr>
              <w:fldChar w:fldCharType="end"/>
            </w:r>
          </w:p>
        </w:tc>
      </w:tr>
      <w:tr w:rsidR="00AE6F08" w:rsidRPr="00C10DFE" w14:paraId="7D6E7DE0" w14:textId="77777777" w:rsidTr="00AE6F08">
        <w:tc>
          <w:tcPr>
            <w:tcW w:w="1728" w:type="dxa"/>
            <w:tcBorders>
              <w:top w:val="nil"/>
              <w:left w:val="nil"/>
              <w:bottom w:val="nil"/>
              <w:right w:val="nil"/>
            </w:tcBorders>
            <w:shd w:val="clear" w:color="auto" w:fill="auto"/>
            <w:vAlign w:val="center"/>
            <w:hideMark/>
          </w:tcPr>
          <w:p w14:paraId="0E3738C9" w14:textId="77777777" w:rsidR="004E001C" w:rsidRPr="00C10DFE" w:rsidRDefault="004E001C" w:rsidP="00AE6F08">
            <w:pPr>
              <w:spacing w:before="240" w:line="240" w:lineRule="auto"/>
              <w:rPr>
                <w:rFonts w:eastAsia="Calibri"/>
                <w:i/>
                <w:iCs/>
                <w:sz w:val="22"/>
              </w:rPr>
            </w:pPr>
            <w:r w:rsidRPr="00C10DFE">
              <w:rPr>
                <w:rFonts w:eastAsia="Calibri"/>
                <w:i/>
                <w:iCs/>
                <w:sz w:val="22"/>
              </w:rPr>
              <w:t>σ</w:t>
            </w:r>
          </w:p>
        </w:tc>
        <w:tc>
          <w:tcPr>
            <w:tcW w:w="2250" w:type="dxa"/>
            <w:tcBorders>
              <w:top w:val="nil"/>
              <w:left w:val="nil"/>
              <w:bottom w:val="nil"/>
              <w:right w:val="nil"/>
            </w:tcBorders>
            <w:shd w:val="clear" w:color="auto" w:fill="auto"/>
            <w:vAlign w:val="center"/>
            <w:hideMark/>
          </w:tcPr>
          <w:p w14:paraId="778A41A5" w14:textId="77777777" w:rsidR="004E001C" w:rsidRPr="00C10DFE" w:rsidRDefault="004E001C" w:rsidP="00AE6F08">
            <w:pPr>
              <w:spacing w:before="240" w:line="240" w:lineRule="auto"/>
              <w:rPr>
                <w:rFonts w:eastAsia="Calibri"/>
                <w:sz w:val="22"/>
              </w:rPr>
            </w:pPr>
            <w:r w:rsidRPr="00C10DFE">
              <w:rPr>
                <w:rFonts w:eastAsia="Calibri"/>
                <w:sz w:val="22"/>
              </w:rPr>
              <w:t>0.1 J.m</w:t>
            </w:r>
            <w:r w:rsidRPr="00C10DFE">
              <w:rPr>
                <w:rFonts w:eastAsia="Calibri"/>
                <w:sz w:val="22"/>
                <w:vertAlign w:val="superscript"/>
              </w:rPr>
              <w:t>-2</w:t>
            </w:r>
          </w:p>
        </w:tc>
        <w:tc>
          <w:tcPr>
            <w:tcW w:w="5580" w:type="dxa"/>
            <w:tcBorders>
              <w:top w:val="nil"/>
              <w:left w:val="nil"/>
              <w:bottom w:val="nil"/>
              <w:right w:val="nil"/>
            </w:tcBorders>
            <w:shd w:val="clear" w:color="auto" w:fill="auto"/>
            <w:vAlign w:val="center"/>
            <w:hideMark/>
          </w:tcPr>
          <w:p w14:paraId="0E0553DA" w14:textId="3DBE42C6" w:rsidR="004E001C" w:rsidRPr="00C10DFE" w:rsidRDefault="004E001C" w:rsidP="00AE6F08">
            <w:pPr>
              <w:spacing w:before="240" w:line="240" w:lineRule="auto"/>
              <w:rPr>
                <w:rFonts w:eastAsia="Calibri"/>
                <w:sz w:val="22"/>
                <w:vertAlign w:val="superscript"/>
              </w:rPr>
            </w:pPr>
            <w:r w:rsidRPr="00C10DFE">
              <w:rPr>
                <w:rFonts w:eastAsia="Calibri"/>
                <w:sz w:val="22"/>
              </w:rPr>
              <w:t>obtained from literature</w:t>
            </w:r>
            <w:r w:rsidRPr="00C10DFE">
              <w:rPr>
                <w:rFonts w:eastAsia="Calibri"/>
                <w:sz w:val="22"/>
                <w:vertAlign w:val="subscript"/>
              </w:rPr>
              <w:t xml:space="preserve"> </w:t>
            </w:r>
            <w:r w:rsidR="00B55512">
              <w:rPr>
                <w:rFonts w:eastAsia="Calibri"/>
                <w:noProof/>
                <w:sz w:val="22"/>
                <w:vertAlign w:val="superscript"/>
              </w:rPr>
              <w:fldChar w:fldCharType="begin"/>
            </w:r>
            <w:r w:rsidR="00B55512">
              <w:rPr>
                <w:rFonts w:eastAsia="Calibri"/>
                <w:noProof/>
                <w:sz w:val="22"/>
                <w:vertAlign w:val="superscript"/>
              </w:rPr>
              <w:instrText xml:space="preserve"> ADDIN EN.CITE &lt;EndNote&gt;&lt;Cite&gt;&lt;Author&gt;Layek&lt;/Author&gt;&lt;Year&gt;2012&lt;/Year&gt;&lt;RecNum&gt;14&lt;/RecNum&gt;&lt;DisplayText&gt;[4]&lt;/DisplayText&gt;&lt;record&gt;&lt;rec-number&gt;14&lt;/rec-number&gt;&lt;foreign-keys&gt;&lt;key app="EN" db-id="s5edx5r5efrdsnespva5ezweerf0xavaafs0" timestamp="0"&gt;14&lt;/key&gt;&lt;/foreign-keys&gt;&lt;ref-type name="Journal Article"&gt;17&lt;/ref-type&gt;&lt;contributors&gt;&lt;authors&gt;&lt;author&gt;Layek, Arunasish&lt;/author&gt;&lt;author&gt;Mishra, Gargi&lt;/author&gt;&lt;author&gt;Sharma, Archana&lt;/author&gt;&lt;author&gt;Spasova, Marina&lt;/author&gt;&lt;author&gt;Dhar, Subhabrata&lt;/author&gt;&lt;author&gt;Chowdhury, Arindam&lt;/author&gt;&lt;author&gt;Bandyopadhyaya, Rajdip&lt;/author&gt;&lt;/authors&gt;&lt;/contributors&gt;&lt;titles&gt;&lt;title&gt;A generalized three-stage mechanism of ZnO nanoparticle formation in homogeneous liquid medium&lt;/title&gt;&lt;secondary-title&gt;The Journal of Physical Chemistry C&lt;/secondary-title&gt;&lt;/titles&gt;&lt;pages&gt;24757-24769&lt;/pages&gt;&lt;volume&gt;116&lt;/volume&gt;&lt;number&gt;46&lt;/number&gt;&lt;dates&gt;&lt;year&gt;2012&lt;/year&gt;&lt;/dates&gt;&lt;isbn&gt;1932-7447&lt;/isbn&gt;&lt;urls&gt;&lt;/urls&gt;&lt;/record&gt;&lt;/Cite&gt;&lt;/EndNote&gt;</w:instrText>
            </w:r>
            <w:r w:rsidR="00B55512">
              <w:rPr>
                <w:rFonts w:eastAsia="Calibri"/>
                <w:noProof/>
                <w:sz w:val="22"/>
                <w:vertAlign w:val="superscript"/>
              </w:rPr>
              <w:fldChar w:fldCharType="separate"/>
            </w:r>
            <w:r w:rsidR="00B55512">
              <w:rPr>
                <w:rFonts w:eastAsia="Calibri"/>
                <w:noProof/>
                <w:sz w:val="22"/>
                <w:vertAlign w:val="superscript"/>
              </w:rPr>
              <w:t>[4]</w:t>
            </w:r>
            <w:r w:rsidR="00B55512">
              <w:rPr>
                <w:rFonts w:eastAsia="Calibri"/>
                <w:noProof/>
                <w:sz w:val="22"/>
                <w:vertAlign w:val="superscript"/>
              </w:rPr>
              <w:fldChar w:fldCharType="end"/>
            </w:r>
          </w:p>
        </w:tc>
      </w:tr>
      <w:tr w:rsidR="00AE6F08" w:rsidRPr="00C10DFE" w14:paraId="560CF986" w14:textId="77777777" w:rsidTr="00AE6F08">
        <w:tc>
          <w:tcPr>
            <w:tcW w:w="1728" w:type="dxa"/>
            <w:tcBorders>
              <w:top w:val="nil"/>
              <w:left w:val="nil"/>
              <w:bottom w:val="nil"/>
              <w:right w:val="nil"/>
            </w:tcBorders>
            <w:shd w:val="clear" w:color="auto" w:fill="auto"/>
            <w:vAlign w:val="center"/>
            <w:hideMark/>
          </w:tcPr>
          <w:p w14:paraId="12DFF69C" w14:textId="77777777" w:rsidR="004E001C" w:rsidRPr="00C10DFE" w:rsidRDefault="004E001C" w:rsidP="00AE6F08">
            <w:pPr>
              <w:spacing w:before="240" w:line="240" w:lineRule="auto"/>
              <w:rPr>
                <w:rFonts w:eastAsia="Calibri"/>
                <w:sz w:val="22"/>
              </w:rPr>
            </w:pPr>
            <w:r w:rsidRPr="00C10DFE">
              <w:rPr>
                <w:rFonts w:eastAsia="Calibri"/>
                <w:i/>
                <w:iCs/>
                <w:sz w:val="22"/>
              </w:rPr>
              <w:t>V</w:t>
            </w:r>
            <w:r w:rsidRPr="00C10DFE">
              <w:rPr>
                <w:rFonts w:eastAsia="Calibri"/>
                <w:sz w:val="22"/>
                <w:vertAlign w:val="subscript"/>
              </w:rPr>
              <w:t>m</w:t>
            </w:r>
          </w:p>
        </w:tc>
        <w:tc>
          <w:tcPr>
            <w:tcW w:w="2250" w:type="dxa"/>
            <w:tcBorders>
              <w:top w:val="nil"/>
              <w:left w:val="nil"/>
              <w:bottom w:val="nil"/>
              <w:right w:val="nil"/>
            </w:tcBorders>
            <w:shd w:val="clear" w:color="auto" w:fill="auto"/>
            <w:vAlign w:val="center"/>
            <w:hideMark/>
          </w:tcPr>
          <w:p w14:paraId="35047871" w14:textId="77777777" w:rsidR="004E001C" w:rsidRPr="00C10DFE" w:rsidRDefault="004E001C" w:rsidP="00AE6F08">
            <w:pPr>
              <w:spacing w:before="240" w:line="240" w:lineRule="auto"/>
              <w:rPr>
                <w:rFonts w:eastAsia="Calibri"/>
                <w:sz w:val="22"/>
              </w:rPr>
            </w:pPr>
            <w:r w:rsidRPr="00C10DFE">
              <w:rPr>
                <w:rFonts w:eastAsia="Calibri"/>
                <w:sz w:val="22"/>
              </w:rPr>
              <w:t>7.39 × 10</w:t>
            </w:r>
            <w:r w:rsidRPr="00C10DFE">
              <w:rPr>
                <w:rFonts w:eastAsia="Calibri"/>
                <w:sz w:val="22"/>
                <w:vertAlign w:val="superscript"/>
              </w:rPr>
              <w:t>−29</w:t>
            </w:r>
            <w:r w:rsidRPr="00C10DFE">
              <w:rPr>
                <w:rFonts w:eastAsia="Calibri"/>
                <w:sz w:val="22"/>
              </w:rPr>
              <w:t xml:space="preserve"> m</w:t>
            </w:r>
            <w:r w:rsidRPr="00C10DFE">
              <w:rPr>
                <w:rFonts w:eastAsia="Calibri"/>
                <w:sz w:val="22"/>
                <w:vertAlign w:val="superscript"/>
              </w:rPr>
              <w:t>3</w:t>
            </w:r>
          </w:p>
        </w:tc>
        <w:tc>
          <w:tcPr>
            <w:tcW w:w="5580" w:type="dxa"/>
            <w:tcBorders>
              <w:top w:val="nil"/>
              <w:left w:val="nil"/>
              <w:bottom w:val="nil"/>
              <w:right w:val="nil"/>
            </w:tcBorders>
            <w:shd w:val="clear" w:color="auto" w:fill="auto"/>
            <w:vAlign w:val="center"/>
            <w:hideMark/>
          </w:tcPr>
          <w:p w14:paraId="078D629E" w14:textId="77777777" w:rsidR="004E001C" w:rsidRPr="00C10DFE" w:rsidRDefault="004E001C" w:rsidP="00AE6F08">
            <w:pPr>
              <w:spacing w:before="240" w:line="240" w:lineRule="auto"/>
              <w:rPr>
                <w:rFonts w:eastAsia="Calibri"/>
                <w:sz w:val="22"/>
              </w:rPr>
            </w:pPr>
            <w:r w:rsidRPr="00C10DFE">
              <w:rPr>
                <w:rFonts w:eastAsia="Calibri"/>
                <w:sz w:val="22"/>
              </w:rPr>
              <w:t>calculated using molar mass, density, and Avogadro Number</w:t>
            </w:r>
          </w:p>
        </w:tc>
      </w:tr>
      <w:tr w:rsidR="00AE6F08" w:rsidRPr="00C10DFE" w14:paraId="6E8E1AEE" w14:textId="77777777" w:rsidTr="00AE6F08">
        <w:tc>
          <w:tcPr>
            <w:tcW w:w="1728" w:type="dxa"/>
            <w:tcBorders>
              <w:top w:val="nil"/>
              <w:left w:val="nil"/>
              <w:bottom w:val="nil"/>
              <w:right w:val="nil"/>
            </w:tcBorders>
            <w:shd w:val="clear" w:color="auto" w:fill="auto"/>
            <w:vAlign w:val="center"/>
            <w:hideMark/>
          </w:tcPr>
          <w:p w14:paraId="4ACD7760" w14:textId="77777777" w:rsidR="004E001C" w:rsidRPr="00C10DFE" w:rsidRDefault="004E001C" w:rsidP="00AE6F08">
            <w:pPr>
              <w:spacing w:before="240" w:line="240" w:lineRule="auto"/>
              <w:rPr>
                <w:rFonts w:eastAsia="Calibri"/>
                <w:i/>
                <w:iCs/>
                <w:sz w:val="22"/>
              </w:rPr>
            </w:pPr>
            <w:r w:rsidRPr="00C10DFE">
              <w:rPr>
                <w:rFonts w:eastAsia="Calibri"/>
                <w:i/>
                <w:iCs/>
                <w:sz w:val="22"/>
              </w:rPr>
              <w:t>S</w:t>
            </w:r>
          </w:p>
        </w:tc>
        <w:tc>
          <w:tcPr>
            <w:tcW w:w="2250" w:type="dxa"/>
            <w:tcBorders>
              <w:top w:val="nil"/>
              <w:left w:val="nil"/>
              <w:bottom w:val="nil"/>
              <w:right w:val="nil"/>
            </w:tcBorders>
            <w:shd w:val="clear" w:color="auto" w:fill="auto"/>
            <w:vAlign w:val="center"/>
            <w:hideMark/>
          </w:tcPr>
          <w:p w14:paraId="476974B7" w14:textId="77777777" w:rsidR="004E001C" w:rsidRPr="00C10DFE" w:rsidRDefault="004E001C" w:rsidP="00AE6F08">
            <w:pPr>
              <w:spacing w:before="240" w:line="240" w:lineRule="auto"/>
              <w:rPr>
                <w:rFonts w:eastAsia="Calibri"/>
                <w:sz w:val="22"/>
              </w:rPr>
            </w:pPr>
            <w:r w:rsidRPr="00C10DFE">
              <w:rPr>
                <w:rFonts w:eastAsia="Calibri"/>
                <w:sz w:val="22"/>
              </w:rPr>
              <w:t>10</w:t>
            </w:r>
            <w:r w:rsidRPr="00C10DFE">
              <w:rPr>
                <w:rFonts w:eastAsia="Calibri"/>
                <w:sz w:val="22"/>
                <w:vertAlign w:val="superscript"/>
              </w:rPr>
              <w:t>-6</w:t>
            </w:r>
            <w:r w:rsidRPr="00C10DFE">
              <w:rPr>
                <w:rFonts w:eastAsia="Calibri"/>
                <w:sz w:val="22"/>
              </w:rPr>
              <w:t xml:space="preserve"> mol m</w:t>
            </w:r>
            <w:r w:rsidRPr="00C10DFE">
              <w:rPr>
                <w:rFonts w:eastAsia="Calibri"/>
                <w:sz w:val="22"/>
                <w:vertAlign w:val="superscript"/>
              </w:rPr>
              <w:t>-3</w:t>
            </w:r>
          </w:p>
        </w:tc>
        <w:tc>
          <w:tcPr>
            <w:tcW w:w="5580" w:type="dxa"/>
            <w:tcBorders>
              <w:top w:val="nil"/>
              <w:left w:val="nil"/>
              <w:bottom w:val="nil"/>
              <w:right w:val="nil"/>
            </w:tcBorders>
            <w:shd w:val="clear" w:color="auto" w:fill="auto"/>
            <w:vAlign w:val="center"/>
            <w:hideMark/>
          </w:tcPr>
          <w:p w14:paraId="33AF7E54" w14:textId="77777777" w:rsidR="004E001C" w:rsidRPr="00C10DFE" w:rsidRDefault="004E001C" w:rsidP="00AE6F08">
            <w:pPr>
              <w:spacing w:before="240" w:line="240" w:lineRule="auto"/>
              <w:rPr>
                <w:rFonts w:eastAsia="Calibri"/>
                <w:sz w:val="22"/>
              </w:rPr>
            </w:pPr>
            <w:r w:rsidRPr="00C10DFE">
              <w:rPr>
                <w:rFonts w:eastAsia="Calibri"/>
                <w:sz w:val="22"/>
              </w:rPr>
              <w:t>-</w:t>
            </w:r>
          </w:p>
        </w:tc>
      </w:tr>
      <w:tr w:rsidR="00AE6F08" w:rsidRPr="00C10DFE" w14:paraId="213962F1" w14:textId="77777777" w:rsidTr="00AE6F08">
        <w:tc>
          <w:tcPr>
            <w:tcW w:w="1728" w:type="dxa"/>
            <w:tcBorders>
              <w:top w:val="nil"/>
              <w:left w:val="nil"/>
              <w:bottom w:val="nil"/>
              <w:right w:val="nil"/>
            </w:tcBorders>
            <w:shd w:val="clear" w:color="auto" w:fill="auto"/>
            <w:vAlign w:val="center"/>
            <w:hideMark/>
          </w:tcPr>
          <w:p w14:paraId="5CAC0210" w14:textId="77777777" w:rsidR="004E001C" w:rsidRPr="00C10DFE" w:rsidRDefault="004E001C" w:rsidP="00AE6F08">
            <w:pPr>
              <w:spacing w:before="240" w:line="240" w:lineRule="auto"/>
              <w:rPr>
                <w:rFonts w:eastAsia="Calibri"/>
                <w:i/>
                <w:iCs/>
                <w:sz w:val="22"/>
              </w:rPr>
            </w:pPr>
            <w:r w:rsidRPr="00C10DFE">
              <w:rPr>
                <w:rFonts w:eastAsia="Calibri"/>
                <w:i/>
                <w:iCs/>
                <w:sz w:val="22"/>
              </w:rPr>
              <w:t>β</w:t>
            </w:r>
          </w:p>
        </w:tc>
        <w:tc>
          <w:tcPr>
            <w:tcW w:w="2250" w:type="dxa"/>
            <w:tcBorders>
              <w:top w:val="nil"/>
              <w:left w:val="nil"/>
              <w:bottom w:val="nil"/>
              <w:right w:val="nil"/>
            </w:tcBorders>
            <w:shd w:val="clear" w:color="auto" w:fill="auto"/>
            <w:vAlign w:val="center"/>
            <w:hideMark/>
          </w:tcPr>
          <w:p w14:paraId="4DD80557" w14:textId="77777777" w:rsidR="004E001C" w:rsidRPr="00C10DFE" w:rsidRDefault="004E001C" w:rsidP="00AE6F08">
            <w:pPr>
              <w:spacing w:before="240" w:line="240" w:lineRule="auto"/>
              <w:rPr>
                <w:rFonts w:eastAsia="Calibri"/>
                <w:sz w:val="22"/>
              </w:rPr>
            </w:pPr>
            <w:r w:rsidRPr="00C10DFE">
              <w:rPr>
                <w:rFonts w:eastAsia="Calibri"/>
                <w:sz w:val="22"/>
              </w:rPr>
              <w:t>2.5 × 10</w:t>
            </w:r>
            <w:r w:rsidRPr="00C10DFE">
              <w:rPr>
                <w:rFonts w:eastAsia="Calibri"/>
                <w:sz w:val="22"/>
                <w:vertAlign w:val="superscript"/>
              </w:rPr>
              <w:t>−5</w:t>
            </w:r>
          </w:p>
        </w:tc>
        <w:tc>
          <w:tcPr>
            <w:tcW w:w="5580" w:type="dxa"/>
            <w:tcBorders>
              <w:top w:val="nil"/>
              <w:left w:val="nil"/>
              <w:bottom w:val="nil"/>
              <w:right w:val="nil"/>
            </w:tcBorders>
            <w:shd w:val="clear" w:color="auto" w:fill="auto"/>
            <w:vAlign w:val="center"/>
            <w:hideMark/>
          </w:tcPr>
          <w:p w14:paraId="7351B92A" w14:textId="77777777" w:rsidR="004E001C" w:rsidRPr="00C10DFE" w:rsidRDefault="004E001C" w:rsidP="00AE6F08">
            <w:pPr>
              <w:spacing w:before="240" w:line="240" w:lineRule="auto"/>
              <w:rPr>
                <w:rFonts w:eastAsia="Calibri"/>
                <w:sz w:val="22"/>
              </w:rPr>
            </w:pPr>
            <w:r w:rsidRPr="00C10DFE">
              <w:rPr>
                <w:rFonts w:eastAsia="Calibri"/>
                <w:sz w:val="22"/>
              </w:rPr>
              <w:t>Our simulation</w:t>
            </w:r>
          </w:p>
        </w:tc>
      </w:tr>
      <w:tr w:rsidR="00AE6F08" w:rsidRPr="00C10DFE" w14:paraId="0C7681DB" w14:textId="77777777" w:rsidTr="00AE6F08">
        <w:tc>
          <w:tcPr>
            <w:tcW w:w="1728" w:type="dxa"/>
            <w:tcBorders>
              <w:top w:val="nil"/>
              <w:left w:val="nil"/>
              <w:bottom w:val="nil"/>
              <w:right w:val="nil"/>
            </w:tcBorders>
            <w:shd w:val="clear" w:color="auto" w:fill="auto"/>
            <w:vAlign w:val="center"/>
          </w:tcPr>
          <w:p w14:paraId="31957392" w14:textId="77777777" w:rsidR="004E001C" w:rsidRPr="00C10DFE" w:rsidRDefault="004E001C" w:rsidP="00AE6F08">
            <w:pPr>
              <w:spacing w:before="240" w:line="240" w:lineRule="auto"/>
              <w:rPr>
                <w:rFonts w:eastAsia="Calibri"/>
                <w:i/>
                <w:iCs/>
                <w:sz w:val="22"/>
              </w:rPr>
            </w:pPr>
            <w:r w:rsidRPr="00C10DFE">
              <w:rPr>
                <w:rFonts w:eastAsia="Calibri"/>
                <w:i/>
                <w:iCs/>
                <w:sz w:val="22"/>
              </w:rPr>
              <w:t>r</w:t>
            </w:r>
            <w:r w:rsidRPr="00C10DFE">
              <w:rPr>
                <w:rFonts w:eastAsia="Calibri"/>
                <w:sz w:val="22"/>
                <w:vertAlign w:val="subscript"/>
              </w:rPr>
              <w:t>c</w:t>
            </w:r>
          </w:p>
        </w:tc>
        <w:tc>
          <w:tcPr>
            <w:tcW w:w="2250" w:type="dxa"/>
            <w:tcBorders>
              <w:top w:val="nil"/>
              <w:left w:val="nil"/>
              <w:bottom w:val="nil"/>
              <w:right w:val="nil"/>
            </w:tcBorders>
            <w:shd w:val="clear" w:color="auto" w:fill="auto"/>
            <w:vAlign w:val="center"/>
          </w:tcPr>
          <w:p w14:paraId="4D7F6E79" w14:textId="77777777" w:rsidR="004E001C" w:rsidRPr="00C10DFE" w:rsidRDefault="004E001C" w:rsidP="00AE6F08">
            <w:pPr>
              <w:spacing w:before="240" w:line="240" w:lineRule="auto"/>
              <w:rPr>
                <w:rFonts w:eastAsia="Calibri"/>
                <w:sz w:val="22"/>
              </w:rPr>
            </w:pPr>
            <w:r w:rsidRPr="00C10DFE">
              <w:rPr>
                <w:rFonts w:eastAsia="Calibri"/>
                <w:sz w:val="22"/>
              </w:rPr>
              <w:t>6 nm</w:t>
            </w:r>
          </w:p>
        </w:tc>
        <w:tc>
          <w:tcPr>
            <w:tcW w:w="5580" w:type="dxa"/>
            <w:tcBorders>
              <w:top w:val="nil"/>
              <w:left w:val="nil"/>
              <w:bottom w:val="nil"/>
              <w:right w:val="nil"/>
            </w:tcBorders>
            <w:shd w:val="clear" w:color="auto" w:fill="auto"/>
            <w:vAlign w:val="center"/>
          </w:tcPr>
          <w:p w14:paraId="2CBDE7E8" w14:textId="77777777" w:rsidR="004E001C" w:rsidRPr="00C10DFE" w:rsidRDefault="004E001C" w:rsidP="00AE6F08">
            <w:pPr>
              <w:spacing w:before="240" w:line="240" w:lineRule="auto"/>
              <w:rPr>
                <w:rFonts w:eastAsia="Calibri"/>
                <w:sz w:val="22"/>
              </w:rPr>
            </w:pPr>
            <w:r w:rsidRPr="00C10DFE">
              <w:rPr>
                <w:rFonts w:eastAsia="Calibri"/>
                <w:sz w:val="22"/>
              </w:rPr>
              <w:t>Our simulation</w:t>
            </w:r>
          </w:p>
        </w:tc>
      </w:tr>
      <w:tr w:rsidR="00AE6F08" w:rsidRPr="00C10DFE" w14:paraId="16B41F37" w14:textId="77777777" w:rsidTr="00AE6F08">
        <w:tc>
          <w:tcPr>
            <w:tcW w:w="1728" w:type="dxa"/>
            <w:tcBorders>
              <w:top w:val="nil"/>
              <w:left w:val="nil"/>
              <w:bottom w:val="single" w:sz="4" w:space="0" w:color="auto"/>
              <w:right w:val="nil"/>
            </w:tcBorders>
            <w:shd w:val="clear" w:color="auto" w:fill="auto"/>
            <w:vAlign w:val="center"/>
          </w:tcPr>
          <w:p w14:paraId="3960687B" w14:textId="77777777" w:rsidR="004E001C" w:rsidRPr="00C10DFE" w:rsidRDefault="004E001C" w:rsidP="00AE6F08">
            <w:pPr>
              <w:spacing w:before="240" w:line="240" w:lineRule="auto"/>
              <w:rPr>
                <w:rFonts w:eastAsia="Calibri"/>
                <w:i/>
                <w:iCs/>
                <w:sz w:val="22"/>
              </w:rPr>
            </w:pPr>
            <w:r w:rsidRPr="00C10DFE">
              <w:rPr>
                <w:rFonts w:eastAsia="Calibri"/>
                <w:i/>
                <w:iCs/>
                <w:sz w:val="22"/>
                <w:szCs w:val="22"/>
              </w:rPr>
              <w:t>θ</w:t>
            </w:r>
            <w:r w:rsidRPr="00C10DFE">
              <w:rPr>
                <w:rFonts w:eastAsia="Calibri"/>
                <w:sz w:val="22"/>
                <w:szCs w:val="22"/>
              </w:rPr>
              <w:t>(</w:t>
            </w:r>
            <w:r w:rsidRPr="00C10DFE">
              <w:rPr>
                <w:rFonts w:eastAsia="Calibri"/>
                <w:i/>
                <w:iCs/>
                <w:sz w:val="22"/>
                <w:szCs w:val="22"/>
              </w:rPr>
              <w:t>t</w:t>
            </w:r>
            <w:r w:rsidRPr="00C10DFE">
              <w:rPr>
                <w:rFonts w:eastAsia="Calibri"/>
                <w:sz w:val="22"/>
                <w:szCs w:val="22"/>
              </w:rPr>
              <w:t>)</w:t>
            </w:r>
          </w:p>
        </w:tc>
        <w:tc>
          <w:tcPr>
            <w:tcW w:w="2250" w:type="dxa"/>
            <w:tcBorders>
              <w:top w:val="nil"/>
              <w:left w:val="nil"/>
              <w:bottom w:val="single" w:sz="4" w:space="0" w:color="auto"/>
              <w:right w:val="nil"/>
            </w:tcBorders>
            <w:shd w:val="clear" w:color="auto" w:fill="auto"/>
            <w:vAlign w:val="center"/>
          </w:tcPr>
          <w:p w14:paraId="4294F9D2" w14:textId="77777777" w:rsidR="004E001C" w:rsidRPr="00C10DFE" w:rsidRDefault="004E001C" w:rsidP="00AE6F08">
            <w:pPr>
              <w:spacing w:before="240" w:line="240" w:lineRule="auto"/>
              <w:rPr>
                <w:rFonts w:eastAsia="Calibri"/>
                <w:sz w:val="22"/>
              </w:rPr>
            </w:pPr>
            <w:r w:rsidRPr="00C10DFE">
              <w:rPr>
                <w:rFonts w:eastAsia="Calibri"/>
                <w:sz w:val="22"/>
              </w:rPr>
              <w:t>1</w:t>
            </w:r>
          </w:p>
        </w:tc>
        <w:tc>
          <w:tcPr>
            <w:tcW w:w="5580" w:type="dxa"/>
            <w:tcBorders>
              <w:top w:val="nil"/>
              <w:left w:val="nil"/>
              <w:bottom w:val="single" w:sz="4" w:space="0" w:color="auto"/>
              <w:right w:val="nil"/>
            </w:tcBorders>
            <w:shd w:val="clear" w:color="auto" w:fill="auto"/>
            <w:vAlign w:val="center"/>
          </w:tcPr>
          <w:p w14:paraId="6840BD89" w14:textId="77777777" w:rsidR="004E001C" w:rsidRPr="00C10DFE" w:rsidRDefault="004E001C" w:rsidP="00AE6F08">
            <w:pPr>
              <w:spacing w:before="240" w:line="240" w:lineRule="auto"/>
              <w:rPr>
                <w:rFonts w:eastAsia="Calibri"/>
                <w:sz w:val="22"/>
              </w:rPr>
            </w:pPr>
            <w:r w:rsidRPr="00C10DFE">
              <w:rPr>
                <w:rFonts w:eastAsia="Calibri"/>
                <w:sz w:val="22"/>
              </w:rPr>
              <w:t>Our simulation</w:t>
            </w:r>
          </w:p>
        </w:tc>
      </w:tr>
    </w:tbl>
    <w:p w14:paraId="171E50C8" w14:textId="77777777" w:rsidR="004E001C" w:rsidRPr="00C10DFE" w:rsidRDefault="004E001C" w:rsidP="004E001C">
      <w:pPr>
        <w:rPr>
          <w:rFonts w:eastAsia="Times New Roman"/>
          <w:b/>
          <w:bCs/>
        </w:rPr>
      </w:pPr>
    </w:p>
    <w:p w14:paraId="010DCD4B" w14:textId="240BC2BB" w:rsidR="004E001C" w:rsidRPr="00C10DFE" w:rsidRDefault="00C3226B" w:rsidP="00C3226B">
      <w:pPr>
        <w:rPr>
          <w:i/>
          <w:iCs/>
        </w:rPr>
      </w:pPr>
      <w:r w:rsidRPr="00C10DFE">
        <w:rPr>
          <w:i/>
          <w:iCs/>
        </w:rPr>
        <w:t xml:space="preserve">2.5. </w:t>
      </w:r>
      <w:r w:rsidR="004E001C" w:rsidRPr="00C10DFE">
        <w:rPr>
          <w:i/>
          <w:iCs/>
        </w:rPr>
        <w:t>Simulation methodology</w:t>
      </w:r>
    </w:p>
    <w:p w14:paraId="09897869" w14:textId="0FC63D28" w:rsidR="004E001C" w:rsidRPr="00C10DFE" w:rsidRDefault="004E001C" w:rsidP="004E001C">
      <w:r w:rsidRPr="00C10DFE">
        <w:t xml:space="preserve">We formulated our kinetic Monte Carlo (kMC) simulation following Bachhar </w:t>
      </w:r>
      <w:r w:rsidRPr="00C10DFE">
        <w:rPr>
          <w:i/>
          <w:iCs/>
        </w:rPr>
        <w:t>et al</w:t>
      </w:r>
      <w:r w:rsidRPr="00C10DFE">
        <w:t>., by adopting the technique of interval of quiescence.</w:t>
      </w:r>
      <w:r w:rsidR="0024194E" w:rsidRPr="0024194E">
        <w:rPr>
          <w:vertAlign w:val="superscript"/>
        </w:rPr>
        <w:fldChar w:fldCharType="begin"/>
      </w:r>
      <w:r w:rsidR="0024194E" w:rsidRPr="0024194E">
        <w:rPr>
          <w:vertAlign w:val="superscript"/>
        </w:rPr>
        <w:instrText xml:space="preserve"> ADDIN EN.CITE &lt;EndNote&gt;&lt;Cite&gt;&lt;Author&gt;Bachhar&lt;/Author&gt;&lt;Year&gt;2016&lt;/Year&gt;&lt;RecNum&gt;22&lt;/RecNum&gt;&lt;DisplayText&gt;[5, 6]&lt;/DisplayText&gt;&lt;record&gt;&lt;rec-number&gt;22&lt;/rec-number&gt;&lt;foreign-keys&gt;&lt;key app="EN" db-id="s5edx5r5efrdsnespva5ezweerf0xavaafs0" timestamp="0"&gt;22&lt;/key&gt;&lt;/foreign-keys&gt;&lt;ref-type name="Journal Article"&gt;17&lt;/ref-type&gt;&lt;contributors&gt;&lt;authors&gt;&lt;author&gt;Bachhar, Nirmalya&lt;/author&gt;&lt;author&gt;Bandyopadhyaya, Rajdip&lt;/author&gt;&lt;/authors&gt;&lt;/contributors&gt;&lt;titles&gt;&lt;title&gt;Role of coating agent in iron oxide nanoparticle formation in an aqueous dispersion: Experiments and simulation&lt;/title&gt;&lt;secondary-title&gt;Journal of colloid and interface science&lt;/secondary-title&gt;&lt;/titles&gt;&lt;pages&gt;254-263&lt;/pages&gt;&lt;volume&gt;464&lt;/volume&gt;&lt;dates&gt;&lt;year&gt;2016&lt;/year&gt;&lt;/dates&gt;&lt;isbn&gt;0021-9797&lt;/isbn&gt;&lt;urls&gt;&lt;/urls&gt;&lt;/record&gt;&lt;/Cite&gt;&lt;Cite&gt;&lt;Author&gt;Bachhar&lt;/Author&gt;&lt;Year&gt;2016&lt;/Year&gt;&lt;RecNum&gt;23&lt;/RecNum&gt;&lt;record&gt;&lt;rec-number&gt;23&lt;/rec-number&gt;&lt;foreign-keys&gt;&lt;key app="EN" db-id="s5edx5r5efrdsnespva5ezweerf0xavaafs0" timestamp="0"&gt;23&lt;/key&gt;&lt;/foreign-keys&gt;&lt;ref-type name="Journal Article"&gt;17&lt;/ref-type&gt;&lt;contributors&gt;&lt;authors&gt;&lt;author&gt;Bachhar, Nirmalya&lt;/author&gt;&lt;author&gt;Bandyopadhyaya, Rajdip&lt;/author&gt;&lt;/authors&gt;&lt;/contributors&gt;&lt;titles&gt;&lt;title&gt;Predicting complete size distribution of nanoparticles based on interparticle potential: experiments and simulation&lt;/title&gt;&lt;secondary-title&gt;The Journal of Physical Chemistry C&lt;/secondary-title&gt;&lt;/titles&gt;&lt;pages&gt;4612-4622&lt;/pages&gt;&lt;volume&gt;120&lt;/volume&gt;&lt;number&gt;8&lt;/number&gt;&lt;dates&gt;&lt;year&gt;2016&lt;/year&gt;&lt;/dates&gt;&lt;isbn&gt;1932-7447&lt;/isbn&gt;&lt;urls&gt;&lt;/urls&gt;&lt;/record&gt;&lt;/Cite&gt;&lt;/EndNote&gt;</w:instrText>
      </w:r>
      <w:r w:rsidR="0024194E" w:rsidRPr="0024194E">
        <w:rPr>
          <w:vertAlign w:val="superscript"/>
        </w:rPr>
        <w:fldChar w:fldCharType="separate"/>
      </w:r>
      <w:r w:rsidR="0024194E" w:rsidRPr="0024194E">
        <w:rPr>
          <w:noProof/>
          <w:vertAlign w:val="superscript"/>
        </w:rPr>
        <w:t>[5, 6]</w:t>
      </w:r>
      <w:r w:rsidR="0024194E" w:rsidRPr="0024194E">
        <w:rPr>
          <w:vertAlign w:val="superscript"/>
        </w:rPr>
        <w:fldChar w:fldCharType="end"/>
      </w:r>
      <w:r w:rsidRPr="00C10DFE">
        <w:t xml:space="preserve"> There are four events in the simulation, namely, nucleation, diffusion-growth, coagulation-growth and Ostwald ripening. The interval of quiescence is defined as the time interval between two consecutive, discrete random events (nucleation or coagulation in the present case). During this interval, other continuous events (diffusion-growth and Ostwald ripening, estimated by their respective rate equations) occur. </w:t>
      </w:r>
      <w:r w:rsidRPr="00A65DE8">
        <w:t>We start our simulation using a simplified growth model, with</w:t>
      </w:r>
      <w:r w:rsidRPr="00C10DFE">
        <w:t xml:space="preserve"> </w:t>
      </w:r>
      <w:r w:rsidRPr="00C10DFE">
        <w:rPr>
          <w:i/>
        </w:rPr>
        <w:t>n</w:t>
      </w:r>
      <w:r w:rsidRPr="00C10DFE">
        <w:rPr>
          <w:vertAlign w:val="subscript"/>
        </w:rPr>
        <w:t>m</w:t>
      </w:r>
      <w:r w:rsidRPr="00C10DFE">
        <w:t xml:space="preserve"> number of Fe</w:t>
      </w:r>
      <w:r w:rsidRPr="00C10DFE">
        <w:rPr>
          <w:vertAlign w:val="subscript"/>
        </w:rPr>
        <w:t>3</w:t>
      </w:r>
      <w:r w:rsidRPr="00C10DFE">
        <w:t>O</w:t>
      </w:r>
      <w:r w:rsidRPr="00C10DFE">
        <w:rPr>
          <w:vertAlign w:val="subscript"/>
        </w:rPr>
        <w:t xml:space="preserve">4 </w:t>
      </w:r>
      <w:r w:rsidRPr="00C10DFE">
        <w:t>molecules (which at</w:t>
      </w:r>
      <w:r w:rsidRPr="00C10DFE">
        <w:rPr>
          <w:i/>
          <w:iCs/>
        </w:rPr>
        <w:t xml:space="preserve"> t</w:t>
      </w:r>
      <w:r w:rsidRPr="00C10DFE">
        <w:t xml:space="preserve"> = 0 is 4×10</w:t>
      </w:r>
      <w:r w:rsidRPr="00C10DFE">
        <w:rPr>
          <w:vertAlign w:val="superscript"/>
        </w:rPr>
        <w:t>6</w:t>
      </w:r>
      <w:r w:rsidRPr="00C10DFE">
        <w:t>) and no nanoparticle to start with (</w:t>
      </w:r>
      <w:r w:rsidRPr="00C10DFE">
        <w:rPr>
          <w:i/>
          <w:iCs/>
        </w:rPr>
        <w:t>N</w:t>
      </w:r>
      <w:r w:rsidRPr="00C10DFE">
        <w:rPr>
          <w:vertAlign w:val="subscript"/>
        </w:rPr>
        <w:t>p</w:t>
      </w:r>
      <w:r w:rsidRPr="00C10DFE">
        <w:t xml:space="preserve"> = 0). We used a discrete–continuous kMC simulation following Bachhar </w:t>
      </w:r>
      <w:r w:rsidR="00F61E28" w:rsidRPr="00F61E28">
        <w:rPr>
          <w:i/>
          <w:iCs/>
        </w:rPr>
        <w:t>et al</w:t>
      </w:r>
      <w:r w:rsidR="003452D1">
        <w:rPr>
          <w:i/>
          <w:iCs/>
        </w:rPr>
        <w:t>.</w:t>
      </w:r>
      <w:r w:rsidR="00F61E28" w:rsidRPr="00C10DFE">
        <w:rPr>
          <w:noProof/>
          <w:vertAlign w:val="superscript"/>
        </w:rPr>
        <w:t xml:space="preserve"> </w:t>
      </w:r>
      <w:r w:rsidR="00960AFA">
        <w:rPr>
          <w:noProof/>
          <w:vertAlign w:val="superscript"/>
        </w:rPr>
        <w:fldChar w:fldCharType="begin"/>
      </w:r>
      <w:r w:rsidR="00960AFA">
        <w:rPr>
          <w:noProof/>
          <w:vertAlign w:val="superscript"/>
        </w:rPr>
        <w:instrText xml:space="preserve"> ADDIN EN.CITE &lt;EndNote&gt;&lt;Cite&gt;&lt;Author&gt;Bachhar&lt;/Author&gt;&lt;Year&gt;2016&lt;/Year&gt;&lt;RecNum&gt;22&lt;/RecNum&gt;&lt;DisplayText&gt;[5, 6]&lt;/DisplayText&gt;&lt;record&gt;&lt;rec-number&gt;22&lt;/rec-number&gt;&lt;foreign-keys&gt;&lt;key app="EN" db-id="s5edx5r5efrdsnespva5ezweerf0xavaafs0" timestamp="0"&gt;22&lt;/key&gt;&lt;/foreign-keys&gt;&lt;ref-type name="Journal Article"&gt;17&lt;/ref-type&gt;&lt;contributors&gt;&lt;authors&gt;&lt;author&gt;Bachhar, Nirmalya&lt;/author&gt;&lt;author&gt;Bandyopadhyaya, Rajdip&lt;/author&gt;&lt;/authors&gt;&lt;/contributors&gt;&lt;titles&gt;&lt;title&gt;Role of coating agent in iron oxide nanoparticle formation in an aqueous dispersion: Experiments and simulation&lt;/title&gt;&lt;secondary-title&gt;Journal of colloid and interface science&lt;/secondary-title&gt;&lt;/titles&gt;&lt;pages&gt;254-263&lt;/pages&gt;&lt;volume&gt;464&lt;/volume&gt;&lt;dates&gt;&lt;year&gt;2016&lt;/year&gt;&lt;/dates&gt;&lt;isbn&gt;0021-9797&lt;/isbn&gt;&lt;urls&gt;&lt;/urls&gt;&lt;/record&gt;&lt;/Cite&gt;&lt;Cite&gt;&lt;Author&gt;Bachhar&lt;/Author&gt;&lt;Year&gt;2016&lt;/Year&gt;&lt;RecNum&gt;23&lt;/RecNum&gt;&lt;record&gt;&lt;rec-number&gt;23&lt;/rec-number&gt;&lt;foreign-keys&gt;&lt;key app="EN" db-id="s5edx5r5efrdsnespva5ezweerf0xavaafs0" timestamp="0"&gt;23&lt;/key&gt;&lt;/foreign-keys&gt;&lt;ref-type name="Journal Article"&gt;17&lt;/ref-type&gt;&lt;contributors&gt;&lt;authors&gt;&lt;author&gt;Bachhar, Nirmalya&lt;/author&gt;&lt;author&gt;Bandyopadhyaya, Rajdip&lt;/author&gt;&lt;/authors&gt;&lt;/contributors&gt;&lt;titles&gt;&lt;title&gt;Predicting complete size distribution of nanoparticles based on interparticle potential: experiments and simulation&lt;/title&gt;&lt;secondary-title&gt;The Journal of Physical Chemistry C&lt;/secondary-title&gt;&lt;/titles&gt;&lt;pages&gt;4612-4622&lt;/pages&gt;&lt;volume&gt;120&lt;/volume&gt;&lt;number&gt;8&lt;/number&gt;&lt;dates&gt;&lt;year&gt;2016&lt;/year&gt;&lt;/dates&gt;&lt;isbn&gt;1932-7447&lt;/isbn&gt;&lt;urls&gt;&lt;/urls&gt;&lt;/record&gt;&lt;/Cite&gt;&lt;/EndNote&gt;</w:instrText>
      </w:r>
      <w:r w:rsidR="00960AFA">
        <w:rPr>
          <w:noProof/>
          <w:vertAlign w:val="superscript"/>
        </w:rPr>
        <w:fldChar w:fldCharType="separate"/>
      </w:r>
      <w:r w:rsidR="00960AFA">
        <w:rPr>
          <w:noProof/>
          <w:vertAlign w:val="superscript"/>
        </w:rPr>
        <w:t>[5, 6]</w:t>
      </w:r>
      <w:r w:rsidR="00960AFA">
        <w:rPr>
          <w:noProof/>
          <w:vertAlign w:val="superscript"/>
        </w:rPr>
        <w:fldChar w:fldCharType="end"/>
      </w:r>
      <w:r w:rsidRPr="00C10DFE">
        <w:t xml:space="preserve"> </w:t>
      </w:r>
    </w:p>
    <w:p w14:paraId="50FD3F4D" w14:textId="77777777" w:rsidR="000C2B91" w:rsidRPr="00C10DFE" w:rsidRDefault="000C2B91" w:rsidP="004E001C"/>
    <w:p w14:paraId="79DD1687" w14:textId="1E50856C" w:rsidR="004E001C" w:rsidRPr="00C10DFE" w:rsidRDefault="00C3226B" w:rsidP="00C3226B">
      <w:pPr>
        <w:rPr>
          <w:sz w:val="32"/>
          <w:szCs w:val="32"/>
        </w:rPr>
      </w:pPr>
      <w:r w:rsidRPr="00C10DFE">
        <w:t>3</w:t>
      </w:r>
      <w:r w:rsidRPr="00C10DFE">
        <w:rPr>
          <w:i/>
          <w:iCs/>
        </w:rPr>
        <w:t xml:space="preserve">. </w:t>
      </w:r>
      <w:r w:rsidR="004E001C" w:rsidRPr="00C10DFE">
        <w:rPr>
          <w:i/>
          <w:iCs/>
        </w:rPr>
        <w:t>Phase transfer of SNPs</w:t>
      </w:r>
    </w:p>
    <w:p w14:paraId="31B64233" w14:textId="739F4AA0" w:rsidR="004E001C" w:rsidRPr="00C10DFE" w:rsidRDefault="00C3226B" w:rsidP="00C3226B">
      <w:pPr>
        <w:rPr>
          <w:i/>
          <w:iCs/>
        </w:rPr>
      </w:pPr>
      <w:r w:rsidRPr="00C10DFE">
        <w:rPr>
          <w:i/>
          <w:iCs/>
        </w:rPr>
        <w:t xml:space="preserve">3.1. </w:t>
      </w:r>
      <w:r w:rsidR="004E001C" w:rsidRPr="00C10DFE">
        <w:rPr>
          <w:i/>
          <w:iCs/>
        </w:rPr>
        <w:t>CTAB</w:t>
      </w:r>
    </w:p>
    <w:p w14:paraId="38167838" w14:textId="25ED6825" w:rsidR="004E001C" w:rsidRPr="00C10DFE" w:rsidRDefault="004E001C" w:rsidP="004E001C">
      <w:pPr>
        <w:rPr>
          <w:rFonts w:eastAsia="Times New Roman"/>
        </w:rPr>
      </w:pPr>
      <w:r w:rsidRPr="00C10DFE">
        <w:rPr>
          <w:rFonts w:eastAsia="Times New Roman"/>
        </w:rPr>
        <w:t>The method has been adapted and modified by previous work of Kim et al. and 10 mM of CTAB solutions were made in 20 mL MilliQ water.</w:t>
      </w:r>
      <w:r w:rsidR="009E6522">
        <w:rPr>
          <w:rFonts w:eastAsia="Times New Roman"/>
          <w:noProof/>
          <w:vertAlign w:val="superscript"/>
        </w:rPr>
        <w:fldChar w:fldCharType="begin"/>
      </w:r>
      <w:r w:rsidR="009E6522">
        <w:rPr>
          <w:rFonts w:eastAsia="Times New Roman"/>
          <w:noProof/>
          <w:vertAlign w:val="superscript"/>
        </w:rPr>
        <w:instrText xml:space="preserve"> ADDIN EN.CITE &lt;EndNote&gt;&lt;Cite&gt;&lt;Author&gt;Kim&lt;/Author&gt;&lt;Year&gt;2008&lt;/Year&gt;&lt;RecNum&gt;26&lt;/RecNum&gt;&lt;DisplayText&gt;[12]&lt;/DisplayText&gt;&lt;record&gt;&lt;rec-number&gt;26&lt;/rec-number&gt;&lt;foreign-keys&gt;&lt;key app="EN" db-id="s5edx5r5efrdsnespva5ezweerf0xavaafs0" timestamp="0"&gt;26&lt;/key&gt;&lt;/foreign-keys&gt;&lt;ref-type name="Journal Article"&gt;17&lt;/ref-type&gt;&lt;contributors&gt;&lt;authors&gt;&lt;author&gt;Kim, Jaeyun&lt;/author&gt;&lt;author&gt;Kim, Hoe Suk&lt;/author&gt;&lt;author&gt;Lee, Nohyun&lt;/author&gt;&lt;author&gt;Kim, Taeho&lt;/author&gt;&lt;author&gt;Kim, Hyoungsu&lt;/author&gt;&lt;author&gt;Yu, Taekyung&lt;/author&gt;&lt;author&gt;Song, In Chan&lt;/author&gt;&lt;author&gt;Moon, Woo Kyung&lt;/author&gt;&lt;author&gt;Hyeon, Taeghwan&lt;/author&gt;&lt;/authors&gt;&lt;/contributors&gt;&lt;titles&gt;&lt;title&gt;Multifunctional uniform nanoparticles composed of a magnetite nanocrystal core and a mesoporous silica shell for magnetic resonance and fluorescence imaging and for drug delivery&lt;/title&gt;&lt;secondary-title&gt;Angewandte Chemie International Edition&lt;/secondary-title&gt;&lt;/titles&gt;&lt;pages&gt;8438-8441&lt;/pages&gt;&lt;volume&gt;47&lt;/volume&gt;&lt;number&gt;44&lt;/number&gt;&lt;dates&gt;&lt;year&gt;2008&lt;/year&gt;&lt;/dates&gt;&lt;isbn&gt;1433-7851&lt;/isbn&gt;&lt;urls&gt;&lt;/urls&gt;&lt;/record&gt;&lt;/Cite&gt;&lt;/EndNote&gt;</w:instrText>
      </w:r>
      <w:r w:rsidR="009E6522">
        <w:rPr>
          <w:rFonts w:eastAsia="Times New Roman"/>
          <w:noProof/>
          <w:vertAlign w:val="superscript"/>
        </w:rPr>
        <w:fldChar w:fldCharType="separate"/>
      </w:r>
      <w:r w:rsidR="009E6522">
        <w:rPr>
          <w:rFonts w:eastAsia="Times New Roman"/>
          <w:noProof/>
          <w:vertAlign w:val="superscript"/>
        </w:rPr>
        <w:t>[12]</w:t>
      </w:r>
      <w:r w:rsidR="009E6522">
        <w:rPr>
          <w:rFonts w:eastAsia="Times New Roman"/>
          <w:noProof/>
          <w:vertAlign w:val="superscript"/>
        </w:rPr>
        <w:fldChar w:fldCharType="end"/>
      </w:r>
      <w:r w:rsidRPr="00C10DFE">
        <w:rPr>
          <w:rFonts w:eastAsia="Times New Roman"/>
        </w:rPr>
        <w:t xml:space="preserve"> 5 and 10 mg of SNPs synthesized from </w:t>
      </w:r>
      <w:r w:rsidRPr="00C10DFE">
        <w:rPr>
          <w:rFonts w:eastAsia="Times New Roman"/>
        </w:rPr>
        <w:lastRenderedPageBreak/>
        <w:t xml:space="preserve">thermal decomposition route were separately precipitated from toluene using methanol and cleaned thrice with acetone. Each precipitated SNP sample was redispersed in 2 mL chloroform before adding it dropwise to 20 mL of 1 and 10 mM CTAB solutions preheated to 60 ℃ over an oil bath under constant stirring. The reaction was left for 30 min after which the phase transferred SNPs were magnetically separated and washed thrice with MilliQ water before suspending them in 5 mL MilliQ water. </w:t>
      </w:r>
    </w:p>
    <w:p w14:paraId="510EC014" w14:textId="3CA45F79" w:rsidR="004E001C" w:rsidRPr="00C10DFE" w:rsidRDefault="00C3226B" w:rsidP="00C3226B">
      <w:pPr>
        <w:rPr>
          <w:i/>
          <w:iCs/>
        </w:rPr>
      </w:pPr>
      <w:r w:rsidRPr="00C10DFE">
        <w:rPr>
          <w:i/>
          <w:iCs/>
        </w:rPr>
        <w:t xml:space="preserve">3.2. </w:t>
      </w:r>
      <w:r w:rsidR="004E001C" w:rsidRPr="00C10DFE">
        <w:rPr>
          <w:i/>
          <w:iCs/>
        </w:rPr>
        <w:t>Sodium citrate</w:t>
      </w:r>
    </w:p>
    <w:p w14:paraId="3DEBA0E6" w14:textId="363FD303" w:rsidR="004E001C" w:rsidRPr="00C10DFE" w:rsidRDefault="004E001C" w:rsidP="004E001C">
      <w:pPr>
        <w:rPr>
          <w:rFonts w:eastAsia="Times New Roman"/>
        </w:rPr>
      </w:pPr>
      <w:r w:rsidRPr="00C10DFE">
        <w:rPr>
          <w:rFonts w:eastAsia="Times New Roman"/>
        </w:rPr>
        <w:t>The procedure is taken and modified from works of Bandyopadhyay et al.</w:t>
      </w:r>
      <w:r w:rsidR="008A4F2E">
        <w:rPr>
          <w:rFonts w:eastAsia="Times New Roman"/>
          <w:noProof/>
          <w:vertAlign w:val="superscript"/>
        </w:rPr>
        <w:fldChar w:fldCharType="begin"/>
      </w:r>
      <w:r w:rsidR="008A4F2E">
        <w:rPr>
          <w:rFonts w:eastAsia="Times New Roman"/>
          <w:noProof/>
          <w:vertAlign w:val="superscript"/>
        </w:rPr>
        <w:instrText xml:space="preserve"> ADDIN EN.CITE &lt;EndNote&gt;&lt;Cite&gt;&lt;Author&gt;Bandyopadhyay&lt;/Author&gt;&lt;Year&gt;2016&lt;/Year&gt;&lt;RecNum&gt;27&lt;/RecNum&gt;&lt;DisplayText&gt;[13]&lt;/DisplayText&gt;&lt;record&gt;&lt;rec-number&gt;27&lt;/rec-number&gt;&lt;foreign-keys&gt;&lt;key app="EN" db-id="s5edx5r5efrdsnespva5ezweerf0xavaafs0" timestamp="0"&gt;27&lt;/key&gt;&lt;/foreign-keys&gt;&lt;ref-type name="Journal Article"&gt;17&lt;/ref-type&gt;&lt;contributors&gt;&lt;authors&gt;&lt;author&gt;Bandyopadhyay, Sulalit&lt;/author&gt;&lt;author&gt;Andersen, Marte Kee&lt;/author&gt;&lt;author&gt;Alvi, Muhammad Awais Ashfaq&lt;/author&gt;&lt;author&gt;Sharma, Anuvansh&lt;/author&gt;&lt;author&gt;Raju, Rajesh&lt;/author&gt;&lt;author&gt;McDonagh, Birgitte H&lt;/author&gt;&lt;author&gt;Glomm, Wilhelm Robert&lt;/author&gt;&lt;/authors&gt;&lt;/contributors&gt;&lt;titles&gt;&lt;title&gt;Incorporation of Fe@ Au nanoparticles into multiresponsive pNIPAM-AAc colloidal gels modulates drug uptake and release&lt;/title&gt;&lt;secondary-title&gt;Colloid and Polymer Science&lt;/secondary-title&gt;&lt;/titles&gt;&lt;pages&gt;1929-1942&lt;/pages&gt;&lt;volume&gt;294&lt;/volume&gt;&lt;number&gt;12&lt;/number&gt;&lt;dates&gt;&lt;year&gt;2016&lt;/year&gt;&lt;/dates&gt;&lt;isbn&gt;0303-402X&lt;/isbn&gt;&lt;urls&gt;&lt;/urls&gt;&lt;/record&gt;&lt;/Cite&gt;&lt;/EndNote&gt;</w:instrText>
      </w:r>
      <w:r w:rsidR="008A4F2E">
        <w:rPr>
          <w:rFonts w:eastAsia="Times New Roman"/>
          <w:noProof/>
          <w:vertAlign w:val="superscript"/>
        </w:rPr>
        <w:fldChar w:fldCharType="separate"/>
      </w:r>
      <w:r w:rsidR="008A4F2E">
        <w:rPr>
          <w:rFonts w:eastAsia="Times New Roman"/>
          <w:noProof/>
          <w:vertAlign w:val="superscript"/>
        </w:rPr>
        <w:t>[13]</w:t>
      </w:r>
      <w:r w:rsidR="008A4F2E">
        <w:rPr>
          <w:rFonts w:eastAsia="Times New Roman"/>
          <w:noProof/>
          <w:vertAlign w:val="superscript"/>
        </w:rPr>
        <w:fldChar w:fldCharType="end"/>
      </w:r>
      <w:r w:rsidR="00C42386">
        <w:rPr>
          <w:rFonts w:eastAsia="Times New Roman"/>
          <w:noProof/>
        </w:rPr>
        <w:t xml:space="preserve"> </w:t>
      </w:r>
      <w:r w:rsidRPr="00C10DFE">
        <w:rPr>
          <w:rFonts w:eastAsia="Times New Roman"/>
        </w:rPr>
        <w:t xml:space="preserve">10 and 50 mM of sodium citrate (Na-citrate) solutions were prepared in 10 mL MilliQ water. 5 and 10 mg SNPs were separately precipitated from toluene using methanol and cleaned thrice with acetone. 10 ml Na-citrate solution was added to the precipitated SNPs and the suspension was sonicated for 2 hours in a bath sonicator. Afterwards, the </w:t>
      </w:r>
      <w:r w:rsidR="00C42386">
        <w:rPr>
          <w:rFonts w:eastAsia="Times New Roman"/>
        </w:rPr>
        <w:t>nanoparticles</w:t>
      </w:r>
      <w:r w:rsidR="00C42386" w:rsidRPr="00C10DFE">
        <w:rPr>
          <w:rFonts w:eastAsia="Times New Roman"/>
        </w:rPr>
        <w:t xml:space="preserve"> </w:t>
      </w:r>
      <w:r w:rsidRPr="00C10DFE">
        <w:rPr>
          <w:rFonts w:eastAsia="Times New Roman"/>
        </w:rPr>
        <w:t xml:space="preserve">were magnetically separated and cleaned thrice with MilliQ water before redispersing them in 10 mL MilliQ water. </w:t>
      </w:r>
    </w:p>
    <w:p w14:paraId="13886509" w14:textId="2656197C" w:rsidR="004E001C" w:rsidRPr="00C10DFE" w:rsidRDefault="00C3226B" w:rsidP="00C3226B">
      <w:pPr>
        <w:rPr>
          <w:i/>
          <w:iCs/>
        </w:rPr>
      </w:pPr>
      <w:r w:rsidRPr="00C10DFE">
        <w:rPr>
          <w:i/>
          <w:iCs/>
        </w:rPr>
        <w:t xml:space="preserve">3.3. </w:t>
      </w:r>
      <w:r w:rsidR="004E001C" w:rsidRPr="00C10DFE">
        <w:rPr>
          <w:i/>
          <w:iCs/>
        </w:rPr>
        <w:t>TMAH</w:t>
      </w:r>
    </w:p>
    <w:p w14:paraId="7298B6B3" w14:textId="75E78176" w:rsidR="004E001C" w:rsidRDefault="004E001C" w:rsidP="004E001C">
      <w:r w:rsidRPr="00C10DFE">
        <w:t>Phase transfer of SNPs and CNPs using TMAH was performed by modifying a previously developed method.</w:t>
      </w:r>
      <w:r w:rsidR="008C0632">
        <w:rPr>
          <w:noProof/>
          <w:vertAlign w:val="superscript"/>
        </w:rPr>
        <w:fldChar w:fldCharType="begin"/>
      </w:r>
      <w:r w:rsidR="008C0632">
        <w:rPr>
          <w:noProof/>
          <w:vertAlign w:val="superscript"/>
        </w:rPr>
        <w:instrText xml:space="preserve"> ADDIN EN.CITE &lt;EndNote&gt;&lt;Cite&gt;&lt;Author&gt;Peeters&lt;/Author&gt;&lt;Year&gt;2016&lt;/Year&gt;&lt;RecNum&gt;28&lt;/RecNum&gt;&lt;DisplayText&gt;[14]&lt;/DisplayText&gt;&lt;record&gt;&lt;rec-number&gt;28&lt;/rec-number&gt;&lt;foreign-keys&gt;&lt;key app="EN" db-id="s5edx5r5efrdsnespva5ezweerf0xavaafs0" timestamp="0"&gt;28&lt;/key&gt;&lt;/foreign-keys&gt;&lt;ref-type name="Journal Article"&gt;17&lt;/ref-type&gt;&lt;contributors&gt;&lt;authors&gt;&lt;author&gt;Peeters, Kelly&lt;/author&gt;&lt;author&gt;Lespes, Gaëtane&lt;/author&gt;&lt;author&gt;Zuliani, Tea&lt;/author&gt;&lt;author&gt;Ščančar, Janez&lt;/author&gt;&lt;author&gt;Milačič, Radmila&lt;/author&gt;&lt;/authors&gt;&lt;/contributors&gt;&lt;titles&gt;&lt;title&gt;The fate of iron nanoparticles in environmental waters treated with nanoscale zero-valent iron, FeONPs and Fe3O4NPs&lt;/title&gt;&lt;secondary-title&gt;Water research&lt;/secondary-title&gt;&lt;/titles&gt;&lt;pages&gt;315-327&lt;/pages&gt;&lt;volume&gt;94&lt;/volume&gt;&lt;dates&gt;&lt;year&gt;2016&lt;/year&gt;&lt;/dates&gt;&lt;isbn&gt;0043-1354&lt;/isbn&gt;&lt;urls&gt;&lt;/urls&gt;&lt;/record&gt;&lt;/Cite&gt;&lt;/EndNote&gt;</w:instrText>
      </w:r>
      <w:r w:rsidR="008C0632">
        <w:rPr>
          <w:noProof/>
          <w:vertAlign w:val="superscript"/>
        </w:rPr>
        <w:fldChar w:fldCharType="separate"/>
      </w:r>
      <w:r w:rsidR="008C0632">
        <w:rPr>
          <w:noProof/>
          <w:vertAlign w:val="superscript"/>
        </w:rPr>
        <w:t>[14]</w:t>
      </w:r>
      <w:r w:rsidR="008C0632">
        <w:rPr>
          <w:noProof/>
          <w:vertAlign w:val="superscript"/>
        </w:rPr>
        <w:fldChar w:fldCharType="end"/>
      </w:r>
      <w:r w:rsidRPr="00C10DFE">
        <w:t xml:space="preserve"> Typically, 50 mg of SNPs and 25 mg of CNPs were separately precipitated from toluene using methanol and washed thrice with acetone in a glass vial. 2 mL and 1 mL TMAH solution was added to the SNPs and CNPs respectively and the vials were placed in a bath sonicator for 10 minutes. Afterwards, the vials were put on shaking at 300 rpm for 2 hours after which the particles were magnetically separated and cleaned thrice with water. Finally, the phase transferred IONPs were redispersed in 1 mL M</w:t>
      </w:r>
      <w:r w:rsidR="00C3411F">
        <w:t>illi</w:t>
      </w:r>
      <w:r w:rsidRPr="00C10DFE">
        <w:t xml:space="preserve">Q water in an Eppendorf tube.    </w:t>
      </w:r>
    </w:p>
    <w:p w14:paraId="4D5E88FF" w14:textId="77777777" w:rsidR="00B854F3" w:rsidRPr="00C10DFE" w:rsidRDefault="00B854F3" w:rsidP="004E001C"/>
    <w:p w14:paraId="67A5E637" w14:textId="77777777" w:rsidR="004E001C" w:rsidRPr="00C10DFE" w:rsidRDefault="004E001C" w:rsidP="004E001C">
      <w:pPr>
        <w:rPr>
          <w:rFonts w:eastAsia="Times New Roman"/>
        </w:rPr>
      </w:pPr>
    </w:p>
    <w:p w14:paraId="33AFFBF2" w14:textId="7847E9CA" w:rsidR="004E001C" w:rsidRPr="00C10DFE" w:rsidRDefault="004E001C" w:rsidP="004E001C">
      <w:r w:rsidRPr="00C10DFE">
        <w:rPr>
          <w:b/>
          <w:bCs/>
        </w:rPr>
        <w:lastRenderedPageBreak/>
        <w:t xml:space="preserve">Table </w:t>
      </w:r>
      <w:r w:rsidR="00A22110" w:rsidRPr="00C10DFE">
        <w:rPr>
          <w:b/>
          <w:bCs/>
        </w:rPr>
        <w:t>S2</w:t>
      </w:r>
      <w:r w:rsidRPr="00C10DFE">
        <w:t>. SNPs from different precursors with different ligands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3045"/>
        <w:gridCol w:w="2175"/>
        <w:gridCol w:w="1800"/>
        <w:gridCol w:w="2460"/>
      </w:tblGrid>
      <w:tr w:rsidR="00AE6F08" w:rsidRPr="00C10DFE" w14:paraId="27D58A70" w14:textId="77777777" w:rsidTr="00AE6F08">
        <w:tc>
          <w:tcPr>
            <w:tcW w:w="3045" w:type="dxa"/>
            <w:shd w:val="clear" w:color="auto" w:fill="auto"/>
          </w:tcPr>
          <w:p w14:paraId="016151A1"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SNPs precursor</w:t>
            </w:r>
          </w:p>
        </w:tc>
        <w:tc>
          <w:tcPr>
            <w:tcW w:w="2175" w:type="dxa"/>
            <w:shd w:val="clear" w:color="auto" w:fill="auto"/>
          </w:tcPr>
          <w:p w14:paraId="0D853162" w14:textId="77777777" w:rsidR="004E001C" w:rsidRPr="00C10DFE" w:rsidRDefault="004E001C" w:rsidP="00A745F3">
            <w:pPr>
              <w:rPr>
                <w:rFonts w:eastAsia="Times New Roman"/>
                <w:color w:val="000000"/>
                <w:sz w:val="20"/>
                <w:szCs w:val="20"/>
              </w:rPr>
            </w:pPr>
            <w:r w:rsidRPr="00C10DFE">
              <w:rPr>
                <w:rFonts w:eastAsia="Times New Roman"/>
                <w:color w:val="000000"/>
                <w:sz w:val="20"/>
                <w:szCs w:val="20"/>
              </w:rPr>
              <w:t xml:space="preserve">         SNPs mass (mg)</w:t>
            </w:r>
          </w:p>
        </w:tc>
        <w:tc>
          <w:tcPr>
            <w:tcW w:w="1800" w:type="dxa"/>
            <w:shd w:val="clear" w:color="auto" w:fill="auto"/>
          </w:tcPr>
          <w:p w14:paraId="49C4304E"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Ligands</w:t>
            </w:r>
          </w:p>
        </w:tc>
        <w:tc>
          <w:tcPr>
            <w:tcW w:w="2460" w:type="dxa"/>
            <w:shd w:val="clear" w:color="auto" w:fill="auto"/>
          </w:tcPr>
          <w:p w14:paraId="067DEC0E" w14:textId="77777777" w:rsidR="004E001C" w:rsidRPr="00C10DFE" w:rsidRDefault="004E001C" w:rsidP="00A745F3">
            <w:pPr>
              <w:rPr>
                <w:rFonts w:eastAsia="Times New Roman"/>
                <w:color w:val="000000"/>
                <w:sz w:val="20"/>
                <w:szCs w:val="20"/>
              </w:rPr>
            </w:pPr>
            <w:r w:rsidRPr="00C10DFE">
              <w:rPr>
                <w:rFonts w:eastAsia="Times New Roman"/>
                <w:color w:val="000000"/>
                <w:sz w:val="20"/>
                <w:szCs w:val="20"/>
              </w:rPr>
              <w:t>Ligand concentration (mM)</w:t>
            </w:r>
          </w:p>
        </w:tc>
      </w:tr>
      <w:tr w:rsidR="00AE6F08" w:rsidRPr="00C10DFE" w14:paraId="71B1AEEF" w14:textId="77777777" w:rsidTr="00AE6F08">
        <w:tc>
          <w:tcPr>
            <w:tcW w:w="3045" w:type="dxa"/>
            <w:vMerge w:val="restart"/>
            <w:shd w:val="clear" w:color="auto" w:fill="auto"/>
          </w:tcPr>
          <w:p w14:paraId="462CAAC0" w14:textId="77777777" w:rsidR="004E001C" w:rsidRPr="00C10DFE" w:rsidRDefault="004E001C" w:rsidP="00AE6F08">
            <w:pPr>
              <w:jc w:val="center"/>
              <w:rPr>
                <w:rFonts w:eastAsia="Times New Roman"/>
                <w:color w:val="000000"/>
                <w:sz w:val="20"/>
                <w:szCs w:val="20"/>
              </w:rPr>
            </w:pPr>
          </w:p>
          <w:p w14:paraId="3A9F6D34"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Iron oleate: SNPs spheres</w:t>
            </w:r>
          </w:p>
        </w:tc>
        <w:tc>
          <w:tcPr>
            <w:tcW w:w="2175" w:type="dxa"/>
            <w:shd w:val="clear" w:color="auto" w:fill="auto"/>
          </w:tcPr>
          <w:p w14:paraId="112D3B7C"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 5 </w:t>
            </w:r>
          </w:p>
        </w:tc>
        <w:tc>
          <w:tcPr>
            <w:tcW w:w="1800" w:type="dxa"/>
            <w:vMerge w:val="restart"/>
            <w:shd w:val="clear" w:color="auto" w:fill="auto"/>
          </w:tcPr>
          <w:p w14:paraId="0F4FC47D" w14:textId="77777777" w:rsidR="004E001C" w:rsidRPr="00C10DFE" w:rsidRDefault="004E001C" w:rsidP="00A745F3">
            <w:pPr>
              <w:rPr>
                <w:rFonts w:eastAsia="Times New Roman"/>
                <w:sz w:val="20"/>
                <w:szCs w:val="20"/>
              </w:rPr>
            </w:pPr>
          </w:p>
          <w:p w14:paraId="0231AAFB" w14:textId="77777777" w:rsidR="004E001C" w:rsidRPr="00C10DFE" w:rsidRDefault="004E001C" w:rsidP="00A745F3">
            <w:pPr>
              <w:rPr>
                <w:rFonts w:eastAsia="Times New Roman"/>
                <w:color w:val="000000"/>
                <w:sz w:val="20"/>
                <w:szCs w:val="20"/>
              </w:rPr>
            </w:pPr>
            <w:r w:rsidRPr="00C10DFE">
              <w:rPr>
                <w:rFonts w:eastAsia="Times New Roman"/>
                <w:color w:val="000000"/>
                <w:sz w:val="20"/>
                <w:szCs w:val="20"/>
              </w:rPr>
              <w:t xml:space="preserve">                       </w:t>
            </w:r>
          </w:p>
          <w:p w14:paraId="4679222B"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CTAB</w:t>
            </w:r>
          </w:p>
        </w:tc>
        <w:tc>
          <w:tcPr>
            <w:tcW w:w="2460" w:type="dxa"/>
            <w:shd w:val="clear" w:color="auto" w:fill="auto"/>
          </w:tcPr>
          <w:p w14:paraId="3020B44D"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1</w:t>
            </w:r>
          </w:p>
        </w:tc>
      </w:tr>
      <w:tr w:rsidR="00AE6F08" w:rsidRPr="00C10DFE" w14:paraId="6F0E4BC6" w14:textId="77777777" w:rsidTr="00AE6F08">
        <w:tc>
          <w:tcPr>
            <w:tcW w:w="3045" w:type="dxa"/>
            <w:vMerge/>
            <w:shd w:val="clear" w:color="auto" w:fill="auto"/>
          </w:tcPr>
          <w:p w14:paraId="4890F32C" w14:textId="77777777" w:rsidR="004E001C" w:rsidRPr="00C10DFE" w:rsidRDefault="004E001C" w:rsidP="00A745F3">
            <w:pPr>
              <w:rPr>
                <w:rFonts w:eastAsia="Calibri"/>
                <w:sz w:val="22"/>
                <w:szCs w:val="22"/>
              </w:rPr>
            </w:pPr>
          </w:p>
        </w:tc>
        <w:tc>
          <w:tcPr>
            <w:tcW w:w="2175" w:type="dxa"/>
            <w:shd w:val="clear" w:color="auto" w:fill="auto"/>
          </w:tcPr>
          <w:p w14:paraId="7BCDABA2"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10</w:t>
            </w:r>
          </w:p>
        </w:tc>
        <w:tc>
          <w:tcPr>
            <w:tcW w:w="1800" w:type="dxa"/>
            <w:vMerge/>
            <w:shd w:val="clear" w:color="auto" w:fill="auto"/>
          </w:tcPr>
          <w:p w14:paraId="1C3E5F17" w14:textId="77777777" w:rsidR="004E001C" w:rsidRPr="00C10DFE" w:rsidRDefault="004E001C" w:rsidP="00A745F3">
            <w:pPr>
              <w:rPr>
                <w:rFonts w:eastAsia="Calibri"/>
                <w:sz w:val="22"/>
                <w:szCs w:val="22"/>
              </w:rPr>
            </w:pPr>
          </w:p>
        </w:tc>
        <w:tc>
          <w:tcPr>
            <w:tcW w:w="2460" w:type="dxa"/>
            <w:shd w:val="clear" w:color="auto" w:fill="auto"/>
          </w:tcPr>
          <w:p w14:paraId="1FD2A4F0"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1</w:t>
            </w:r>
          </w:p>
        </w:tc>
      </w:tr>
      <w:tr w:rsidR="00AE6F08" w:rsidRPr="00C10DFE" w14:paraId="6650E8B7" w14:textId="77777777" w:rsidTr="00AE6F08">
        <w:tc>
          <w:tcPr>
            <w:tcW w:w="3045" w:type="dxa"/>
            <w:vMerge/>
            <w:shd w:val="clear" w:color="auto" w:fill="auto"/>
          </w:tcPr>
          <w:p w14:paraId="127DDACD" w14:textId="77777777" w:rsidR="004E001C" w:rsidRPr="00C10DFE" w:rsidRDefault="004E001C" w:rsidP="00A745F3">
            <w:pPr>
              <w:rPr>
                <w:rFonts w:eastAsia="Calibri"/>
                <w:sz w:val="22"/>
                <w:szCs w:val="22"/>
              </w:rPr>
            </w:pPr>
          </w:p>
        </w:tc>
        <w:tc>
          <w:tcPr>
            <w:tcW w:w="2175" w:type="dxa"/>
            <w:shd w:val="clear" w:color="auto" w:fill="auto"/>
          </w:tcPr>
          <w:p w14:paraId="013FA54C"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5</w:t>
            </w:r>
          </w:p>
        </w:tc>
        <w:tc>
          <w:tcPr>
            <w:tcW w:w="1800" w:type="dxa"/>
            <w:vMerge/>
            <w:shd w:val="clear" w:color="auto" w:fill="auto"/>
          </w:tcPr>
          <w:p w14:paraId="01B4F848" w14:textId="77777777" w:rsidR="004E001C" w:rsidRPr="00C10DFE" w:rsidRDefault="004E001C" w:rsidP="00A745F3">
            <w:pPr>
              <w:rPr>
                <w:rFonts w:eastAsia="Calibri"/>
                <w:sz w:val="22"/>
                <w:szCs w:val="22"/>
              </w:rPr>
            </w:pPr>
          </w:p>
        </w:tc>
        <w:tc>
          <w:tcPr>
            <w:tcW w:w="2460" w:type="dxa"/>
            <w:shd w:val="clear" w:color="auto" w:fill="auto"/>
          </w:tcPr>
          <w:p w14:paraId="16A580F5"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r>
      <w:tr w:rsidR="00AE6F08" w:rsidRPr="00C10DFE" w14:paraId="4325CA31" w14:textId="77777777" w:rsidTr="00AE6F08">
        <w:tc>
          <w:tcPr>
            <w:tcW w:w="3045" w:type="dxa"/>
            <w:vMerge/>
            <w:shd w:val="clear" w:color="auto" w:fill="auto"/>
          </w:tcPr>
          <w:p w14:paraId="48FC9E64" w14:textId="77777777" w:rsidR="004E001C" w:rsidRPr="00C10DFE" w:rsidRDefault="004E001C" w:rsidP="00A745F3">
            <w:pPr>
              <w:rPr>
                <w:rFonts w:eastAsia="Calibri"/>
                <w:sz w:val="22"/>
                <w:szCs w:val="22"/>
              </w:rPr>
            </w:pPr>
          </w:p>
        </w:tc>
        <w:tc>
          <w:tcPr>
            <w:tcW w:w="2175" w:type="dxa"/>
            <w:shd w:val="clear" w:color="auto" w:fill="auto"/>
          </w:tcPr>
          <w:p w14:paraId="1E5545AF"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c>
          <w:tcPr>
            <w:tcW w:w="1800" w:type="dxa"/>
            <w:vMerge/>
            <w:shd w:val="clear" w:color="auto" w:fill="auto"/>
          </w:tcPr>
          <w:p w14:paraId="485F1EDE" w14:textId="77777777" w:rsidR="004E001C" w:rsidRPr="00C10DFE" w:rsidRDefault="004E001C" w:rsidP="00A745F3">
            <w:pPr>
              <w:rPr>
                <w:rFonts w:eastAsia="Calibri"/>
                <w:sz w:val="22"/>
                <w:szCs w:val="22"/>
              </w:rPr>
            </w:pPr>
          </w:p>
        </w:tc>
        <w:tc>
          <w:tcPr>
            <w:tcW w:w="2460" w:type="dxa"/>
            <w:shd w:val="clear" w:color="auto" w:fill="auto"/>
          </w:tcPr>
          <w:p w14:paraId="043011C1"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r>
      <w:tr w:rsidR="00AE6F08" w:rsidRPr="00C10DFE" w14:paraId="14FAAC8F" w14:textId="77777777" w:rsidTr="00AE6F08">
        <w:tc>
          <w:tcPr>
            <w:tcW w:w="3045" w:type="dxa"/>
            <w:vMerge w:val="restart"/>
            <w:shd w:val="clear" w:color="auto" w:fill="auto"/>
          </w:tcPr>
          <w:p w14:paraId="1BCA92AB" w14:textId="77777777" w:rsidR="004E001C" w:rsidRPr="00C10DFE" w:rsidRDefault="004E001C" w:rsidP="00AE6F08">
            <w:pPr>
              <w:jc w:val="center"/>
              <w:rPr>
                <w:rFonts w:eastAsia="Times New Roman"/>
                <w:color w:val="000000"/>
                <w:sz w:val="20"/>
                <w:szCs w:val="20"/>
              </w:rPr>
            </w:pPr>
          </w:p>
          <w:p w14:paraId="45696DEE"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Iron pentacarbonyl: SNPs spheres</w:t>
            </w:r>
          </w:p>
          <w:p w14:paraId="78AB2C0F" w14:textId="77777777" w:rsidR="004E001C" w:rsidRPr="00C10DFE" w:rsidRDefault="004E001C" w:rsidP="00AE6F08">
            <w:pPr>
              <w:jc w:val="center"/>
              <w:rPr>
                <w:rFonts w:eastAsia="Times New Roman"/>
                <w:color w:val="000000"/>
                <w:sz w:val="20"/>
                <w:szCs w:val="20"/>
              </w:rPr>
            </w:pPr>
          </w:p>
          <w:p w14:paraId="59C62B2B"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 </w:t>
            </w:r>
          </w:p>
        </w:tc>
        <w:tc>
          <w:tcPr>
            <w:tcW w:w="2175" w:type="dxa"/>
            <w:shd w:val="clear" w:color="auto" w:fill="auto"/>
          </w:tcPr>
          <w:p w14:paraId="2272E3DE"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5</w:t>
            </w:r>
          </w:p>
        </w:tc>
        <w:tc>
          <w:tcPr>
            <w:tcW w:w="1800" w:type="dxa"/>
            <w:vMerge w:val="restart"/>
            <w:shd w:val="clear" w:color="auto" w:fill="auto"/>
          </w:tcPr>
          <w:p w14:paraId="2C9C8DEC" w14:textId="77777777" w:rsidR="004E001C" w:rsidRPr="00C10DFE" w:rsidRDefault="004E001C" w:rsidP="00A745F3">
            <w:pPr>
              <w:rPr>
                <w:rFonts w:eastAsia="Times New Roman"/>
                <w:sz w:val="20"/>
                <w:szCs w:val="20"/>
              </w:rPr>
            </w:pPr>
          </w:p>
          <w:p w14:paraId="0CFD5B26" w14:textId="77777777" w:rsidR="004E001C" w:rsidRPr="00C10DFE" w:rsidRDefault="004E001C" w:rsidP="00A745F3">
            <w:pPr>
              <w:rPr>
                <w:rFonts w:eastAsia="Times New Roman"/>
                <w:color w:val="000000"/>
                <w:sz w:val="20"/>
                <w:szCs w:val="20"/>
              </w:rPr>
            </w:pPr>
            <w:r w:rsidRPr="00C10DFE">
              <w:rPr>
                <w:rFonts w:eastAsia="Times New Roman"/>
                <w:color w:val="000000"/>
                <w:sz w:val="20"/>
                <w:szCs w:val="20"/>
              </w:rPr>
              <w:t xml:space="preserve"> </w:t>
            </w:r>
          </w:p>
          <w:p w14:paraId="6E9E6E0F"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  Sodium citrate</w:t>
            </w:r>
          </w:p>
        </w:tc>
        <w:tc>
          <w:tcPr>
            <w:tcW w:w="2460" w:type="dxa"/>
            <w:shd w:val="clear" w:color="auto" w:fill="auto"/>
          </w:tcPr>
          <w:p w14:paraId="4EF12A90"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r>
      <w:tr w:rsidR="00AE6F08" w:rsidRPr="00C10DFE" w14:paraId="5F698B7D" w14:textId="77777777" w:rsidTr="00AE6F08">
        <w:tc>
          <w:tcPr>
            <w:tcW w:w="3045" w:type="dxa"/>
            <w:vMerge/>
            <w:shd w:val="clear" w:color="auto" w:fill="auto"/>
          </w:tcPr>
          <w:p w14:paraId="6FBAA00B" w14:textId="77777777" w:rsidR="004E001C" w:rsidRPr="00C10DFE" w:rsidRDefault="004E001C" w:rsidP="00A745F3">
            <w:pPr>
              <w:rPr>
                <w:rFonts w:eastAsia="Calibri"/>
                <w:sz w:val="22"/>
                <w:szCs w:val="22"/>
              </w:rPr>
            </w:pPr>
          </w:p>
        </w:tc>
        <w:tc>
          <w:tcPr>
            <w:tcW w:w="2175" w:type="dxa"/>
            <w:shd w:val="clear" w:color="auto" w:fill="auto"/>
          </w:tcPr>
          <w:p w14:paraId="659ACBBE"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c>
          <w:tcPr>
            <w:tcW w:w="1800" w:type="dxa"/>
            <w:vMerge/>
            <w:shd w:val="clear" w:color="auto" w:fill="auto"/>
          </w:tcPr>
          <w:p w14:paraId="7E871AB3" w14:textId="77777777" w:rsidR="004E001C" w:rsidRPr="00C10DFE" w:rsidRDefault="004E001C" w:rsidP="00A745F3">
            <w:pPr>
              <w:rPr>
                <w:rFonts w:eastAsia="Calibri"/>
                <w:sz w:val="22"/>
                <w:szCs w:val="22"/>
              </w:rPr>
            </w:pPr>
          </w:p>
        </w:tc>
        <w:tc>
          <w:tcPr>
            <w:tcW w:w="2460" w:type="dxa"/>
            <w:shd w:val="clear" w:color="auto" w:fill="auto"/>
          </w:tcPr>
          <w:p w14:paraId="20184DB3"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r>
      <w:tr w:rsidR="00AE6F08" w:rsidRPr="00C10DFE" w14:paraId="4487F65A" w14:textId="77777777" w:rsidTr="00AE6F08">
        <w:tc>
          <w:tcPr>
            <w:tcW w:w="3045" w:type="dxa"/>
            <w:vMerge/>
            <w:shd w:val="clear" w:color="auto" w:fill="auto"/>
          </w:tcPr>
          <w:p w14:paraId="6F1934D7" w14:textId="77777777" w:rsidR="004E001C" w:rsidRPr="00C10DFE" w:rsidRDefault="004E001C" w:rsidP="00A745F3">
            <w:pPr>
              <w:rPr>
                <w:rFonts w:eastAsia="Calibri"/>
                <w:sz w:val="22"/>
                <w:szCs w:val="22"/>
              </w:rPr>
            </w:pPr>
          </w:p>
        </w:tc>
        <w:tc>
          <w:tcPr>
            <w:tcW w:w="2175" w:type="dxa"/>
            <w:shd w:val="clear" w:color="auto" w:fill="auto"/>
          </w:tcPr>
          <w:p w14:paraId="350D14AB"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5</w:t>
            </w:r>
          </w:p>
        </w:tc>
        <w:tc>
          <w:tcPr>
            <w:tcW w:w="1800" w:type="dxa"/>
            <w:vMerge/>
            <w:shd w:val="clear" w:color="auto" w:fill="auto"/>
          </w:tcPr>
          <w:p w14:paraId="51DEA1A3" w14:textId="77777777" w:rsidR="004E001C" w:rsidRPr="00C10DFE" w:rsidRDefault="004E001C" w:rsidP="00A745F3">
            <w:pPr>
              <w:rPr>
                <w:rFonts w:eastAsia="Calibri"/>
                <w:sz w:val="22"/>
                <w:szCs w:val="22"/>
              </w:rPr>
            </w:pPr>
          </w:p>
        </w:tc>
        <w:tc>
          <w:tcPr>
            <w:tcW w:w="2460" w:type="dxa"/>
            <w:shd w:val="clear" w:color="auto" w:fill="auto"/>
          </w:tcPr>
          <w:p w14:paraId="64EBC8EC"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50 </w:t>
            </w:r>
          </w:p>
        </w:tc>
      </w:tr>
      <w:tr w:rsidR="00AE6F08" w:rsidRPr="00C10DFE" w14:paraId="59AF57A7" w14:textId="77777777" w:rsidTr="00AE6F08">
        <w:tc>
          <w:tcPr>
            <w:tcW w:w="3045" w:type="dxa"/>
            <w:vMerge/>
            <w:shd w:val="clear" w:color="auto" w:fill="auto"/>
          </w:tcPr>
          <w:p w14:paraId="2F02B4C3" w14:textId="77777777" w:rsidR="004E001C" w:rsidRPr="00C10DFE" w:rsidRDefault="004E001C" w:rsidP="00A745F3">
            <w:pPr>
              <w:rPr>
                <w:rFonts w:eastAsia="Calibri"/>
                <w:sz w:val="22"/>
                <w:szCs w:val="22"/>
              </w:rPr>
            </w:pPr>
          </w:p>
        </w:tc>
        <w:tc>
          <w:tcPr>
            <w:tcW w:w="2175" w:type="dxa"/>
            <w:shd w:val="clear" w:color="auto" w:fill="auto"/>
          </w:tcPr>
          <w:p w14:paraId="15DD5D0E"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 xml:space="preserve">10 </w:t>
            </w:r>
          </w:p>
        </w:tc>
        <w:tc>
          <w:tcPr>
            <w:tcW w:w="1800" w:type="dxa"/>
            <w:vMerge/>
            <w:shd w:val="clear" w:color="auto" w:fill="auto"/>
          </w:tcPr>
          <w:p w14:paraId="6847AF1C" w14:textId="77777777" w:rsidR="004E001C" w:rsidRPr="00C10DFE" w:rsidRDefault="004E001C" w:rsidP="00A745F3">
            <w:pPr>
              <w:rPr>
                <w:rFonts w:eastAsia="Calibri"/>
                <w:sz w:val="22"/>
                <w:szCs w:val="22"/>
              </w:rPr>
            </w:pPr>
          </w:p>
        </w:tc>
        <w:tc>
          <w:tcPr>
            <w:tcW w:w="2460" w:type="dxa"/>
            <w:shd w:val="clear" w:color="auto" w:fill="auto"/>
          </w:tcPr>
          <w:p w14:paraId="2115BAE3" w14:textId="77777777" w:rsidR="004E001C" w:rsidRPr="00C10DFE" w:rsidRDefault="004E001C" w:rsidP="00AE6F08">
            <w:pPr>
              <w:jc w:val="center"/>
              <w:rPr>
                <w:rFonts w:eastAsia="Times New Roman"/>
                <w:color w:val="000000"/>
                <w:sz w:val="20"/>
                <w:szCs w:val="20"/>
              </w:rPr>
            </w:pPr>
            <w:r w:rsidRPr="00C10DFE">
              <w:rPr>
                <w:rFonts w:eastAsia="Times New Roman"/>
                <w:color w:val="000000"/>
                <w:sz w:val="20"/>
                <w:szCs w:val="20"/>
              </w:rPr>
              <w:t>50</w:t>
            </w:r>
          </w:p>
        </w:tc>
      </w:tr>
    </w:tbl>
    <w:p w14:paraId="36C27C8F" w14:textId="3A3E8043" w:rsidR="004E001C" w:rsidRPr="00C10DFE" w:rsidRDefault="004E001C" w:rsidP="004E001C">
      <w:pPr>
        <w:rPr>
          <w:rFonts w:eastAsia="Times New Roman"/>
          <w:b/>
          <w:bCs/>
          <w:sz w:val="28"/>
          <w:szCs w:val="28"/>
        </w:rPr>
      </w:pPr>
    </w:p>
    <w:p w14:paraId="5E313A16" w14:textId="0DBD6CFE" w:rsidR="004E001C" w:rsidRPr="00C10DFE" w:rsidRDefault="00C3226B" w:rsidP="00C3226B">
      <w:pPr>
        <w:rPr>
          <w:i/>
          <w:iCs/>
        </w:rPr>
      </w:pPr>
      <w:r w:rsidRPr="00C10DFE">
        <w:rPr>
          <w:i/>
          <w:iCs/>
        </w:rPr>
        <w:t xml:space="preserve">4. </w:t>
      </w:r>
      <w:r w:rsidR="004E001C" w:rsidRPr="00C10DFE">
        <w:rPr>
          <w:i/>
          <w:iCs/>
        </w:rPr>
        <w:t>Results and discussion</w:t>
      </w:r>
    </w:p>
    <w:p w14:paraId="218E4A6A" w14:textId="707C9FEC" w:rsidR="004E001C" w:rsidRPr="00C10DFE" w:rsidRDefault="00063EFB" w:rsidP="00063EFB">
      <w:pPr>
        <w:rPr>
          <w:i/>
          <w:iCs/>
        </w:rPr>
      </w:pPr>
      <w:r w:rsidRPr="00C10DFE">
        <w:rPr>
          <w:i/>
          <w:iCs/>
        </w:rPr>
        <w:t xml:space="preserve">4.1. </w:t>
      </w:r>
      <w:r w:rsidR="004E001C" w:rsidRPr="00C10DFE">
        <w:rPr>
          <w:i/>
          <w:iCs/>
        </w:rPr>
        <w:t>Controlling the Particle Size and Shape</w:t>
      </w:r>
    </w:p>
    <w:p w14:paraId="6AC997FA" w14:textId="4FCE217F" w:rsidR="004E001C" w:rsidRPr="00C10DFE" w:rsidRDefault="004E001C" w:rsidP="004E001C">
      <w:r w:rsidRPr="00C10DFE">
        <w:t xml:space="preserve">Based on the TEM analysis an experimental PSD has been constructed as reported in </w:t>
      </w:r>
      <w:r w:rsidRPr="00590F0B">
        <w:rPr>
          <w:b/>
          <w:bCs/>
        </w:rPr>
        <w:t>Figure</w:t>
      </w:r>
      <w:r w:rsidR="00CE22E5" w:rsidRPr="00590F0B">
        <w:rPr>
          <w:b/>
          <w:bCs/>
        </w:rPr>
        <w:t>s</w:t>
      </w:r>
      <w:r w:rsidRPr="00590F0B">
        <w:rPr>
          <w:b/>
          <w:bCs/>
        </w:rPr>
        <w:t xml:space="preserve"> </w:t>
      </w:r>
      <w:r w:rsidR="00CE22E5" w:rsidRPr="00590F0B">
        <w:rPr>
          <w:b/>
          <w:bCs/>
        </w:rPr>
        <w:t>S</w:t>
      </w:r>
      <w:r w:rsidRPr="00590F0B">
        <w:rPr>
          <w:b/>
          <w:bCs/>
        </w:rPr>
        <w:t>1</w:t>
      </w:r>
      <w:r w:rsidR="00CE22E5" w:rsidRPr="00590F0B">
        <w:rPr>
          <w:b/>
          <w:bCs/>
        </w:rPr>
        <w:t>a and S1b</w:t>
      </w:r>
      <w:r w:rsidRPr="00C10DFE">
        <w:t>, where the relative frequency (%) of each size are plotted against particle diameter. Our model can capture the mean and the mode of the PSD however the standard deviation and other higher moments of the distributions are not accurately captured. A much more detailed model with OR might need to be considered for this process. The only additional adjustable parameter in this simulation was the coagulation efficiency which we found to be 2.5 × 10</w:t>
      </w:r>
      <w:r w:rsidRPr="00C10DFE">
        <w:rPr>
          <w:vertAlign w:val="superscript"/>
        </w:rPr>
        <w:t>−5</w:t>
      </w:r>
      <w:r w:rsidRPr="00C10DFE">
        <w:t>. It is observed that the simulation data matches well with OR included. In this case the coagulation efficiency is found to be 8.5 × 10</w:t>
      </w:r>
      <w:r w:rsidRPr="00C10DFE">
        <w:rPr>
          <w:vertAlign w:val="superscript"/>
        </w:rPr>
        <w:t>−6</w:t>
      </w:r>
      <w:r w:rsidRPr="00C10DFE">
        <w:t>. A detailed model of coagulation based on interparticle interaction</w:t>
      </w:r>
      <w:r w:rsidRPr="00C10DFE">
        <w:rPr>
          <w:vertAlign w:val="superscript"/>
        </w:rPr>
        <w:t>6</w:t>
      </w:r>
      <w:r w:rsidRPr="00C10DFE">
        <w:t xml:space="preserve"> might give us better understanding of the process.</w:t>
      </w:r>
    </w:p>
    <w:p w14:paraId="52D838FF" w14:textId="77777777" w:rsidR="004E001C" w:rsidRPr="00C10DFE" w:rsidRDefault="004E001C" w:rsidP="004E001C"/>
    <w:p w14:paraId="4C0F6D1F" w14:textId="30572242" w:rsidR="004E001C" w:rsidRPr="00C10DFE" w:rsidRDefault="001E1A12" w:rsidP="004E001C">
      <w:pPr>
        <w:keepNext/>
        <w:jc w:val="center"/>
      </w:pPr>
      <w:r>
        <w:lastRenderedPageBreak/>
        <w:pict w14:anchorId="2C4363C4">
          <v:shape id="Picture 2" o:spid="_x0000_i1035" type="#_x0000_t75" style="width:464.1pt;height:308.35pt;visibility:visible">
            <v:imagedata r:id="rId22" o:title=""/>
          </v:shape>
        </w:pict>
      </w:r>
    </w:p>
    <w:p w14:paraId="06DA19FA" w14:textId="2EE293E8" w:rsidR="004E001C" w:rsidRPr="00C10DFE" w:rsidRDefault="004E001C" w:rsidP="004E001C">
      <w:pPr>
        <w:rPr>
          <w:rFonts w:eastAsia="Times New Roman"/>
          <w:b/>
          <w:bCs/>
          <w:sz w:val="28"/>
          <w:szCs w:val="28"/>
        </w:rPr>
      </w:pPr>
      <w:r w:rsidRPr="00C10DFE">
        <w:rPr>
          <w:b/>
          <w:bCs/>
        </w:rPr>
        <w:t xml:space="preserve">Figure </w:t>
      </w:r>
      <w:r w:rsidR="00A22110" w:rsidRPr="00C10DFE">
        <w:rPr>
          <w:b/>
          <w:bCs/>
        </w:rPr>
        <w:t>S</w:t>
      </w:r>
      <w:r w:rsidRPr="00C10DFE">
        <w:rPr>
          <w:b/>
          <w:bCs/>
        </w:rPr>
        <w:t>1</w:t>
      </w:r>
      <w:r w:rsidR="004B6880" w:rsidRPr="00C10DFE">
        <w:rPr>
          <w:b/>
          <w:bCs/>
        </w:rPr>
        <w:t xml:space="preserve"> </w:t>
      </w:r>
      <w:r w:rsidRPr="00C10DFE">
        <w:t>a</w:t>
      </w:r>
      <w:r w:rsidR="004B6880" w:rsidRPr="00C10DFE">
        <w:t>)</w:t>
      </w:r>
      <w:r w:rsidRPr="00C10DFE">
        <w:t xml:space="preserve"> HRTEM image of growth evolution of IONPs at 250 </w:t>
      </w:r>
      <w:r w:rsidRPr="00C10DFE">
        <w:rPr>
          <w:vertAlign w:val="superscript"/>
        </w:rPr>
        <w:t>ο</w:t>
      </w:r>
      <w:r w:rsidRPr="00C10DFE">
        <w:t>C. Comparison between kMC simulation vs. experimental PSD of iron oxide formed through thermal decomposition route after 45 min of aging at 320 ˚C, b) without OR and c) with OR. d) XRD pattern of SNPs.</w:t>
      </w:r>
    </w:p>
    <w:p w14:paraId="78234BE2" w14:textId="18F06CEB" w:rsidR="004E001C" w:rsidRDefault="004E001C" w:rsidP="004E001C">
      <w:pPr>
        <w:rPr>
          <w:rFonts w:eastAsia="Times New Roman"/>
        </w:rPr>
      </w:pPr>
    </w:p>
    <w:p w14:paraId="5A8F2EA3" w14:textId="3EBA85AA" w:rsidR="000C2B91" w:rsidRDefault="000C2B91" w:rsidP="004E001C">
      <w:pPr>
        <w:rPr>
          <w:rFonts w:eastAsia="Times New Roman"/>
        </w:rPr>
      </w:pPr>
    </w:p>
    <w:p w14:paraId="14A69B3C" w14:textId="569E036B" w:rsidR="00B854F3" w:rsidRDefault="00B854F3" w:rsidP="004E001C">
      <w:pPr>
        <w:rPr>
          <w:rFonts w:eastAsia="Times New Roman"/>
        </w:rPr>
      </w:pPr>
    </w:p>
    <w:p w14:paraId="06F609AC" w14:textId="27DDD13F" w:rsidR="00B854F3" w:rsidRDefault="00B854F3" w:rsidP="004E001C">
      <w:pPr>
        <w:rPr>
          <w:rFonts w:eastAsia="Times New Roman"/>
        </w:rPr>
      </w:pPr>
    </w:p>
    <w:p w14:paraId="03B1157D" w14:textId="77777777" w:rsidR="00B854F3" w:rsidRDefault="00B854F3" w:rsidP="004E001C">
      <w:pPr>
        <w:rPr>
          <w:rFonts w:eastAsia="Times New Roman"/>
        </w:rPr>
      </w:pPr>
    </w:p>
    <w:p w14:paraId="256A46E2" w14:textId="792E1AEC" w:rsidR="000C2B91" w:rsidRDefault="000C2B91" w:rsidP="004E001C">
      <w:pPr>
        <w:rPr>
          <w:rFonts w:eastAsia="Times New Roman"/>
        </w:rPr>
      </w:pPr>
    </w:p>
    <w:p w14:paraId="78CBD33B" w14:textId="3E73763F" w:rsidR="000C2B91" w:rsidRDefault="000C2B91" w:rsidP="004E001C">
      <w:pPr>
        <w:rPr>
          <w:rFonts w:eastAsia="Times New Roman"/>
        </w:rPr>
      </w:pPr>
    </w:p>
    <w:p w14:paraId="6E8C1372" w14:textId="0ED2DDF9" w:rsidR="000C2B91" w:rsidRDefault="000C2B91" w:rsidP="004E001C">
      <w:pPr>
        <w:rPr>
          <w:rFonts w:eastAsia="Times New Roman"/>
        </w:rPr>
      </w:pPr>
    </w:p>
    <w:p w14:paraId="4A9A601D" w14:textId="1F661D64" w:rsidR="000C2B91" w:rsidRDefault="000C2B91" w:rsidP="004E001C">
      <w:pPr>
        <w:rPr>
          <w:rFonts w:eastAsia="Times New Roman"/>
        </w:rPr>
      </w:pPr>
    </w:p>
    <w:p w14:paraId="2B824B8A" w14:textId="77777777" w:rsidR="000C2B91" w:rsidRPr="00C10DFE" w:rsidRDefault="000C2B91" w:rsidP="004E001C">
      <w:pPr>
        <w:rPr>
          <w:rFonts w:eastAsia="Times New Roman"/>
        </w:rPr>
      </w:pPr>
    </w:p>
    <w:p w14:paraId="7D23028D" w14:textId="390F6F09" w:rsidR="004E001C" w:rsidRPr="00C10DFE" w:rsidRDefault="00063EFB" w:rsidP="00063EFB">
      <w:pPr>
        <w:rPr>
          <w:i/>
          <w:iCs/>
        </w:rPr>
      </w:pPr>
      <w:r w:rsidRPr="00C10DFE">
        <w:rPr>
          <w:i/>
          <w:iCs/>
        </w:rPr>
        <w:lastRenderedPageBreak/>
        <w:t xml:space="preserve">4.2. </w:t>
      </w:r>
      <w:r w:rsidR="004E001C" w:rsidRPr="00C10DFE">
        <w:rPr>
          <w:i/>
          <w:iCs/>
        </w:rPr>
        <w:t>Phase transfer and Functionalization of IONPs</w:t>
      </w:r>
    </w:p>
    <w:p w14:paraId="4325D954" w14:textId="2C585F8F" w:rsidR="004E001C" w:rsidRPr="00C10DFE" w:rsidRDefault="001E1A12" w:rsidP="004E001C">
      <w:pPr>
        <w:rPr>
          <w:rFonts w:eastAsia="Times New Roman"/>
        </w:rPr>
      </w:pPr>
      <w:r>
        <w:rPr>
          <w:rFonts w:eastAsia="Times New Roman"/>
        </w:rPr>
        <w:pict w14:anchorId="45AA2B9F">
          <v:shape id="_x0000_i1036" type="#_x0000_t75" style="width:466.45pt;height:427.3pt;visibility:visible">
            <v:imagedata r:id="rId23" o:title=""/>
          </v:shape>
        </w:pict>
      </w:r>
    </w:p>
    <w:p w14:paraId="1E0F39F8" w14:textId="3FD32B02" w:rsidR="004E001C" w:rsidRPr="00C10DFE" w:rsidRDefault="004E001C" w:rsidP="004E001C">
      <w:r w:rsidRPr="00C10DFE">
        <w:rPr>
          <w:b/>
          <w:bCs/>
        </w:rPr>
        <w:t xml:space="preserve">Figure </w:t>
      </w:r>
      <w:r w:rsidR="004B6880" w:rsidRPr="00C10DFE">
        <w:rPr>
          <w:b/>
          <w:bCs/>
        </w:rPr>
        <w:t>S</w:t>
      </w:r>
      <w:r w:rsidRPr="00C10DFE">
        <w:rPr>
          <w:b/>
          <w:bCs/>
        </w:rPr>
        <w:t>2</w:t>
      </w:r>
      <w:r w:rsidRPr="00C10DFE">
        <w:t xml:space="preserve">. a) Size and b) zeta potential of SNPs phase transferred with Na-Citrate. ATR-FTIR spectra of sodium citrate, SNPs with sodium citrate, CTAB, SNPs with CTAB and SNPs in c) region 800-1600 cm-1 and d) region 2800-3200 cm-1. </w:t>
      </w:r>
    </w:p>
    <w:p w14:paraId="421C50F1" w14:textId="4098A82D" w:rsidR="004E001C" w:rsidRDefault="004E001C" w:rsidP="004E001C"/>
    <w:p w14:paraId="3B78A548" w14:textId="3B920758" w:rsidR="000C2B91" w:rsidRDefault="000C2B91" w:rsidP="004E001C"/>
    <w:p w14:paraId="6C3097E1" w14:textId="77777777" w:rsidR="00B854F3" w:rsidRDefault="00B854F3" w:rsidP="004E001C"/>
    <w:p w14:paraId="5451E320" w14:textId="64832A53" w:rsidR="000C2B91" w:rsidRDefault="000C2B91" w:rsidP="004E001C"/>
    <w:p w14:paraId="16FB9AFB" w14:textId="77777777" w:rsidR="000C2B91" w:rsidRPr="00C10DFE" w:rsidRDefault="000C2B91" w:rsidP="004E001C"/>
    <w:p w14:paraId="535A0F8E" w14:textId="0996C608" w:rsidR="004E001C" w:rsidRPr="00C10DFE" w:rsidRDefault="00063EFB" w:rsidP="00063EFB">
      <w:pPr>
        <w:rPr>
          <w:i/>
          <w:iCs/>
        </w:rPr>
      </w:pPr>
      <w:r w:rsidRPr="00C10DFE">
        <w:rPr>
          <w:i/>
          <w:iCs/>
        </w:rPr>
        <w:lastRenderedPageBreak/>
        <w:t xml:space="preserve">4.3. </w:t>
      </w:r>
      <w:r w:rsidR="004E001C" w:rsidRPr="00C10DFE">
        <w:rPr>
          <w:i/>
          <w:iCs/>
        </w:rPr>
        <w:t>Influence of Magnetic Properties upon Functionalization</w:t>
      </w:r>
    </w:p>
    <w:p w14:paraId="4113AAE7" w14:textId="77777777" w:rsidR="004E001C" w:rsidRPr="00C10DFE" w:rsidRDefault="004E001C" w:rsidP="004E001C"/>
    <w:p w14:paraId="2A904479" w14:textId="2A391DE1" w:rsidR="004E001C" w:rsidRPr="00C10DFE" w:rsidRDefault="001E1A12" w:rsidP="004E001C">
      <w:pPr>
        <w:jc w:val="center"/>
      </w:pPr>
      <w:r>
        <w:pict w14:anchorId="2F0692C3">
          <v:shape id="_x0000_i1037" type="#_x0000_t75" style="width:468.8pt;height:171.4pt;visibility:visible">
            <v:imagedata r:id="rId24" o:title=""/>
          </v:shape>
        </w:pict>
      </w:r>
    </w:p>
    <w:p w14:paraId="7B9FA6A7" w14:textId="4550FF8A" w:rsidR="004E001C" w:rsidRPr="00C10DFE" w:rsidRDefault="004E001C" w:rsidP="004E001C">
      <w:r w:rsidRPr="00C10DFE">
        <w:rPr>
          <w:b/>
          <w:bCs/>
        </w:rPr>
        <w:t xml:space="preserve">Figure </w:t>
      </w:r>
      <w:r w:rsidR="0089309D" w:rsidRPr="00C10DFE">
        <w:rPr>
          <w:b/>
          <w:bCs/>
        </w:rPr>
        <w:t>S</w:t>
      </w:r>
      <w:r w:rsidRPr="00C10DFE">
        <w:rPr>
          <w:b/>
          <w:bCs/>
        </w:rPr>
        <w:t>3</w:t>
      </w:r>
      <w:r w:rsidRPr="00C10DFE">
        <w:t>. a) M</w:t>
      </w:r>
      <w:r w:rsidRPr="00C10DFE">
        <w:rPr>
          <w:vertAlign w:val="subscript"/>
        </w:rPr>
        <w:t>FC</w:t>
      </w:r>
      <w:r w:rsidRPr="00C10DFE">
        <w:t xml:space="preserve"> − M</w:t>
      </w:r>
      <w:r w:rsidRPr="00C10DFE">
        <w:rPr>
          <w:vertAlign w:val="subscript"/>
        </w:rPr>
        <w:t xml:space="preserve">ZFC </w:t>
      </w:r>
      <w:r w:rsidRPr="00C10DFE">
        <w:t>and (dM</w:t>
      </w:r>
      <w:r w:rsidRPr="00C10DFE">
        <w:rPr>
          <w:vertAlign w:val="subscript"/>
        </w:rPr>
        <w:t>FC</w:t>
      </w:r>
      <w:r w:rsidRPr="00C10DFE">
        <w:t xml:space="preserve"> − M</w:t>
      </w:r>
      <w:r w:rsidRPr="00C10DFE">
        <w:rPr>
          <w:vertAlign w:val="subscript"/>
        </w:rPr>
        <w:t>ZFC</w:t>
      </w:r>
      <w:r w:rsidRPr="00C10DFE">
        <w:t xml:space="preserve">/dT) curves. b) ZFC/FC curves for Mag, Mag_DNA, Mag_TM and Mag_Silica. </w:t>
      </w:r>
    </w:p>
    <w:p w14:paraId="36C9468F" w14:textId="77777777" w:rsidR="004E001C" w:rsidRPr="00C10DFE" w:rsidRDefault="004E001C" w:rsidP="004E001C">
      <w:pPr>
        <w:jc w:val="center"/>
      </w:pPr>
    </w:p>
    <w:p w14:paraId="62A4B962" w14:textId="7C587F02" w:rsidR="004E001C" w:rsidRPr="00C10DFE" w:rsidRDefault="004E001C" w:rsidP="004E001C">
      <w:r w:rsidRPr="00C10DFE">
        <w:t xml:space="preserve">In order to investigate magnetic nanoparticle interactions, low temperature </w:t>
      </w:r>
      <w:r w:rsidR="00561588" w:rsidRPr="00C10DFE">
        <w:t>remnant</w:t>
      </w:r>
      <w:r w:rsidRPr="00C10DFE">
        <w:t xml:space="preserve"> magnetization (5K) is carried out by the direct current demagnetization (DCD) and isothermal </w:t>
      </w:r>
      <w:r w:rsidR="00561588" w:rsidRPr="00C10DFE">
        <w:t>remnant</w:t>
      </w:r>
      <w:r w:rsidRPr="00C10DFE">
        <w:t xml:space="preserve"> magnetization (IRM) protocols (</w:t>
      </w:r>
      <w:r w:rsidRPr="00E3732E">
        <w:rPr>
          <w:b/>
          <w:bCs/>
        </w:rPr>
        <w:t xml:space="preserve">Figure </w:t>
      </w:r>
      <w:r w:rsidR="00E3732E" w:rsidRPr="00E3732E">
        <w:rPr>
          <w:b/>
          <w:bCs/>
        </w:rPr>
        <w:t>S</w:t>
      </w:r>
      <w:r w:rsidRPr="00E3732E">
        <w:rPr>
          <w:b/>
          <w:bCs/>
        </w:rPr>
        <w:t>4</w:t>
      </w:r>
      <w:r w:rsidRPr="00C10DFE">
        <w:t>).</w:t>
      </w:r>
      <w:r w:rsidR="00320E13">
        <w:rPr>
          <w:noProof/>
          <w:vertAlign w:val="superscript"/>
        </w:rPr>
        <w:fldChar w:fldCharType="begin"/>
      </w:r>
      <w:r w:rsidR="00320E13">
        <w:rPr>
          <w:noProof/>
          <w:vertAlign w:val="superscript"/>
        </w:rPr>
        <w:instrText xml:space="preserve"> ADDIN EN.CITE &lt;EndNote&gt;&lt;Cite&gt;&lt;Author&gt;Laureti&lt;/Author&gt;&lt;Year&gt;2010&lt;/Year&gt;&lt;RecNum&gt;29&lt;/RecNum&gt;&lt;DisplayText&gt;[15, 16]&lt;/DisplayText&gt;&lt;record&gt;&lt;rec-number&gt;29&lt;/rec-number&gt;&lt;foreign-keys&gt;&lt;key app="EN" db-id="s5edx5r5efrdsnespva5ezweerf0xavaafs0" timestamp="0"&gt;29&lt;/key&gt;&lt;/foreign-keys&gt;&lt;ref-type name="Journal Article"&gt;17&lt;/ref-type&gt;&lt;contributors&gt;&lt;authors&gt;&lt;author&gt;Laureti, S&lt;/author&gt;&lt;author&gt;Varvaro, G&lt;/author&gt;&lt;author&gt;Testa, AM&lt;/author&gt;&lt;author&gt;Fiorani, D&lt;/author&gt;&lt;author&gt;Agostinelli, E&lt;/author&gt;&lt;author&gt;Piccaluga, G&lt;/author&gt;&lt;author&gt;Musinu, ANNA&lt;/author&gt;&lt;author&gt;Ardu, A&lt;/author&gt;&lt;author&gt;Peddis, D&lt;/author&gt;&lt;/authors&gt;&lt;/contributors&gt;&lt;titles&gt;&lt;title&gt;Magnetic interactions in silica coated nanoporous assemblies of CoFe2O4 nanoparticles with cubic magnetic anisotropy&lt;/title&gt;&lt;secondary-title&gt;Nanotechnology&lt;/secondary-title&gt;&lt;/titles&gt;&lt;pages&gt;315701&lt;/pages&gt;&lt;volume&gt;21&lt;/volume&gt;&lt;number&gt;31&lt;/number&gt;&lt;dates&gt;&lt;year&gt;2010&lt;/year&gt;&lt;/dates&gt;&lt;isbn&gt;0957-4484&lt;/isbn&gt;&lt;urls&gt;&lt;/urls&gt;&lt;/record&gt;&lt;/Cite&gt;&lt;Cite&gt;&lt;Author&gt;Muscas&lt;/Author&gt;&lt;Year&gt;2015&lt;/Year&gt;&lt;RecNum&gt;30&lt;/RecNum&gt;&lt;record&gt;&lt;rec-number&gt;30&lt;/rec-number&gt;&lt;foreign-keys&gt;&lt;key app="EN" db-id="s5edx5r5efrdsnespva5ezweerf0xavaafs0" timestamp="0"&gt;30&lt;/key&gt;&lt;/foreign-keys&gt;&lt;ref-type name="Journal Article"&gt;17&lt;/ref-type&gt;&lt;contributors&gt;&lt;authors&gt;&lt;author&gt;Muscas, Giuseppe&lt;/author&gt;&lt;author&gt;Yaacoub, N&lt;/author&gt;&lt;author&gt;Concas, Giorgio&lt;/author&gt;&lt;author&gt;Sayed, F&lt;/author&gt;&lt;author&gt;Hassan, R Sayed&lt;/author&gt;&lt;author&gt;Greneche, Jean-Marc&lt;/author&gt;&lt;author&gt;Cannas, Carla&lt;/author&gt;&lt;author&gt;Musinu, ANNA&lt;/author&gt;&lt;author&gt;Foglietti, V&lt;/author&gt;&lt;author&gt;Casciardi, S&lt;/author&gt;&lt;/authors&gt;&lt;/contributors&gt;&lt;titles&gt;&lt;title&gt;Evolution of the magnetic structure with chemical composition in spinel iron oxide nanoparticles&lt;/title&gt;&lt;secondary-title&gt;Nanoscale&lt;/secondary-title&gt;&lt;/titles&gt;&lt;pages&gt;13576-13585&lt;/pages&gt;&lt;volume&gt;7&lt;/volume&gt;&lt;number&gt;32&lt;/number&gt;&lt;dates&gt;&lt;year&gt;2015&lt;/year&gt;&lt;/dates&gt;&lt;urls&gt;&lt;/urls&gt;&lt;/record&gt;&lt;/Cite&gt;&lt;/EndNote&gt;</w:instrText>
      </w:r>
      <w:r w:rsidR="00320E13">
        <w:rPr>
          <w:noProof/>
          <w:vertAlign w:val="superscript"/>
        </w:rPr>
        <w:fldChar w:fldCharType="separate"/>
      </w:r>
      <w:r w:rsidR="00320E13">
        <w:rPr>
          <w:noProof/>
          <w:vertAlign w:val="superscript"/>
        </w:rPr>
        <w:t>[15, 16]</w:t>
      </w:r>
      <w:r w:rsidR="00320E13">
        <w:rPr>
          <w:noProof/>
          <w:vertAlign w:val="superscript"/>
        </w:rPr>
        <w:fldChar w:fldCharType="end"/>
      </w:r>
      <w:r w:rsidRPr="00C10DFE">
        <w:rPr>
          <w:vertAlign w:val="superscript"/>
        </w:rPr>
        <w:t xml:space="preserve"> </w:t>
      </w:r>
      <w:r w:rsidRPr="00C10DFE">
        <w:t>In a typical DCD measurement, the sample is saturated in an external field of −5 T, then the external field is removed, and the remanence magnetization is recorded. The sample is then exposed to a reverse positive field (H</w:t>
      </w:r>
      <w:r w:rsidRPr="00C10DFE">
        <w:rPr>
          <w:vertAlign w:val="subscript"/>
        </w:rPr>
        <w:t>rev</w:t>
      </w:r>
      <w:r w:rsidRPr="00C10DFE">
        <w:t>) to invert the magnetization; so H</w:t>
      </w:r>
      <w:r w:rsidRPr="00C10DFE">
        <w:rPr>
          <w:vertAlign w:val="subscript"/>
        </w:rPr>
        <w:t>rev</w:t>
      </w:r>
      <w:r w:rsidRPr="00C10DFE">
        <w:t xml:space="preserve"> is removed and the remanence magnetization is recorded. The process is repeated several times, each time with a higher H</w:t>
      </w:r>
      <w:r w:rsidRPr="00C10DFE">
        <w:rPr>
          <w:vertAlign w:val="subscript"/>
        </w:rPr>
        <w:t>rev</w:t>
      </w:r>
      <w:r w:rsidRPr="00C10DFE">
        <w:t>, up to 5 T. IRM protocol is similar to DCD protocol but starting with the sample in a demagnetized state.</w:t>
      </w:r>
      <w:r w:rsidR="007629F0">
        <w:rPr>
          <w:noProof/>
          <w:vertAlign w:val="superscript"/>
        </w:rPr>
        <w:fldChar w:fldCharType="begin"/>
      </w:r>
      <w:r w:rsidR="007629F0">
        <w:rPr>
          <w:noProof/>
          <w:vertAlign w:val="superscript"/>
        </w:rPr>
        <w:instrText xml:space="preserve"> ADDIN EN.CITE &lt;EndNote&gt;&lt;Cite&gt;&lt;Author&gt;Peddis&lt;/Author&gt;&lt;Year&gt;2014&lt;/Year&gt;&lt;RecNum&gt;34&lt;/RecNum&gt;&lt;DisplayText&gt;[17]&lt;/DisplayText&gt;&lt;record&gt;&lt;rec-number&gt;34&lt;/rec-number&gt;&lt;foreign-keys&gt;&lt;key app="EN" db-id="s5edx5r5efrdsnespva5ezweerf0xavaafs0" timestamp="0"&gt;34&lt;/key&gt;&lt;/foreign-keys&gt;&lt;ref-type name="Book Section"&gt;5&lt;/ref-type&gt;&lt;contributors&gt;&lt;authors&gt;&lt;author&gt;Peddis, Davide&lt;/author&gt;&lt;author&gt;Jönsson, Petra E&lt;/author&gt;&lt;author&gt;Laureti, Sara&lt;/author&gt;&lt;author&gt;Varvaro, Gaspare&lt;/author&gt;&lt;/authors&gt;&lt;/contributors&gt;&lt;titles&gt;&lt;title&gt;Magnetic interactions: A tool to modify the magnetic properties of materials based on nanoparticles&lt;/title&gt;&lt;secondary-title&gt;Frontiers of Nanoscience&lt;/secondary-title&gt;&lt;/titles&gt;&lt;pages&gt;129-188&lt;/pages&gt;&lt;volume&gt;6&lt;/volume&gt;&lt;dates&gt;&lt;year&gt;2014&lt;/year&gt;&lt;/dates&gt;&lt;publisher&gt;Elsevier&lt;/publisher&gt;&lt;isbn&gt;1876-2778&lt;/isbn&gt;&lt;urls&gt;&lt;/urls&gt;&lt;/record&gt;&lt;/Cite&gt;&lt;/EndNote&gt;</w:instrText>
      </w:r>
      <w:r w:rsidR="007629F0">
        <w:rPr>
          <w:noProof/>
          <w:vertAlign w:val="superscript"/>
        </w:rPr>
        <w:fldChar w:fldCharType="separate"/>
      </w:r>
      <w:r w:rsidR="007629F0">
        <w:rPr>
          <w:noProof/>
          <w:vertAlign w:val="superscript"/>
        </w:rPr>
        <w:t>[17]</w:t>
      </w:r>
      <w:r w:rsidR="007629F0">
        <w:rPr>
          <w:noProof/>
          <w:vertAlign w:val="superscript"/>
        </w:rPr>
        <w:fldChar w:fldCharType="end"/>
      </w:r>
    </w:p>
    <w:p w14:paraId="6468D1D8" w14:textId="77777777" w:rsidR="004E001C" w:rsidRPr="00C10DFE" w:rsidRDefault="004E001C" w:rsidP="004E001C">
      <w:r w:rsidRPr="00C10DFE">
        <w:t>M</w:t>
      </w:r>
      <w:r w:rsidRPr="00C10DFE">
        <w:rPr>
          <w:vertAlign w:val="subscript"/>
        </w:rPr>
        <w:t>r</w:t>
      </w:r>
      <w:r w:rsidRPr="00C10DFE">
        <w:rPr>
          <w:vertAlign w:val="superscript"/>
        </w:rPr>
        <w:t>IRM</w:t>
      </w:r>
      <w:r w:rsidRPr="00C10DFE">
        <w:t>(H) and M</w:t>
      </w:r>
      <w:r w:rsidRPr="00C10DFE">
        <w:rPr>
          <w:vertAlign w:val="subscript"/>
        </w:rPr>
        <w:t>r</w:t>
      </w:r>
      <w:r w:rsidRPr="00C10DFE">
        <w:rPr>
          <w:vertAlign w:val="superscript"/>
        </w:rPr>
        <w:t>DCD</w:t>
      </w:r>
      <w:r w:rsidRPr="00C10DFE">
        <w:t xml:space="preserve">(H) represent the same energy barriers in the case of an ensemble of non-interacting monodomain particles with uniaxial anisotropy. This is clearly expressed by the so-called Wohlfarth relationship: </w:t>
      </w:r>
    </w:p>
    <w:p w14:paraId="2447453B" w14:textId="285005D9" w:rsidR="004E001C" w:rsidRPr="00C10DFE" w:rsidRDefault="00E9133A" w:rsidP="004E001C">
      <w:pPr>
        <w:ind w:left="2160" w:firstLine="720"/>
      </w:pPr>
      <w:r w:rsidRPr="00EA2884">
        <w:rPr>
          <w:position w:val="-12"/>
        </w:rPr>
        <w:object w:dxaOrig="2620" w:dyaOrig="380" w14:anchorId="3B1CA8F8">
          <v:shape id="_x0000_i1038" type="#_x0000_t75" style="width:131.5pt;height:19.55pt" o:ole="">
            <v:imagedata r:id="rId25" o:title=""/>
          </v:shape>
          <o:OLEObject Type="Embed" ProgID="Equation.DSMT4" ShapeID="_x0000_i1038" DrawAspect="Content" ObjectID="_1657614826" r:id="rId26"/>
        </w:object>
      </w:r>
      <w:r w:rsidR="004E001C" w:rsidRPr="00C10DFE">
        <w:t xml:space="preserve">          (</w:t>
      </w:r>
      <w:r w:rsidR="001F5A49" w:rsidRPr="00C10DFE">
        <w:t>S</w:t>
      </w:r>
      <w:r w:rsidR="00C72EA5">
        <w:t>8</w:t>
      </w:r>
      <w:r w:rsidR="004E001C" w:rsidRPr="00C10DFE">
        <w:t>)</w:t>
      </w:r>
    </w:p>
    <w:p w14:paraId="5D37A247" w14:textId="77777777" w:rsidR="004E001C" w:rsidRPr="00C10DFE" w:rsidRDefault="004E001C" w:rsidP="004E001C"/>
    <w:p w14:paraId="3A596053" w14:textId="77777777" w:rsidR="004E001C" w:rsidRPr="00C10DFE" w:rsidRDefault="004E001C" w:rsidP="004E001C">
      <w:r w:rsidRPr="00C10DFE">
        <w:lastRenderedPageBreak/>
        <w:t>Kelly et al. rewrote the Wohlfarth’s relationship in order to show more clearly the deviation of a real system from the non-interacting case:</w:t>
      </w:r>
    </w:p>
    <w:p w14:paraId="11D12486" w14:textId="2868F5B5" w:rsidR="004E001C" w:rsidRPr="00C10DFE" w:rsidRDefault="00DA74FE" w:rsidP="004E001C">
      <w:pPr>
        <w:ind w:left="2160" w:firstLine="720"/>
      </w:pPr>
      <w:r w:rsidRPr="00EA2884">
        <w:rPr>
          <w:position w:val="-12"/>
        </w:rPr>
        <w:object w:dxaOrig="2960" w:dyaOrig="380" w14:anchorId="35514358">
          <v:shape id="_x0000_i1039" type="#_x0000_t75" style="width:148.7pt;height:19.55pt" o:ole="">
            <v:imagedata r:id="rId27" o:title=""/>
          </v:shape>
          <o:OLEObject Type="Embed" ProgID="Equation.DSMT4" ShapeID="_x0000_i1039" DrawAspect="Content" ObjectID="_1657614827" r:id="rId28"/>
        </w:object>
      </w:r>
      <w:r w:rsidR="004E001C" w:rsidRPr="00C10DFE">
        <w:t xml:space="preserve">        (</w:t>
      </w:r>
      <w:r w:rsidR="001F5A49" w:rsidRPr="00C10DFE">
        <w:t>S</w:t>
      </w:r>
      <w:r w:rsidR="00C72EA5">
        <w:t>9</w:t>
      </w:r>
      <w:r w:rsidR="004E001C" w:rsidRPr="00C10DFE">
        <w:t>)</w:t>
      </w:r>
    </w:p>
    <w:p w14:paraId="1F72F063" w14:textId="77777777" w:rsidR="004E001C" w:rsidRPr="00C10DFE" w:rsidRDefault="004E001C" w:rsidP="004E001C">
      <w:pPr>
        <w:ind w:left="2160" w:firstLine="720"/>
      </w:pPr>
    </w:p>
    <w:p w14:paraId="177CD94A" w14:textId="082A3994" w:rsidR="004E001C" w:rsidRPr="00C10DFE" w:rsidRDefault="004E001C" w:rsidP="004E001C">
      <w:r w:rsidRPr="00C10DFE">
        <w:t>where the δM parameter has zero value for a non-interacting system.</w:t>
      </w:r>
      <w:r w:rsidR="007629F0">
        <w:rPr>
          <w:noProof/>
          <w:vertAlign w:val="superscript"/>
        </w:rPr>
        <w:fldChar w:fldCharType="begin"/>
      </w:r>
      <w:r w:rsidR="007629F0">
        <w:rPr>
          <w:noProof/>
          <w:vertAlign w:val="superscript"/>
        </w:rPr>
        <w:instrText xml:space="preserve"> ADDIN EN.CITE &lt;EndNote&gt;&lt;Cite&gt;&lt;Author&gt;Wohlfarth&lt;/Author&gt;&lt;Year&gt;1958&lt;/Year&gt;&lt;RecNum&gt;32&lt;/RecNum&gt;&lt;DisplayText&gt;[18, 19]&lt;/DisplayText&gt;&lt;record&gt;&lt;rec-number&gt;32&lt;/rec-number&gt;&lt;foreign-keys&gt;&lt;key app="EN" db-id="s5edx5r5efrdsnespva5ezweerf0xavaafs0" timestamp="0"&gt;32&lt;/key&gt;&lt;/foreign-keys&gt;&lt;ref-type name="Journal Article"&gt;17&lt;/ref-type&gt;&lt;contributors&gt;&lt;authors&gt;&lt;author&gt;Wohlfarth, Erich Peter&lt;/author&gt;&lt;/authors&gt;&lt;/contributors&gt;&lt;titles&gt;&lt;title&gt;Relations between different modes of acquisition of the remanent magnetization of ferromagnetic particles&lt;/title&gt;&lt;secondary-title&gt;Journal of Applied Physics&lt;/secondary-title&gt;&lt;/titles&gt;&lt;pages&gt;595-596&lt;/pages&gt;&lt;volume&gt;29&lt;/volume&gt;&lt;number&gt;3&lt;/number&gt;&lt;dates&gt;&lt;year&gt;1958&lt;/year&gt;&lt;/dates&gt;&lt;isbn&gt;0021-8979&lt;/isbn&gt;&lt;urls&gt;&lt;/urls&gt;&lt;/record&gt;&lt;/Cite&gt;&lt;Cite&gt;&lt;Author&gt;Kelly&lt;/Author&gt;&lt;Year&gt;1989&lt;/Year&gt;&lt;RecNum&gt;33&lt;/RecNum&gt;&lt;record&gt;&lt;rec-number&gt;33&lt;/rec-number&gt;&lt;foreign-keys&gt;&lt;key app="EN" db-id="s5edx5r5efrdsnespva5ezweerf0xavaafs0" timestamp="0"&gt;33&lt;/key&gt;&lt;/foreign-keys&gt;&lt;ref-type name="Journal Article"&gt;17&lt;/ref-type&gt;&lt;contributors&gt;&lt;authors&gt;&lt;author&gt;Kelly, PE&lt;/author&gt;&lt;author&gt;O&amp;apos;grady, K&lt;/author&gt;&lt;author&gt;Mayo, PI&lt;/author&gt;&lt;author&gt;Chantrell, RW&lt;/author&gt;&lt;/authors&gt;&lt;/contributors&gt;&lt;titles&gt;&lt;title&gt;Switching mechanisms in cobalt-phosphorus thin films&lt;/title&gt;&lt;secondary-title&gt;IEEE Transactions on Magnetics&lt;/secondary-title&gt;&lt;/titles&gt;&lt;pages&gt;3881-3883&lt;/pages&gt;&lt;volume&gt;25&lt;/volume&gt;&lt;number&gt;5&lt;/number&gt;&lt;dates&gt;&lt;year&gt;1989&lt;/year&gt;&lt;/dates&gt;&lt;isbn&gt;0018-9464&lt;/isbn&gt;&lt;urls&gt;&lt;/urls&gt;&lt;/record&gt;&lt;/Cite&gt;&lt;/EndNote&gt;</w:instrText>
      </w:r>
      <w:r w:rsidR="007629F0">
        <w:rPr>
          <w:noProof/>
          <w:vertAlign w:val="superscript"/>
        </w:rPr>
        <w:fldChar w:fldCharType="separate"/>
      </w:r>
      <w:r w:rsidR="007629F0">
        <w:rPr>
          <w:noProof/>
          <w:vertAlign w:val="superscript"/>
        </w:rPr>
        <w:t>[18, 19]</w:t>
      </w:r>
      <w:r w:rsidR="007629F0">
        <w:rPr>
          <w:noProof/>
          <w:vertAlign w:val="superscript"/>
        </w:rPr>
        <w:fldChar w:fldCharType="end"/>
      </w:r>
      <w:r w:rsidRPr="00C10DFE">
        <w:t xml:space="preserve"> Interactions promoting the magnetized state such as exchange and other positive interactions lead to a positive value of δM parameter whereas negative deviation are due to demagnetizing interactions (e.g. dipole–dipole interactions).</w:t>
      </w:r>
      <w:r w:rsidR="00D951DF">
        <w:rPr>
          <w:vertAlign w:val="superscript"/>
        </w:rPr>
        <w:fldChar w:fldCharType="begin"/>
      </w:r>
      <w:r w:rsidR="00D951DF">
        <w:rPr>
          <w:vertAlign w:val="superscript"/>
        </w:rPr>
        <w:instrText xml:space="preserve"> ADDIN EN.CITE &lt;EndNote&gt;&lt;Cite&gt;&lt;Author&gt;Peddis&lt;/Author&gt;&lt;Year&gt;2014&lt;/Year&gt;&lt;RecNum&gt;34&lt;/RecNum&gt;&lt;DisplayText&gt;[17]&lt;/DisplayText&gt;&lt;record&gt;&lt;rec-number&gt;34&lt;/rec-number&gt;&lt;foreign-keys&gt;&lt;key app="EN" db-id="s5edx5r5efrdsnespva5ezweerf0xavaafs0" timestamp="0"&gt;34&lt;/key&gt;&lt;/foreign-keys&gt;&lt;ref-type name="Book Section"&gt;5&lt;/ref-type&gt;&lt;contributors&gt;&lt;authors&gt;&lt;author&gt;Peddis, Davide&lt;/author&gt;&lt;author&gt;Jönsson, Petra E&lt;/author&gt;&lt;author&gt;Laureti, Sara&lt;/author&gt;&lt;author&gt;Varvaro, Gaspare&lt;/author&gt;&lt;/authors&gt;&lt;/contributors&gt;&lt;titles&gt;&lt;title&gt;Magnetic interactions: A tool to modify the magnetic properties of materials based on nanoparticles&lt;/title&gt;&lt;secondary-title&gt;Frontiers of Nanoscience&lt;/secondary-title&gt;&lt;/titles&gt;&lt;pages&gt;129-188&lt;/pages&gt;&lt;volume&gt;6&lt;/volume&gt;&lt;dates&gt;&lt;year&gt;2014&lt;/year&gt;&lt;/dates&gt;&lt;publisher&gt;Elsevier&lt;/publisher&gt;&lt;isbn&gt;1876-2778&lt;/isbn&gt;&lt;urls&gt;&lt;/urls&gt;&lt;/record&gt;&lt;/Cite&gt;&lt;/EndNote&gt;</w:instrText>
      </w:r>
      <w:r w:rsidR="00D951DF">
        <w:rPr>
          <w:vertAlign w:val="superscript"/>
        </w:rPr>
        <w:fldChar w:fldCharType="separate"/>
      </w:r>
      <w:r w:rsidR="00D951DF">
        <w:rPr>
          <w:noProof/>
          <w:vertAlign w:val="superscript"/>
        </w:rPr>
        <w:t>[17]</w:t>
      </w:r>
      <w:r w:rsidR="00D951DF">
        <w:rPr>
          <w:vertAlign w:val="superscript"/>
        </w:rPr>
        <w:fldChar w:fldCharType="end"/>
      </w:r>
    </w:p>
    <w:p w14:paraId="2BA89EC3" w14:textId="3A2BBD90" w:rsidR="004E001C" w:rsidRPr="00C10DFE" w:rsidRDefault="004E001C" w:rsidP="004E001C">
      <w:r w:rsidRPr="00C10DFE">
        <w:lastRenderedPageBreak/>
        <w:t xml:space="preserve"> </w:t>
      </w:r>
      <w:r w:rsidR="001E1A12">
        <w:pict w14:anchorId="6137F12A">
          <v:shape id="_x0000_i1040" type="#_x0000_t75" style="width:468.8pt;height:474.25pt;visibility:visible">
            <v:imagedata r:id="rId29" o:title=""/>
          </v:shape>
        </w:pict>
      </w:r>
    </w:p>
    <w:p w14:paraId="7EDF5F20" w14:textId="148CB786" w:rsidR="004E001C" w:rsidRPr="00C10DFE" w:rsidRDefault="004E001C" w:rsidP="004E001C">
      <w:r w:rsidRPr="00C10DFE">
        <w:rPr>
          <w:b/>
          <w:bCs/>
        </w:rPr>
        <w:t xml:space="preserve">Figure </w:t>
      </w:r>
      <w:r w:rsidR="00D32157" w:rsidRPr="00C10DFE">
        <w:rPr>
          <w:b/>
          <w:bCs/>
        </w:rPr>
        <w:t>S</w:t>
      </w:r>
      <w:r w:rsidRPr="00C10DFE">
        <w:rPr>
          <w:b/>
          <w:bCs/>
        </w:rPr>
        <w:t>4</w:t>
      </w:r>
      <w:r w:rsidRPr="00C10DFE">
        <w:t>. DCD and IRM curves for a) Mag, b) Mag_TMAPS, c) Mag_DNA amd d) Mag_Silica</w:t>
      </w:r>
    </w:p>
    <w:p w14:paraId="5A5148FB" w14:textId="7E7654B7" w:rsidR="004E001C" w:rsidRPr="00C10DFE" w:rsidRDefault="001E1A12" w:rsidP="004E001C">
      <w:r>
        <w:lastRenderedPageBreak/>
        <w:pict w14:anchorId="28C3E6B4">
          <v:shape id="_x0000_i1041" type="#_x0000_t75" style="width:436.7pt;height:305.2pt">
            <v:imagedata r:id="rId30" o:title=""/>
          </v:shape>
        </w:pict>
      </w:r>
    </w:p>
    <w:p w14:paraId="30831707" w14:textId="7569404E" w:rsidR="00004A23" w:rsidRPr="00C10DFE" w:rsidRDefault="004E001C" w:rsidP="004E001C">
      <w:pPr>
        <w:pStyle w:val="MainText"/>
      </w:pPr>
      <w:r w:rsidRPr="00C10DFE">
        <w:rPr>
          <w:b/>
          <w:bCs/>
        </w:rPr>
        <w:t xml:space="preserve">Figure </w:t>
      </w:r>
      <w:r w:rsidR="00D32157" w:rsidRPr="00C10DFE">
        <w:rPr>
          <w:b/>
          <w:bCs/>
        </w:rPr>
        <w:t>S</w:t>
      </w:r>
      <w:r w:rsidRPr="00C10DFE">
        <w:rPr>
          <w:b/>
          <w:bCs/>
        </w:rPr>
        <w:t>5</w:t>
      </w:r>
      <w:r w:rsidRPr="00C10DFE">
        <w:t>. Field dependence of magnetization recorded at 5K for CNPs.</w:t>
      </w:r>
    </w:p>
    <w:p w14:paraId="799A0B07" w14:textId="77777777" w:rsidR="006256F5" w:rsidRPr="00C10DFE" w:rsidRDefault="006256F5" w:rsidP="003E113B">
      <w:pPr>
        <w:pStyle w:val="Tableofcontents"/>
      </w:pPr>
    </w:p>
    <w:p w14:paraId="52868462" w14:textId="6A3C51BF" w:rsidR="00A03086" w:rsidRPr="00C83AA3" w:rsidRDefault="00A03086" w:rsidP="006721F5">
      <w:pPr>
        <w:rPr>
          <w:b/>
          <w:bCs/>
        </w:rPr>
      </w:pPr>
      <w:r w:rsidRPr="00C83AA3">
        <w:rPr>
          <w:b/>
          <w:bCs/>
        </w:rPr>
        <w:t>References</w:t>
      </w:r>
    </w:p>
    <w:p w14:paraId="63E05202" w14:textId="77777777" w:rsidR="00D951DF" w:rsidRPr="00D951DF" w:rsidRDefault="00571152" w:rsidP="00C83AA3">
      <w:pPr>
        <w:pStyle w:val="EndNoteBibliography"/>
        <w:ind w:left="720" w:hanging="720"/>
      </w:pPr>
      <w:r>
        <w:fldChar w:fldCharType="begin"/>
      </w:r>
      <w:r>
        <w:instrText xml:space="preserve"> ADDIN EN.REFLIST </w:instrText>
      </w:r>
      <w:r>
        <w:fldChar w:fldCharType="separate"/>
      </w:r>
      <w:r w:rsidR="00D951DF" w:rsidRPr="00D951DF">
        <w:t>1.</w:t>
      </w:r>
      <w:r w:rsidR="00D951DF" w:rsidRPr="00D951DF">
        <w:tab/>
        <w:t xml:space="preserve">Randolph, A., </w:t>
      </w:r>
      <w:r w:rsidR="00D951DF" w:rsidRPr="00D951DF">
        <w:rPr>
          <w:i/>
        </w:rPr>
        <w:t>Theory of particulate processes: analysis and techniques of continuous crystallization</w:t>
      </w:r>
      <w:r w:rsidR="00D951DF" w:rsidRPr="00D951DF">
        <w:t>. 2012: Elsevier.</w:t>
      </w:r>
    </w:p>
    <w:p w14:paraId="63F7CACA" w14:textId="77777777" w:rsidR="00D951DF" w:rsidRPr="00D951DF" w:rsidRDefault="00D951DF" w:rsidP="00C83AA3">
      <w:pPr>
        <w:pStyle w:val="EndNoteBibliography"/>
        <w:ind w:left="720" w:hanging="720"/>
      </w:pPr>
      <w:r w:rsidRPr="00D951DF">
        <w:t>2.</w:t>
      </w:r>
      <w:r w:rsidRPr="00D951DF">
        <w:tab/>
        <w:t xml:space="preserve">Bandyopadhyaya, R., R. Kumar, and K. Gandhi, </w:t>
      </w:r>
      <w:r w:rsidRPr="00D951DF">
        <w:rPr>
          <w:i/>
        </w:rPr>
        <w:t>Simulation of precipitation reactions in reverse micelles.</w:t>
      </w:r>
      <w:r w:rsidRPr="00D951DF">
        <w:t xml:space="preserve"> Langmuir, 2000. </w:t>
      </w:r>
      <w:r w:rsidRPr="00D951DF">
        <w:rPr>
          <w:b/>
        </w:rPr>
        <w:t>16</w:t>
      </w:r>
      <w:r w:rsidRPr="00D951DF">
        <w:t>(18): p. 7139-7149.</w:t>
      </w:r>
    </w:p>
    <w:p w14:paraId="0958DC36" w14:textId="77777777" w:rsidR="00D951DF" w:rsidRPr="00D951DF" w:rsidRDefault="00D951DF" w:rsidP="00C83AA3">
      <w:pPr>
        <w:pStyle w:val="EndNoteBibliography"/>
        <w:ind w:left="720" w:hanging="720"/>
      </w:pPr>
      <w:r w:rsidRPr="00D951DF">
        <w:t>3.</w:t>
      </w:r>
      <w:r w:rsidRPr="00D951DF">
        <w:tab/>
        <w:t xml:space="preserve">Ethayaraja, M., C. Ravikumar, D. Muthukumaran, K. Dutta, and R. Bandyopadhyaya, </w:t>
      </w:r>
      <w:r w:rsidRPr="00D951DF">
        <w:rPr>
          <w:i/>
        </w:rPr>
        <w:t>CdS− ZnS Core− Shell Nanoparticle Formation: Experiment, Mechanism, and Simulation.</w:t>
      </w:r>
      <w:r w:rsidRPr="00D951DF">
        <w:t xml:space="preserve"> The Journal of Physical Chemistry C, 2007. </w:t>
      </w:r>
      <w:r w:rsidRPr="00D951DF">
        <w:rPr>
          <w:b/>
        </w:rPr>
        <w:t>111</w:t>
      </w:r>
      <w:r w:rsidRPr="00D951DF">
        <w:t>(8): p. 3246-3252.</w:t>
      </w:r>
    </w:p>
    <w:p w14:paraId="13A4AAC5" w14:textId="77777777" w:rsidR="00D951DF" w:rsidRPr="00D951DF" w:rsidRDefault="00D951DF" w:rsidP="00C83AA3">
      <w:pPr>
        <w:pStyle w:val="EndNoteBibliography"/>
        <w:ind w:left="720" w:hanging="720"/>
      </w:pPr>
      <w:r w:rsidRPr="00D951DF">
        <w:t>4.</w:t>
      </w:r>
      <w:r w:rsidRPr="00D951DF">
        <w:tab/>
        <w:t xml:space="preserve">Layek, A., G. Mishra, A. Sharma, M. Spasova, S. Dhar, A. Chowdhury, and R. Bandyopadhyaya, </w:t>
      </w:r>
      <w:r w:rsidRPr="00D951DF">
        <w:rPr>
          <w:i/>
        </w:rPr>
        <w:t>A generalized three-stage mechanism of ZnO nanoparticle formation in homogeneous liquid medium.</w:t>
      </w:r>
      <w:r w:rsidRPr="00D951DF">
        <w:t xml:space="preserve"> The Journal of Physical Chemistry C, 2012. </w:t>
      </w:r>
      <w:r w:rsidRPr="00D951DF">
        <w:rPr>
          <w:b/>
        </w:rPr>
        <w:t>116</w:t>
      </w:r>
      <w:r w:rsidRPr="00D951DF">
        <w:t>(46): p. 24757-24769.</w:t>
      </w:r>
    </w:p>
    <w:p w14:paraId="7BD8DEB5" w14:textId="77777777" w:rsidR="00D951DF" w:rsidRPr="00D951DF" w:rsidRDefault="00D951DF" w:rsidP="00C83AA3">
      <w:pPr>
        <w:pStyle w:val="EndNoteBibliography"/>
        <w:ind w:left="720" w:hanging="720"/>
      </w:pPr>
      <w:r w:rsidRPr="00D951DF">
        <w:t>5.</w:t>
      </w:r>
      <w:r w:rsidRPr="00D951DF">
        <w:tab/>
        <w:t xml:space="preserve">Bachhar, N. and R. Bandyopadhyaya, </w:t>
      </w:r>
      <w:r w:rsidRPr="00D951DF">
        <w:rPr>
          <w:i/>
        </w:rPr>
        <w:t>Role of coating agent in iron oxide nanoparticle formation in an aqueous dispersion: Experiments and simulation.</w:t>
      </w:r>
      <w:r w:rsidRPr="00D951DF">
        <w:t xml:space="preserve"> Journal of colloid and interface science, 2016. </w:t>
      </w:r>
      <w:r w:rsidRPr="00D951DF">
        <w:rPr>
          <w:b/>
        </w:rPr>
        <w:t>464</w:t>
      </w:r>
      <w:r w:rsidRPr="00D951DF">
        <w:t>: p. 254-263.</w:t>
      </w:r>
    </w:p>
    <w:p w14:paraId="74DBDA1E" w14:textId="77777777" w:rsidR="00D951DF" w:rsidRPr="00D951DF" w:rsidRDefault="00D951DF" w:rsidP="00C83AA3">
      <w:pPr>
        <w:pStyle w:val="EndNoteBibliography"/>
        <w:ind w:left="720" w:hanging="720"/>
      </w:pPr>
      <w:r w:rsidRPr="00D951DF">
        <w:t>6.</w:t>
      </w:r>
      <w:r w:rsidRPr="00D951DF">
        <w:tab/>
        <w:t xml:space="preserve">Bachhar, N. and R. Bandyopadhyaya, </w:t>
      </w:r>
      <w:r w:rsidRPr="00D951DF">
        <w:rPr>
          <w:i/>
        </w:rPr>
        <w:t>Predicting complete size distribution of nanoparticles based on interparticle potential: experiments and simulation.</w:t>
      </w:r>
      <w:r w:rsidRPr="00D951DF">
        <w:t xml:space="preserve"> The Journal of Physical Chemistry C, 2016. </w:t>
      </w:r>
      <w:r w:rsidRPr="00D951DF">
        <w:rPr>
          <w:b/>
        </w:rPr>
        <w:t>120</w:t>
      </w:r>
      <w:r w:rsidRPr="00D951DF">
        <w:t>(8): p. 4612-4622.</w:t>
      </w:r>
    </w:p>
    <w:p w14:paraId="3EDECF51" w14:textId="77777777" w:rsidR="00D951DF" w:rsidRPr="00D951DF" w:rsidRDefault="00D951DF" w:rsidP="00C83AA3">
      <w:pPr>
        <w:pStyle w:val="EndNoteBibliography"/>
        <w:ind w:left="720" w:hanging="720"/>
      </w:pPr>
      <w:r w:rsidRPr="00D951DF">
        <w:t>7.</w:t>
      </w:r>
      <w:r w:rsidRPr="00D951DF">
        <w:tab/>
        <w:t xml:space="preserve">Treybal, R.E., </w:t>
      </w:r>
      <w:r w:rsidRPr="00D951DF">
        <w:rPr>
          <w:i/>
        </w:rPr>
        <w:t>Mass transfer operations.</w:t>
      </w:r>
      <w:r w:rsidRPr="00D951DF">
        <w:t xml:space="preserve"> New York, 1980. </w:t>
      </w:r>
      <w:r w:rsidRPr="00D951DF">
        <w:rPr>
          <w:b/>
        </w:rPr>
        <w:t>466</w:t>
      </w:r>
      <w:r w:rsidRPr="00D951DF">
        <w:t>.</w:t>
      </w:r>
    </w:p>
    <w:p w14:paraId="3CE55165" w14:textId="77777777" w:rsidR="00D951DF" w:rsidRPr="00D951DF" w:rsidRDefault="00D951DF" w:rsidP="00C83AA3">
      <w:pPr>
        <w:pStyle w:val="EndNoteBibliography"/>
        <w:ind w:left="720" w:hanging="720"/>
      </w:pPr>
      <w:r w:rsidRPr="00D951DF">
        <w:t>8.</w:t>
      </w:r>
      <w:r w:rsidRPr="00D951DF">
        <w:tab/>
        <w:t xml:space="preserve">Friedlander, S.K., </w:t>
      </w:r>
      <w:r w:rsidRPr="00D951DF">
        <w:rPr>
          <w:i/>
        </w:rPr>
        <w:t>Smoke, dust, and haze</w:t>
      </w:r>
      <w:r w:rsidRPr="00D951DF">
        <w:t>. Vol. 198. 2000: Oxford University Press New York.</w:t>
      </w:r>
    </w:p>
    <w:p w14:paraId="2611E927" w14:textId="77777777" w:rsidR="00D951DF" w:rsidRPr="00D951DF" w:rsidRDefault="00D951DF" w:rsidP="00C83AA3">
      <w:pPr>
        <w:pStyle w:val="EndNoteBibliography"/>
        <w:ind w:left="720" w:hanging="720"/>
      </w:pPr>
      <w:r w:rsidRPr="00D951DF">
        <w:lastRenderedPageBreak/>
        <w:t>9.</w:t>
      </w:r>
      <w:r w:rsidRPr="00D951DF">
        <w:tab/>
        <w:t xml:space="preserve">Kestin, J., M. Sokolov, and W.A. Wakeham, </w:t>
      </w:r>
      <w:r w:rsidRPr="00D951DF">
        <w:rPr>
          <w:i/>
        </w:rPr>
        <w:t>Viscosity of liquid water in the range− 8 C to 150 C.</w:t>
      </w:r>
      <w:r w:rsidRPr="00D951DF">
        <w:t xml:space="preserve"> Journal of Physical and Chemical Reference Data, 1978. </w:t>
      </w:r>
      <w:r w:rsidRPr="00D951DF">
        <w:rPr>
          <w:b/>
        </w:rPr>
        <w:t>7</w:t>
      </w:r>
      <w:r w:rsidRPr="00D951DF">
        <w:t>(3): p. 941-948.</w:t>
      </w:r>
    </w:p>
    <w:p w14:paraId="04A12207" w14:textId="77777777" w:rsidR="00D951DF" w:rsidRPr="00D951DF" w:rsidRDefault="00D951DF" w:rsidP="00C83AA3">
      <w:pPr>
        <w:pStyle w:val="EndNoteBibliography"/>
        <w:ind w:left="720" w:hanging="720"/>
      </w:pPr>
      <w:r w:rsidRPr="00D951DF">
        <w:t>10.</w:t>
      </w:r>
      <w:r w:rsidRPr="00D951DF">
        <w:tab/>
        <w:t xml:space="preserve">Oskam, G., Z. Hu, R.L. Penn, N. Pesika, and P.C. Searson, </w:t>
      </w:r>
      <w:r w:rsidRPr="00D951DF">
        <w:rPr>
          <w:i/>
        </w:rPr>
        <w:t>Coarsening of metal oxide nanoparticles.</w:t>
      </w:r>
      <w:r w:rsidRPr="00D951DF">
        <w:t xml:space="preserve"> Physical Review E, 2002. </w:t>
      </w:r>
      <w:r w:rsidRPr="00D951DF">
        <w:rPr>
          <w:b/>
        </w:rPr>
        <w:t>66</w:t>
      </w:r>
      <w:r w:rsidRPr="00D951DF">
        <w:t>(1): p. 011403.</w:t>
      </w:r>
    </w:p>
    <w:p w14:paraId="7FA4A3B5" w14:textId="77777777" w:rsidR="00D951DF" w:rsidRPr="00D951DF" w:rsidRDefault="00D951DF" w:rsidP="00C83AA3">
      <w:pPr>
        <w:pStyle w:val="EndNoteBibliography"/>
        <w:ind w:left="720" w:hanging="720"/>
      </w:pPr>
      <w:r w:rsidRPr="00D951DF">
        <w:t>11.</w:t>
      </w:r>
      <w:r w:rsidRPr="00D951DF">
        <w:tab/>
        <w:t xml:space="preserve">Kabalnov, A.S. and E. Schchukin, </w:t>
      </w:r>
      <w:r w:rsidRPr="00D951DF">
        <w:rPr>
          <w:i/>
        </w:rPr>
        <w:t>Ostwald ripening theory: applications to fluorocarbon emulsion stability.</w:t>
      </w:r>
      <w:r w:rsidRPr="00D951DF">
        <w:t xml:space="preserve"> Advances in colloid and interface science, 1992. </w:t>
      </w:r>
      <w:r w:rsidRPr="00D951DF">
        <w:rPr>
          <w:b/>
        </w:rPr>
        <w:t>38</w:t>
      </w:r>
      <w:r w:rsidRPr="00D951DF">
        <w:t>: p. 69-97.</w:t>
      </w:r>
    </w:p>
    <w:p w14:paraId="4D33A6AD" w14:textId="77777777" w:rsidR="00D951DF" w:rsidRPr="00D951DF" w:rsidRDefault="00D951DF" w:rsidP="00C83AA3">
      <w:pPr>
        <w:pStyle w:val="EndNoteBibliography"/>
        <w:ind w:left="720" w:hanging="720"/>
      </w:pPr>
      <w:r w:rsidRPr="00D951DF">
        <w:t>12.</w:t>
      </w:r>
      <w:r w:rsidRPr="00D951DF">
        <w:tab/>
        <w:t xml:space="preserve">Kim, J., H.S. Kim, N. Lee, T. Kim, H. Kim, T. Yu, I.C. Song, W.K. Moon, and T. Hyeon, </w:t>
      </w:r>
      <w:r w:rsidRPr="00D951DF">
        <w:rPr>
          <w:i/>
        </w:rPr>
        <w:t>Multifunctional uniform nanoparticles composed of a magnetite nanocrystal core and a mesoporous silica shell for magnetic resonance and fluorescence imaging and for drug delivery.</w:t>
      </w:r>
      <w:r w:rsidRPr="00D951DF">
        <w:t xml:space="preserve"> Angewandte Chemie International Edition, 2008. </w:t>
      </w:r>
      <w:r w:rsidRPr="00D951DF">
        <w:rPr>
          <w:b/>
        </w:rPr>
        <w:t>47</w:t>
      </w:r>
      <w:r w:rsidRPr="00D951DF">
        <w:t>(44): p. 8438-8441.</w:t>
      </w:r>
    </w:p>
    <w:p w14:paraId="45EF72DA" w14:textId="77777777" w:rsidR="00D951DF" w:rsidRPr="00D951DF" w:rsidRDefault="00D951DF" w:rsidP="00C83AA3">
      <w:pPr>
        <w:pStyle w:val="EndNoteBibliography"/>
        <w:ind w:left="720" w:hanging="720"/>
      </w:pPr>
      <w:r w:rsidRPr="00D951DF">
        <w:t>13.</w:t>
      </w:r>
      <w:r w:rsidRPr="00D951DF">
        <w:tab/>
        <w:t xml:space="preserve">Bandyopadhyay, S., M.K. Andersen, M.A.A. Alvi, A. Sharma, R. Raju, B.H. McDonagh, and W.R. Glomm, </w:t>
      </w:r>
      <w:r w:rsidRPr="00D951DF">
        <w:rPr>
          <w:i/>
        </w:rPr>
        <w:t>Incorporation of Fe@ Au nanoparticles into multiresponsive pNIPAM-AAc colloidal gels modulates drug uptake and release.</w:t>
      </w:r>
      <w:r w:rsidRPr="00D951DF">
        <w:t xml:space="preserve"> Colloid and Polymer Science, 2016. </w:t>
      </w:r>
      <w:r w:rsidRPr="00D951DF">
        <w:rPr>
          <w:b/>
        </w:rPr>
        <w:t>294</w:t>
      </w:r>
      <w:r w:rsidRPr="00D951DF">
        <w:t>(12): p. 1929-1942.</w:t>
      </w:r>
    </w:p>
    <w:p w14:paraId="6BC5C9CD" w14:textId="77777777" w:rsidR="00D951DF" w:rsidRPr="00D951DF" w:rsidRDefault="00D951DF" w:rsidP="00C83AA3">
      <w:pPr>
        <w:pStyle w:val="EndNoteBibliography"/>
        <w:ind w:left="720" w:hanging="720"/>
      </w:pPr>
      <w:r w:rsidRPr="00D951DF">
        <w:t>14.</w:t>
      </w:r>
      <w:r w:rsidRPr="00D951DF">
        <w:tab/>
        <w:t xml:space="preserve">Peeters, K., G. Lespes, T. Zuliani, J. Ščančar, and R. Milačič, </w:t>
      </w:r>
      <w:r w:rsidRPr="00D951DF">
        <w:rPr>
          <w:i/>
        </w:rPr>
        <w:t>The fate of iron nanoparticles in environmental waters treated with nanoscale zero-valent iron, FeONPs and Fe3O4NPs.</w:t>
      </w:r>
      <w:r w:rsidRPr="00D951DF">
        <w:t xml:space="preserve"> Water research, 2016. </w:t>
      </w:r>
      <w:r w:rsidRPr="00D951DF">
        <w:rPr>
          <w:b/>
        </w:rPr>
        <w:t>94</w:t>
      </w:r>
      <w:r w:rsidRPr="00D951DF">
        <w:t>: p. 315-327.</w:t>
      </w:r>
    </w:p>
    <w:p w14:paraId="28ACBED3" w14:textId="77777777" w:rsidR="00D951DF" w:rsidRPr="00D951DF" w:rsidRDefault="00D951DF" w:rsidP="00C83AA3">
      <w:pPr>
        <w:pStyle w:val="EndNoteBibliography"/>
        <w:ind w:left="720" w:hanging="720"/>
      </w:pPr>
      <w:r w:rsidRPr="00D951DF">
        <w:t>15.</w:t>
      </w:r>
      <w:r w:rsidRPr="00D951DF">
        <w:tab/>
        <w:t xml:space="preserve">Laureti, S., G. Varvaro, A. Testa, D. Fiorani, E. Agostinelli, G. Piccaluga, A. Musinu, A. Ardu, and D. Peddis, </w:t>
      </w:r>
      <w:r w:rsidRPr="00D951DF">
        <w:rPr>
          <w:i/>
        </w:rPr>
        <w:t>Magnetic interactions in silica coated nanoporous assemblies of CoFe2O4 nanoparticles with cubic magnetic anisotropy.</w:t>
      </w:r>
      <w:r w:rsidRPr="00D951DF">
        <w:t xml:space="preserve"> Nanotechnology, 2010. </w:t>
      </w:r>
      <w:r w:rsidRPr="00D951DF">
        <w:rPr>
          <w:b/>
        </w:rPr>
        <w:t>21</w:t>
      </w:r>
      <w:r w:rsidRPr="00D951DF">
        <w:t>(31): p. 315701.</w:t>
      </w:r>
    </w:p>
    <w:p w14:paraId="138F2C04" w14:textId="77777777" w:rsidR="00D951DF" w:rsidRPr="00D951DF" w:rsidRDefault="00D951DF" w:rsidP="00C83AA3">
      <w:pPr>
        <w:pStyle w:val="EndNoteBibliography"/>
        <w:ind w:left="720" w:hanging="720"/>
      </w:pPr>
      <w:r w:rsidRPr="00D951DF">
        <w:t>16.</w:t>
      </w:r>
      <w:r w:rsidRPr="00D951DF">
        <w:tab/>
        <w:t xml:space="preserve">Muscas, G., N. Yaacoub, G. Concas, F. Sayed, R.S. Hassan, J.-M. Greneche, C. Cannas, A. Musinu, V. Foglietti, and S. Casciardi, </w:t>
      </w:r>
      <w:r w:rsidRPr="00D951DF">
        <w:rPr>
          <w:i/>
        </w:rPr>
        <w:t>Evolution of the magnetic structure with chemical composition in spinel iron oxide nanoparticles.</w:t>
      </w:r>
      <w:r w:rsidRPr="00D951DF">
        <w:t xml:space="preserve"> Nanoscale, 2015. </w:t>
      </w:r>
      <w:r w:rsidRPr="00D951DF">
        <w:rPr>
          <w:b/>
        </w:rPr>
        <w:t>7</w:t>
      </w:r>
      <w:r w:rsidRPr="00D951DF">
        <w:t>(32): p. 13576-13585.</w:t>
      </w:r>
    </w:p>
    <w:p w14:paraId="23D729DE" w14:textId="77777777" w:rsidR="00D951DF" w:rsidRPr="00D951DF" w:rsidRDefault="00D951DF" w:rsidP="00C83AA3">
      <w:pPr>
        <w:pStyle w:val="EndNoteBibliography"/>
        <w:ind w:left="720" w:hanging="720"/>
      </w:pPr>
      <w:r w:rsidRPr="00D951DF">
        <w:t>17.</w:t>
      </w:r>
      <w:r w:rsidRPr="00D951DF">
        <w:tab/>
        <w:t xml:space="preserve">Peddis, D., P.E. Jönsson, S. Laureti, and G. Varvaro, </w:t>
      </w:r>
      <w:r w:rsidRPr="00D951DF">
        <w:rPr>
          <w:i/>
        </w:rPr>
        <w:t>Magnetic interactions: A tool to modify the magnetic properties of materials based on nanoparticles</w:t>
      </w:r>
      <w:r w:rsidRPr="00D951DF">
        <w:t xml:space="preserve">, in </w:t>
      </w:r>
      <w:r w:rsidRPr="00D951DF">
        <w:rPr>
          <w:i/>
        </w:rPr>
        <w:t>Frontiers of Nanoscience</w:t>
      </w:r>
      <w:r w:rsidRPr="00D951DF">
        <w:t>. 2014, Elsevier. p. 129-188.</w:t>
      </w:r>
    </w:p>
    <w:p w14:paraId="3D505A08" w14:textId="77777777" w:rsidR="00D951DF" w:rsidRPr="00D951DF" w:rsidRDefault="00D951DF" w:rsidP="00C83AA3">
      <w:pPr>
        <w:pStyle w:val="EndNoteBibliography"/>
        <w:ind w:left="720" w:hanging="720"/>
      </w:pPr>
      <w:r w:rsidRPr="00D951DF">
        <w:t>18.</w:t>
      </w:r>
      <w:r w:rsidRPr="00D951DF">
        <w:tab/>
        <w:t xml:space="preserve">Wohlfarth, E.P., </w:t>
      </w:r>
      <w:r w:rsidRPr="00D951DF">
        <w:rPr>
          <w:i/>
        </w:rPr>
        <w:t>Relations between different modes of acquisition of the remanent magnetization of ferromagnetic particles.</w:t>
      </w:r>
      <w:r w:rsidRPr="00D951DF">
        <w:t xml:space="preserve"> Journal of Applied Physics, 1958. </w:t>
      </w:r>
      <w:r w:rsidRPr="00D951DF">
        <w:rPr>
          <w:b/>
        </w:rPr>
        <w:t>29</w:t>
      </w:r>
      <w:r w:rsidRPr="00D951DF">
        <w:t>(3): p. 595-596.</w:t>
      </w:r>
    </w:p>
    <w:p w14:paraId="1EE855D7" w14:textId="77777777" w:rsidR="00D951DF" w:rsidRPr="00D951DF" w:rsidRDefault="00D951DF" w:rsidP="00C83AA3">
      <w:pPr>
        <w:pStyle w:val="EndNoteBibliography"/>
        <w:ind w:left="720" w:hanging="720"/>
      </w:pPr>
      <w:r w:rsidRPr="00D951DF">
        <w:t>19.</w:t>
      </w:r>
      <w:r w:rsidRPr="00D951DF">
        <w:tab/>
        <w:t xml:space="preserve">Kelly, P., K. O'grady, P. Mayo, and R. Chantrell, </w:t>
      </w:r>
      <w:r w:rsidRPr="00D951DF">
        <w:rPr>
          <w:i/>
        </w:rPr>
        <w:t>Switching mechanisms in cobalt-phosphorus thin films.</w:t>
      </w:r>
      <w:r w:rsidRPr="00D951DF">
        <w:t xml:space="preserve"> IEEE Transactions on Magnetics, 1989. </w:t>
      </w:r>
      <w:r w:rsidRPr="00D951DF">
        <w:rPr>
          <w:b/>
        </w:rPr>
        <w:t>25</w:t>
      </w:r>
      <w:r w:rsidRPr="00D951DF">
        <w:t>(5): p. 3881-3883.</w:t>
      </w:r>
    </w:p>
    <w:p w14:paraId="41D7464A" w14:textId="1974BC6C" w:rsidR="004A7D3E" w:rsidRPr="00C10DFE" w:rsidRDefault="00571152" w:rsidP="00C83AA3">
      <w:pPr>
        <w:spacing w:line="240" w:lineRule="auto"/>
      </w:pPr>
      <w:r>
        <w:fldChar w:fldCharType="end"/>
      </w:r>
    </w:p>
    <w:sectPr w:rsidR="004A7D3E" w:rsidRPr="00C10DFE" w:rsidSect="001E1A12">
      <w:headerReference w:type="default" r:id="rId31"/>
      <w:footerReference w:type="default" r:id="rId32"/>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E1D6AB" w14:textId="77777777" w:rsidR="00FC35F7" w:rsidRDefault="00FC35F7">
      <w:r>
        <w:separator/>
      </w:r>
    </w:p>
  </w:endnote>
  <w:endnote w:type="continuationSeparator" w:id="0">
    <w:p w14:paraId="62680A6D" w14:textId="77777777" w:rsidR="00FC35F7" w:rsidRDefault="00FC35F7">
      <w:r>
        <w:continuationSeparator/>
      </w:r>
    </w:p>
  </w:endnote>
  <w:endnote w:type="continuationNotice" w:id="1">
    <w:p w14:paraId="548C92CC" w14:textId="77777777" w:rsidR="00FC35F7" w:rsidRDefault="00FC35F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Yu Mincho">
    <w:altName w:val="Yu Gothic"/>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BC0EEA" w14:textId="77777777" w:rsidR="00DA740E" w:rsidRDefault="00DA740E">
    <w:pPr>
      <w:pStyle w:val="Footer"/>
      <w:jc w:val="center"/>
    </w:pPr>
    <w:r>
      <w:fldChar w:fldCharType="begin"/>
    </w:r>
    <w:r>
      <w:instrText>PAGE   \* MERGEFORMAT</w:instrText>
    </w:r>
    <w:r>
      <w:fldChar w:fldCharType="separate"/>
    </w:r>
    <w:r>
      <w:rPr>
        <w:noProof/>
      </w:rPr>
      <w:t>2</w:t>
    </w:r>
    <w:r>
      <w:fldChar w:fldCharType="end"/>
    </w:r>
  </w:p>
  <w:p w14:paraId="5B94EE6A" w14:textId="77777777" w:rsidR="00DA740E" w:rsidRDefault="00DA740E"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413825" w14:textId="77777777" w:rsidR="00FC35F7" w:rsidRDefault="00FC35F7">
      <w:r>
        <w:separator/>
      </w:r>
    </w:p>
  </w:footnote>
  <w:footnote w:type="continuationSeparator" w:id="0">
    <w:p w14:paraId="7E0CCA75" w14:textId="77777777" w:rsidR="00FC35F7" w:rsidRDefault="00FC35F7">
      <w:r>
        <w:continuationSeparator/>
      </w:r>
    </w:p>
  </w:footnote>
  <w:footnote w:type="continuationNotice" w:id="1">
    <w:p w14:paraId="1E090327" w14:textId="77777777" w:rsidR="00FC35F7" w:rsidRDefault="00FC35F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8AD83C" w14:textId="6B7156D3" w:rsidR="00DA740E" w:rsidRPr="009B44CC" w:rsidRDefault="00DA740E" w:rsidP="009B44CC">
    <w:pPr>
      <w:pStyle w:val="Header"/>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E8327C"/>
    <w:multiLevelType w:val="hybridMultilevel"/>
    <w:tmpl w:val="FFB2FA26"/>
    <w:lvl w:ilvl="0" w:tplc="D916994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5F041B"/>
    <w:multiLevelType w:val="hybridMultilevel"/>
    <w:tmpl w:val="399A22CC"/>
    <w:lvl w:ilvl="0" w:tplc="8BACA95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1"/>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08"/>
  <w:hyphenationZone w:val="425"/>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5edx5r5efrdsnespva5ezweerf0xavaafs0&quot;&gt;Manuscript1-supporting information - ref library&lt;record-ids&gt;&lt;item&gt;1&lt;/item&gt;&lt;item&gt;2&lt;/item&gt;&lt;item&gt;3&lt;/item&gt;&lt;item&gt;6&lt;/item&gt;&lt;item&gt;8&lt;/item&gt;&lt;item&gt;9&lt;/item&gt;&lt;item&gt;10&lt;/item&gt;&lt;item&gt;11&lt;/item&gt;&lt;item&gt;14&lt;/item&gt;&lt;item&gt;22&lt;/item&gt;&lt;item&gt;23&lt;/item&gt;&lt;item&gt;26&lt;/item&gt;&lt;item&gt;27&lt;/item&gt;&lt;item&gt;28&lt;/item&gt;&lt;item&gt;29&lt;/item&gt;&lt;item&gt;30&lt;/item&gt;&lt;item&gt;32&lt;/item&gt;&lt;item&gt;33&lt;/item&gt;&lt;item&gt;34&lt;/item&gt;&lt;/record-ids&gt;&lt;/item&gt;&lt;/Libraries&gt;"/>
  </w:docVars>
  <w:rsids>
    <w:rsidRoot w:val="002D16A0"/>
    <w:rsid w:val="000003BB"/>
    <w:rsid w:val="0000374D"/>
    <w:rsid w:val="00004A23"/>
    <w:rsid w:val="00006A0A"/>
    <w:rsid w:val="0000703E"/>
    <w:rsid w:val="000112FC"/>
    <w:rsid w:val="000118B0"/>
    <w:rsid w:val="00011F40"/>
    <w:rsid w:val="0001454A"/>
    <w:rsid w:val="00015FF1"/>
    <w:rsid w:val="0001683C"/>
    <w:rsid w:val="000172E7"/>
    <w:rsid w:val="000214A8"/>
    <w:rsid w:val="00023F64"/>
    <w:rsid w:val="00025605"/>
    <w:rsid w:val="00027FB5"/>
    <w:rsid w:val="000314D2"/>
    <w:rsid w:val="0003318F"/>
    <w:rsid w:val="0004094E"/>
    <w:rsid w:val="00040B7B"/>
    <w:rsid w:val="000437F7"/>
    <w:rsid w:val="00050922"/>
    <w:rsid w:val="00050985"/>
    <w:rsid w:val="0005501E"/>
    <w:rsid w:val="00055883"/>
    <w:rsid w:val="0006044D"/>
    <w:rsid w:val="00062324"/>
    <w:rsid w:val="00063957"/>
    <w:rsid w:val="00063C0E"/>
    <w:rsid w:val="00063EFB"/>
    <w:rsid w:val="00072EA7"/>
    <w:rsid w:val="00076EAD"/>
    <w:rsid w:val="0008287E"/>
    <w:rsid w:val="00083031"/>
    <w:rsid w:val="000847D6"/>
    <w:rsid w:val="0008740B"/>
    <w:rsid w:val="000904D3"/>
    <w:rsid w:val="0009309C"/>
    <w:rsid w:val="00093F1B"/>
    <w:rsid w:val="00094562"/>
    <w:rsid w:val="00094985"/>
    <w:rsid w:val="00094FFC"/>
    <w:rsid w:val="00097FFE"/>
    <w:rsid w:val="000A02BC"/>
    <w:rsid w:val="000A08FF"/>
    <w:rsid w:val="000A1F4B"/>
    <w:rsid w:val="000A21A9"/>
    <w:rsid w:val="000A3E93"/>
    <w:rsid w:val="000A472C"/>
    <w:rsid w:val="000A4A7F"/>
    <w:rsid w:val="000A5773"/>
    <w:rsid w:val="000A682F"/>
    <w:rsid w:val="000B05A0"/>
    <w:rsid w:val="000B33EE"/>
    <w:rsid w:val="000B4293"/>
    <w:rsid w:val="000B4405"/>
    <w:rsid w:val="000C259E"/>
    <w:rsid w:val="000C2B91"/>
    <w:rsid w:val="000C3E0C"/>
    <w:rsid w:val="000C6252"/>
    <w:rsid w:val="000C6F8A"/>
    <w:rsid w:val="000D1C4B"/>
    <w:rsid w:val="000D2D4B"/>
    <w:rsid w:val="000D45F4"/>
    <w:rsid w:val="000D5AB4"/>
    <w:rsid w:val="000D66DB"/>
    <w:rsid w:val="000D6FD9"/>
    <w:rsid w:val="000D7EBA"/>
    <w:rsid w:val="000E788B"/>
    <w:rsid w:val="000E7A5B"/>
    <w:rsid w:val="000E7BBA"/>
    <w:rsid w:val="000F4C4A"/>
    <w:rsid w:val="000F512F"/>
    <w:rsid w:val="000F6F6A"/>
    <w:rsid w:val="001013F4"/>
    <w:rsid w:val="001054D4"/>
    <w:rsid w:val="0010686C"/>
    <w:rsid w:val="00107C5F"/>
    <w:rsid w:val="00107CCC"/>
    <w:rsid w:val="00110011"/>
    <w:rsid w:val="001104F1"/>
    <w:rsid w:val="001105BD"/>
    <w:rsid w:val="00112CA9"/>
    <w:rsid w:val="00116C82"/>
    <w:rsid w:val="00120E85"/>
    <w:rsid w:val="00122216"/>
    <w:rsid w:val="00123512"/>
    <w:rsid w:val="00123ADA"/>
    <w:rsid w:val="00125573"/>
    <w:rsid w:val="0012642A"/>
    <w:rsid w:val="001266CD"/>
    <w:rsid w:val="00126D17"/>
    <w:rsid w:val="001305BF"/>
    <w:rsid w:val="00131D58"/>
    <w:rsid w:val="001370B1"/>
    <w:rsid w:val="001377CA"/>
    <w:rsid w:val="00140B94"/>
    <w:rsid w:val="001450FB"/>
    <w:rsid w:val="0014658A"/>
    <w:rsid w:val="00147DB8"/>
    <w:rsid w:val="001501AA"/>
    <w:rsid w:val="00151683"/>
    <w:rsid w:val="0015392F"/>
    <w:rsid w:val="0015563E"/>
    <w:rsid w:val="00155F66"/>
    <w:rsid w:val="0016390D"/>
    <w:rsid w:val="00164057"/>
    <w:rsid w:val="00165B37"/>
    <w:rsid w:val="00170369"/>
    <w:rsid w:val="00173757"/>
    <w:rsid w:val="00174176"/>
    <w:rsid w:val="00181D92"/>
    <w:rsid w:val="001823B6"/>
    <w:rsid w:val="00182936"/>
    <w:rsid w:val="0018419F"/>
    <w:rsid w:val="001848EB"/>
    <w:rsid w:val="00187DB9"/>
    <w:rsid w:val="0019077D"/>
    <w:rsid w:val="0019194D"/>
    <w:rsid w:val="001A4240"/>
    <w:rsid w:val="001A6821"/>
    <w:rsid w:val="001A734D"/>
    <w:rsid w:val="001B034F"/>
    <w:rsid w:val="001B4224"/>
    <w:rsid w:val="001B7472"/>
    <w:rsid w:val="001C10AC"/>
    <w:rsid w:val="001C55FB"/>
    <w:rsid w:val="001D12BC"/>
    <w:rsid w:val="001D4DA1"/>
    <w:rsid w:val="001D561D"/>
    <w:rsid w:val="001E18CC"/>
    <w:rsid w:val="001E1A12"/>
    <w:rsid w:val="001E3D2D"/>
    <w:rsid w:val="001E4605"/>
    <w:rsid w:val="001E5AB0"/>
    <w:rsid w:val="001E5F4E"/>
    <w:rsid w:val="001F19E7"/>
    <w:rsid w:val="001F2689"/>
    <w:rsid w:val="001F2AB7"/>
    <w:rsid w:val="001F3C9B"/>
    <w:rsid w:val="001F3E77"/>
    <w:rsid w:val="001F4BD1"/>
    <w:rsid w:val="001F5110"/>
    <w:rsid w:val="001F5702"/>
    <w:rsid w:val="001F5A49"/>
    <w:rsid w:val="001F65A2"/>
    <w:rsid w:val="002002FC"/>
    <w:rsid w:val="00201F71"/>
    <w:rsid w:val="00203934"/>
    <w:rsid w:val="0020446B"/>
    <w:rsid w:val="00204BA7"/>
    <w:rsid w:val="002072AB"/>
    <w:rsid w:val="00210140"/>
    <w:rsid w:val="00211942"/>
    <w:rsid w:val="00214D95"/>
    <w:rsid w:val="00215531"/>
    <w:rsid w:val="00215702"/>
    <w:rsid w:val="002162B2"/>
    <w:rsid w:val="00220933"/>
    <w:rsid w:val="00220C72"/>
    <w:rsid w:val="0022540C"/>
    <w:rsid w:val="00226072"/>
    <w:rsid w:val="00226AA4"/>
    <w:rsid w:val="00233C8A"/>
    <w:rsid w:val="00235A63"/>
    <w:rsid w:val="00236036"/>
    <w:rsid w:val="00240D90"/>
    <w:rsid w:val="0024194E"/>
    <w:rsid w:val="00244985"/>
    <w:rsid w:val="002450EA"/>
    <w:rsid w:val="002539A9"/>
    <w:rsid w:val="00253CB1"/>
    <w:rsid w:val="002543F9"/>
    <w:rsid w:val="00257ADD"/>
    <w:rsid w:val="002620A0"/>
    <w:rsid w:val="00263723"/>
    <w:rsid w:val="00263CF8"/>
    <w:rsid w:val="00265635"/>
    <w:rsid w:val="00266389"/>
    <w:rsid w:val="00266C8C"/>
    <w:rsid w:val="002675F7"/>
    <w:rsid w:val="00267649"/>
    <w:rsid w:val="002725A5"/>
    <w:rsid w:val="0027314F"/>
    <w:rsid w:val="0028289F"/>
    <w:rsid w:val="00284157"/>
    <w:rsid w:val="00285631"/>
    <w:rsid w:val="0029004F"/>
    <w:rsid w:val="00290694"/>
    <w:rsid w:val="00290D94"/>
    <w:rsid w:val="00291C87"/>
    <w:rsid w:val="0029203C"/>
    <w:rsid w:val="00294728"/>
    <w:rsid w:val="00294873"/>
    <w:rsid w:val="00297B38"/>
    <w:rsid w:val="002A111E"/>
    <w:rsid w:val="002A4A81"/>
    <w:rsid w:val="002A4E8C"/>
    <w:rsid w:val="002A73A2"/>
    <w:rsid w:val="002A7CE8"/>
    <w:rsid w:val="002B0671"/>
    <w:rsid w:val="002B262F"/>
    <w:rsid w:val="002B2D36"/>
    <w:rsid w:val="002B3553"/>
    <w:rsid w:val="002B5E06"/>
    <w:rsid w:val="002B6194"/>
    <w:rsid w:val="002C0CFF"/>
    <w:rsid w:val="002C4B40"/>
    <w:rsid w:val="002C65F0"/>
    <w:rsid w:val="002D09B9"/>
    <w:rsid w:val="002D1322"/>
    <w:rsid w:val="002D16A0"/>
    <w:rsid w:val="002D2930"/>
    <w:rsid w:val="002D2DFF"/>
    <w:rsid w:val="002D5BF8"/>
    <w:rsid w:val="002D7ECC"/>
    <w:rsid w:val="002E04A6"/>
    <w:rsid w:val="002E1B8F"/>
    <w:rsid w:val="002E2DEF"/>
    <w:rsid w:val="002E4E3E"/>
    <w:rsid w:val="002E76B2"/>
    <w:rsid w:val="002E79A2"/>
    <w:rsid w:val="002F065E"/>
    <w:rsid w:val="002F4F4B"/>
    <w:rsid w:val="002F55FD"/>
    <w:rsid w:val="002F594C"/>
    <w:rsid w:val="00300A1E"/>
    <w:rsid w:val="00301984"/>
    <w:rsid w:val="00301B0B"/>
    <w:rsid w:val="00301E84"/>
    <w:rsid w:val="003026B6"/>
    <w:rsid w:val="00302E7A"/>
    <w:rsid w:val="00303D1B"/>
    <w:rsid w:val="003046B7"/>
    <w:rsid w:val="00317A57"/>
    <w:rsid w:val="00320A99"/>
    <w:rsid w:val="00320E13"/>
    <w:rsid w:val="0032144B"/>
    <w:rsid w:val="00322D5B"/>
    <w:rsid w:val="00325AC2"/>
    <w:rsid w:val="00326A1C"/>
    <w:rsid w:val="00327800"/>
    <w:rsid w:val="00327FDC"/>
    <w:rsid w:val="00335261"/>
    <w:rsid w:val="003360E3"/>
    <w:rsid w:val="003371D5"/>
    <w:rsid w:val="003376CD"/>
    <w:rsid w:val="00340B68"/>
    <w:rsid w:val="0034257E"/>
    <w:rsid w:val="0034286B"/>
    <w:rsid w:val="003452C3"/>
    <w:rsid w:val="003452D1"/>
    <w:rsid w:val="00347040"/>
    <w:rsid w:val="003501A7"/>
    <w:rsid w:val="0035048A"/>
    <w:rsid w:val="003504C4"/>
    <w:rsid w:val="00356FCD"/>
    <w:rsid w:val="0036263B"/>
    <w:rsid w:val="00363B62"/>
    <w:rsid w:val="003645B0"/>
    <w:rsid w:val="0036473F"/>
    <w:rsid w:val="00364B2C"/>
    <w:rsid w:val="00364EC6"/>
    <w:rsid w:val="003664F1"/>
    <w:rsid w:val="00367E3F"/>
    <w:rsid w:val="00377EA5"/>
    <w:rsid w:val="00377F77"/>
    <w:rsid w:val="00383073"/>
    <w:rsid w:val="0038438F"/>
    <w:rsid w:val="00387C67"/>
    <w:rsid w:val="00387D98"/>
    <w:rsid w:val="00390B0F"/>
    <w:rsid w:val="00390B38"/>
    <w:rsid w:val="00390B6B"/>
    <w:rsid w:val="00391CFE"/>
    <w:rsid w:val="0039353B"/>
    <w:rsid w:val="00393961"/>
    <w:rsid w:val="00394A16"/>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202D"/>
    <w:rsid w:val="003D2452"/>
    <w:rsid w:val="003D63E7"/>
    <w:rsid w:val="003E05F1"/>
    <w:rsid w:val="003E113B"/>
    <w:rsid w:val="003E5092"/>
    <w:rsid w:val="003E715D"/>
    <w:rsid w:val="003F103E"/>
    <w:rsid w:val="003F2E48"/>
    <w:rsid w:val="003F440C"/>
    <w:rsid w:val="003F525A"/>
    <w:rsid w:val="003F58F2"/>
    <w:rsid w:val="003F7BE6"/>
    <w:rsid w:val="004006A9"/>
    <w:rsid w:val="004052AE"/>
    <w:rsid w:val="004118A5"/>
    <w:rsid w:val="0041349D"/>
    <w:rsid w:val="00413672"/>
    <w:rsid w:val="00414041"/>
    <w:rsid w:val="00414465"/>
    <w:rsid w:val="00414729"/>
    <w:rsid w:val="00414C80"/>
    <w:rsid w:val="00414F4B"/>
    <w:rsid w:val="00415EF9"/>
    <w:rsid w:val="00416629"/>
    <w:rsid w:val="00417DA1"/>
    <w:rsid w:val="00420018"/>
    <w:rsid w:val="00423478"/>
    <w:rsid w:val="004243D9"/>
    <w:rsid w:val="00425B76"/>
    <w:rsid w:val="004260A2"/>
    <w:rsid w:val="00426FC6"/>
    <w:rsid w:val="004273BC"/>
    <w:rsid w:val="00427C5F"/>
    <w:rsid w:val="004348D4"/>
    <w:rsid w:val="004457F1"/>
    <w:rsid w:val="004507E5"/>
    <w:rsid w:val="004519AD"/>
    <w:rsid w:val="0045459A"/>
    <w:rsid w:val="004545DB"/>
    <w:rsid w:val="0045786A"/>
    <w:rsid w:val="00460F76"/>
    <w:rsid w:val="00462F12"/>
    <w:rsid w:val="00463050"/>
    <w:rsid w:val="0046340F"/>
    <w:rsid w:val="00466168"/>
    <w:rsid w:val="00466F1B"/>
    <w:rsid w:val="004714D4"/>
    <w:rsid w:val="004719C7"/>
    <w:rsid w:val="00475712"/>
    <w:rsid w:val="00480CCE"/>
    <w:rsid w:val="00482FAA"/>
    <w:rsid w:val="0049075F"/>
    <w:rsid w:val="00492DA8"/>
    <w:rsid w:val="0049738D"/>
    <w:rsid w:val="004A0888"/>
    <w:rsid w:val="004A43B6"/>
    <w:rsid w:val="004A70EE"/>
    <w:rsid w:val="004A774E"/>
    <w:rsid w:val="004A7D3E"/>
    <w:rsid w:val="004A7FF9"/>
    <w:rsid w:val="004B379D"/>
    <w:rsid w:val="004B5F0C"/>
    <w:rsid w:val="004B6031"/>
    <w:rsid w:val="004B6880"/>
    <w:rsid w:val="004C046E"/>
    <w:rsid w:val="004C1609"/>
    <w:rsid w:val="004C216B"/>
    <w:rsid w:val="004C5DD3"/>
    <w:rsid w:val="004D30F9"/>
    <w:rsid w:val="004D4A32"/>
    <w:rsid w:val="004D6310"/>
    <w:rsid w:val="004D64AB"/>
    <w:rsid w:val="004E001C"/>
    <w:rsid w:val="004E7CE8"/>
    <w:rsid w:val="004F206A"/>
    <w:rsid w:val="004F271D"/>
    <w:rsid w:val="004F5114"/>
    <w:rsid w:val="004F6CB9"/>
    <w:rsid w:val="004F756C"/>
    <w:rsid w:val="004F7894"/>
    <w:rsid w:val="005001FA"/>
    <w:rsid w:val="005019AF"/>
    <w:rsid w:val="00502043"/>
    <w:rsid w:val="005044E5"/>
    <w:rsid w:val="0050488D"/>
    <w:rsid w:val="00504D12"/>
    <w:rsid w:val="0050527A"/>
    <w:rsid w:val="0050535A"/>
    <w:rsid w:val="00511192"/>
    <w:rsid w:val="005118AD"/>
    <w:rsid w:val="00512353"/>
    <w:rsid w:val="00513039"/>
    <w:rsid w:val="00517A66"/>
    <w:rsid w:val="005220C2"/>
    <w:rsid w:val="00523369"/>
    <w:rsid w:val="0052398F"/>
    <w:rsid w:val="00532960"/>
    <w:rsid w:val="005375F6"/>
    <w:rsid w:val="00545A73"/>
    <w:rsid w:val="00546DEB"/>
    <w:rsid w:val="00546F0F"/>
    <w:rsid w:val="005477E7"/>
    <w:rsid w:val="00550159"/>
    <w:rsid w:val="00551897"/>
    <w:rsid w:val="00551FFD"/>
    <w:rsid w:val="00552A0F"/>
    <w:rsid w:val="005551ED"/>
    <w:rsid w:val="00556419"/>
    <w:rsid w:val="005572B4"/>
    <w:rsid w:val="005572DD"/>
    <w:rsid w:val="00560564"/>
    <w:rsid w:val="00561588"/>
    <w:rsid w:val="00562E2B"/>
    <w:rsid w:val="005632AE"/>
    <w:rsid w:val="00564668"/>
    <w:rsid w:val="00570353"/>
    <w:rsid w:val="00571152"/>
    <w:rsid w:val="005715F5"/>
    <w:rsid w:val="0057171E"/>
    <w:rsid w:val="00571EEC"/>
    <w:rsid w:val="00572666"/>
    <w:rsid w:val="0057267E"/>
    <w:rsid w:val="005726BD"/>
    <w:rsid w:val="00574A5A"/>
    <w:rsid w:val="005753B8"/>
    <w:rsid w:val="00581693"/>
    <w:rsid w:val="00583ED5"/>
    <w:rsid w:val="00587437"/>
    <w:rsid w:val="00590F0B"/>
    <w:rsid w:val="00591C68"/>
    <w:rsid w:val="00592678"/>
    <w:rsid w:val="00594644"/>
    <w:rsid w:val="0059526F"/>
    <w:rsid w:val="00596118"/>
    <w:rsid w:val="00596F36"/>
    <w:rsid w:val="005A1741"/>
    <w:rsid w:val="005A235F"/>
    <w:rsid w:val="005A751F"/>
    <w:rsid w:val="005A7719"/>
    <w:rsid w:val="005A77C2"/>
    <w:rsid w:val="005B291B"/>
    <w:rsid w:val="005B76C5"/>
    <w:rsid w:val="005B7AF0"/>
    <w:rsid w:val="005B7B8A"/>
    <w:rsid w:val="005C09C6"/>
    <w:rsid w:val="005C39F4"/>
    <w:rsid w:val="005C458D"/>
    <w:rsid w:val="005C491E"/>
    <w:rsid w:val="005C5E0A"/>
    <w:rsid w:val="005C6C0C"/>
    <w:rsid w:val="005D0332"/>
    <w:rsid w:val="005D2276"/>
    <w:rsid w:val="005D25FD"/>
    <w:rsid w:val="005D2808"/>
    <w:rsid w:val="005D7412"/>
    <w:rsid w:val="005D74E4"/>
    <w:rsid w:val="005E0858"/>
    <w:rsid w:val="005E16B5"/>
    <w:rsid w:val="005E2794"/>
    <w:rsid w:val="005E3CBF"/>
    <w:rsid w:val="005E6F9D"/>
    <w:rsid w:val="005E7B5A"/>
    <w:rsid w:val="005F01FC"/>
    <w:rsid w:val="005F0C89"/>
    <w:rsid w:val="005F3701"/>
    <w:rsid w:val="005F41DF"/>
    <w:rsid w:val="005F4521"/>
    <w:rsid w:val="005F5478"/>
    <w:rsid w:val="005F5C54"/>
    <w:rsid w:val="005F64DC"/>
    <w:rsid w:val="006006FC"/>
    <w:rsid w:val="006045BA"/>
    <w:rsid w:val="0060583A"/>
    <w:rsid w:val="00611649"/>
    <w:rsid w:val="00611A0E"/>
    <w:rsid w:val="00614154"/>
    <w:rsid w:val="00614BD3"/>
    <w:rsid w:val="006154F3"/>
    <w:rsid w:val="00623A77"/>
    <w:rsid w:val="006256F5"/>
    <w:rsid w:val="00626CAC"/>
    <w:rsid w:val="00627E38"/>
    <w:rsid w:val="0063097B"/>
    <w:rsid w:val="006364B8"/>
    <w:rsid w:val="00636A64"/>
    <w:rsid w:val="00636B93"/>
    <w:rsid w:val="00640550"/>
    <w:rsid w:val="0064326A"/>
    <w:rsid w:val="00644D5D"/>
    <w:rsid w:val="00646DC7"/>
    <w:rsid w:val="006477BC"/>
    <w:rsid w:val="006511FB"/>
    <w:rsid w:val="00651A9D"/>
    <w:rsid w:val="00656092"/>
    <w:rsid w:val="0065741C"/>
    <w:rsid w:val="00660B85"/>
    <w:rsid w:val="00662DCE"/>
    <w:rsid w:val="00664F6D"/>
    <w:rsid w:val="006650B8"/>
    <w:rsid w:val="0066564A"/>
    <w:rsid w:val="00666329"/>
    <w:rsid w:val="006672EE"/>
    <w:rsid w:val="0067011F"/>
    <w:rsid w:val="0067015E"/>
    <w:rsid w:val="00670565"/>
    <w:rsid w:val="006707BB"/>
    <w:rsid w:val="006721F5"/>
    <w:rsid w:val="00680453"/>
    <w:rsid w:val="00682526"/>
    <w:rsid w:val="00683555"/>
    <w:rsid w:val="00686F1D"/>
    <w:rsid w:val="00690DB7"/>
    <w:rsid w:val="00692F7A"/>
    <w:rsid w:val="00695E06"/>
    <w:rsid w:val="00696315"/>
    <w:rsid w:val="00696BF9"/>
    <w:rsid w:val="00697855"/>
    <w:rsid w:val="00697D6A"/>
    <w:rsid w:val="006A0CD7"/>
    <w:rsid w:val="006A0D51"/>
    <w:rsid w:val="006A1C05"/>
    <w:rsid w:val="006A225B"/>
    <w:rsid w:val="006A30D2"/>
    <w:rsid w:val="006A5A6A"/>
    <w:rsid w:val="006A5FE3"/>
    <w:rsid w:val="006B0F59"/>
    <w:rsid w:val="006B23B2"/>
    <w:rsid w:val="006B406C"/>
    <w:rsid w:val="006B4845"/>
    <w:rsid w:val="006B635C"/>
    <w:rsid w:val="006C1708"/>
    <w:rsid w:val="006C1C29"/>
    <w:rsid w:val="006C3782"/>
    <w:rsid w:val="006C3CDE"/>
    <w:rsid w:val="006C4745"/>
    <w:rsid w:val="006C6DEF"/>
    <w:rsid w:val="006D0EE8"/>
    <w:rsid w:val="006D22DF"/>
    <w:rsid w:val="006D3162"/>
    <w:rsid w:val="006D37E7"/>
    <w:rsid w:val="006D5146"/>
    <w:rsid w:val="006D59D6"/>
    <w:rsid w:val="006D5BE7"/>
    <w:rsid w:val="006D5C04"/>
    <w:rsid w:val="006D7508"/>
    <w:rsid w:val="006E0F2F"/>
    <w:rsid w:val="006E19D7"/>
    <w:rsid w:val="006E71B9"/>
    <w:rsid w:val="006F32E4"/>
    <w:rsid w:val="006F39B2"/>
    <w:rsid w:val="006F5384"/>
    <w:rsid w:val="006F6604"/>
    <w:rsid w:val="006F71D8"/>
    <w:rsid w:val="006F7D1A"/>
    <w:rsid w:val="00700A0B"/>
    <w:rsid w:val="0070346C"/>
    <w:rsid w:val="00703D7D"/>
    <w:rsid w:val="007051A0"/>
    <w:rsid w:val="00706496"/>
    <w:rsid w:val="00711A12"/>
    <w:rsid w:val="00711F11"/>
    <w:rsid w:val="007152AB"/>
    <w:rsid w:val="007154C4"/>
    <w:rsid w:val="00715DB9"/>
    <w:rsid w:val="007218A0"/>
    <w:rsid w:val="007238AF"/>
    <w:rsid w:val="00725BE8"/>
    <w:rsid w:val="00726908"/>
    <w:rsid w:val="007270C7"/>
    <w:rsid w:val="00730F3A"/>
    <w:rsid w:val="00735F34"/>
    <w:rsid w:val="00736944"/>
    <w:rsid w:val="00741200"/>
    <w:rsid w:val="00741333"/>
    <w:rsid w:val="00742FF2"/>
    <w:rsid w:val="00744D6A"/>
    <w:rsid w:val="00746138"/>
    <w:rsid w:val="0074620A"/>
    <w:rsid w:val="007465A7"/>
    <w:rsid w:val="00751D50"/>
    <w:rsid w:val="007527D5"/>
    <w:rsid w:val="00752F3C"/>
    <w:rsid w:val="007561FC"/>
    <w:rsid w:val="00761D34"/>
    <w:rsid w:val="00762228"/>
    <w:rsid w:val="007629F0"/>
    <w:rsid w:val="00762D2D"/>
    <w:rsid w:val="00764622"/>
    <w:rsid w:val="00764CAD"/>
    <w:rsid w:val="00770FA1"/>
    <w:rsid w:val="007737E8"/>
    <w:rsid w:val="00773884"/>
    <w:rsid w:val="00774813"/>
    <w:rsid w:val="0078025F"/>
    <w:rsid w:val="0078052A"/>
    <w:rsid w:val="007812FB"/>
    <w:rsid w:val="00784032"/>
    <w:rsid w:val="0078680E"/>
    <w:rsid w:val="00786E79"/>
    <w:rsid w:val="00787925"/>
    <w:rsid w:val="00790E31"/>
    <w:rsid w:val="00793B87"/>
    <w:rsid w:val="0079566E"/>
    <w:rsid w:val="00796509"/>
    <w:rsid w:val="0079691E"/>
    <w:rsid w:val="00797723"/>
    <w:rsid w:val="007B1EEE"/>
    <w:rsid w:val="007B249B"/>
    <w:rsid w:val="007B6D4D"/>
    <w:rsid w:val="007B7A09"/>
    <w:rsid w:val="007C0F7A"/>
    <w:rsid w:val="007C13D6"/>
    <w:rsid w:val="007D24A9"/>
    <w:rsid w:val="007D27FA"/>
    <w:rsid w:val="007D30B5"/>
    <w:rsid w:val="007D6218"/>
    <w:rsid w:val="007D6699"/>
    <w:rsid w:val="007D7E30"/>
    <w:rsid w:val="007E6419"/>
    <w:rsid w:val="007F6815"/>
    <w:rsid w:val="007F6BA8"/>
    <w:rsid w:val="0080681B"/>
    <w:rsid w:val="0080738C"/>
    <w:rsid w:val="00810B77"/>
    <w:rsid w:val="00813A8D"/>
    <w:rsid w:val="00817436"/>
    <w:rsid w:val="00822C18"/>
    <w:rsid w:val="00824167"/>
    <w:rsid w:val="0082542D"/>
    <w:rsid w:val="00826D65"/>
    <w:rsid w:val="00827834"/>
    <w:rsid w:val="00832835"/>
    <w:rsid w:val="00834100"/>
    <w:rsid w:val="00835110"/>
    <w:rsid w:val="008351FC"/>
    <w:rsid w:val="00841F50"/>
    <w:rsid w:val="00843A0E"/>
    <w:rsid w:val="00845DFE"/>
    <w:rsid w:val="00846E17"/>
    <w:rsid w:val="00854283"/>
    <w:rsid w:val="008573E3"/>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09D"/>
    <w:rsid w:val="0089370F"/>
    <w:rsid w:val="008939AF"/>
    <w:rsid w:val="00893FED"/>
    <w:rsid w:val="0089449A"/>
    <w:rsid w:val="00894C23"/>
    <w:rsid w:val="00895E48"/>
    <w:rsid w:val="00896687"/>
    <w:rsid w:val="008971F4"/>
    <w:rsid w:val="008A0E7D"/>
    <w:rsid w:val="008A3023"/>
    <w:rsid w:val="008A403F"/>
    <w:rsid w:val="008A4F2E"/>
    <w:rsid w:val="008A6815"/>
    <w:rsid w:val="008B1031"/>
    <w:rsid w:val="008B2303"/>
    <w:rsid w:val="008B34A0"/>
    <w:rsid w:val="008B41DE"/>
    <w:rsid w:val="008B5740"/>
    <w:rsid w:val="008C0632"/>
    <w:rsid w:val="008C0B84"/>
    <w:rsid w:val="008C41DA"/>
    <w:rsid w:val="008C553A"/>
    <w:rsid w:val="008C588E"/>
    <w:rsid w:val="008C7226"/>
    <w:rsid w:val="008D2ACF"/>
    <w:rsid w:val="008D3E32"/>
    <w:rsid w:val="008D7B80"/>
    <w:rsid w:val="008E25F6"/>
    <w:rsid w:val="008E4184"/>
    <w:rsid w:val="008E549F"/>
    <w:rsid w:val="008E6301"/>
    <w:rsid w:val="008F10BC"/>
    <w:rsid w:val="008F2052"/>
    <w:rsid w:val="008F26ED"/>
    <w:rsid w:val="008F2A38"/>
    <w:rsid w:val="008F3012"/>
    <w:rsid w:val="008F5893"/>
    <w:rsid w:val="008F592B"/>
    <w:rsid w:val="00901D14"/>
    <w:rsid w:val="009032C3"/>
    <w:rsid w:val="00903775"/>
    <w:rsid w:val="00907A86"/>
    <w:rsid w:val="009109F7"/>
    <w:rsid w:val="00912137"/>
    <w:rsid w:val="00912DA8"/>
    <w:rsid w:val="00915A58"/>
    <w:rsid w:val="00915BED"/>
    <w:rsid w:val="00916B64"/>
    <w:rsid w:val="0092145D"/>
    <w:rsid w:val="009245DE"/>
    <w:rsid w:val="00930762"/>
    <w:rsid w:val="00930C0C"/>
    <w:rsid w:val="0093174E"/>
    <w:rsid w:val="00933B5E"/>
    <w:rsid w:val="00936AED"/>
    <w:rsid w:val="00936B81"/>
    <w:rsid w:val="00942A7F"/>
    <w:rsid w:val="00944701"/>
    <w:rsid w:val="00950ED1"/>
    <w:rsid w:val="00952A7A"/>
    <w:rsid w:val="0095444E"/>
    <w:rsid w:val="00955C67"/>
    <w:rsid w:val="00957B65"/>
    <w:rsid w:val="00960AFA"/>
    <w:rsid w:val="00960AFF"/>
    <w:rsid w:val="00963F62"/>
    <w:rsid w:val="00965EFC"/>
    <w:rsid w:val="00970832"/>
    <w:rsid w:val="009762D2"/>
    <w:rsid w:val="009762F1"/>
    <w:rsid w:val="0097692D"/>
    <w:rsid w:val="009776D2"/>
    <w:rsid w:val="00977B72"/>
    <w:rsid w:val="00977EA8"/>
    <w:rsid w:val="0098140D"/>
    <w:rsid w:val="00981CED"/>
    <w:rsid w:val="00982B56"/>
    <w:rsid w:val="0098350F"/>
    <w:rsid w:val="00987225"/>
    <w:rsid w:val="00990870"/>
    <w:rsid w:val="00990DCF"/>
    <w:rsid w:val="009920F5"/>
    <w:rsid w:val="00992B56"/>
    <w:rsid w:val="00992CDA"/>
    <w:rsid w:val="00993342"/>
    <w:rsid w:val="00996CE4"/>
    <w:rsid w:val="009A0FB3"/>
    <w:rsid w:val="009A1943"/>
    <w:rsid w:val="009A3F36"/>
    <w:rsid w:val="009A48D8"/>
    <w:rsid w:val="009A6C59"/>
    <w:rsid w:val="009A7878"/>
    <w:rsid w:val="009B0888"/>
    <w:rsid w:val="009B32E2"/>
    <w:rsid w:val="009B33C3"/>
    <w:rsid w:val="009B33DF"/>
    <w:rsid w:val="009B4270"/>
    <w:rsid w:val="009B44CC"/>
    <w:rsid w:val="009B5232"/>
    <w:rsid w:val="009B5651"/>
    <w:rsid w:val="009B62E4"/>
    <w:rsid w:val="009C0671"/>
    <w:rsid w:val="009C17E5"/>
    <w:rsid w:val="009C4319"/>
    <w:rsid w:val="009D109E"/>
    <w:rsid w:val="009D1CD9"/>
    <w:rsid w:val="009D1F28"/>
    <w:rsid w:val="009D4830"/>
    <w:rsid w:val="009D5066"/>
    <w:rsid w:val="009D797A"/>
    <w:rsid w:val="009E026A"/>
    <w:rsid w:val="009E3B56"/>
    <w:rsid w:val="009E49B5"/>
    <w:rsid w:val="009E551E"/>
    <w:rsid w:val="009E5D83"/>
    <w:rsid w:val="009E6522"/>
    <w:rsid w:val="009E7066"/>
    <w:rsid w:val="009F1EF8"/>
    <w:rsid w:val="009F4604"/>
    <w:rsid w:val="009F4B78"/>
    <w:rsid w:val="009F606B"/>
    <w:rsid w:val="009F6E66"/>
    <w:rsid w:val="00A02DB2"/>
    <w:rsid w:val="00A03086"/>
    <w:rsid w:val="00A04948"/>
    <w:rsid w:val="00A06840"/>
    <w:rsid w:val="00A06EAD"/>
    <w:rsid w:val="00A1293C"/>
    <w:rsid w:val="00A146E5"/>
    <w:rsid w:val="00A14F9B"/>
    <w:rsid w:val="00A167F1"/>
    <w:rsid w:val="00A2085F"/>
    <w:rsid w:val="00A20EC0"/>
    <w:rsid w:val="00A2150B"/>
    <w:rsid w:val="00A215D9"/>
    <w:rsid w:val="00A22110"/>
    <w:rsid w:val="00A2292C"/>
    <w:rsid w:val="00A23FC3"/>
    <w:rsid w:val="00A25F1B"/>
    <w:rsid w:val="00A261A3"/>
    <w:rsid w:val="00A3288D"/>
    <w:rsid w:val="00A329DC"/>
    <w:rsid w:val="00A41135"/>
    <w:rsid w:val="00A41FEB"/>
    <w:rsid w:val="00A44DA6"/>
    <w:rsid w:val="00A50921"/>
    <w:rsid w:val="00A5160D"/>
    <w:rsid w:val="00A53095"/>
    <w:rsid w:val="00A56CA4"/>
    <w:rsid w:val="00A65DE8"/>
    <w:rsid w:val="00A65F04"/>
    <w:rsid w:val="00A65F2E"/>
    <w:rsid w:val="00A71AD5"/>
    <w:rsid w:val="00A71BF8"/>
    <w:rsid w:val="00A73B42"/>
    <w:rsid w:val="00A745F3"/>
    <w:rsid w:val="00A8073E"/>
    <w:rsid w:val="00A80883"/>
    <w:rsid w:val="00A81BED"/>
    <w:rsid w:val="00A82FC6"/>
    <w:rsid w:val="00A83F45"/>
    <w:rsid w:val="00A92127"/>
    <w:rsid w:val="00A92270"/>
    <w:rsid w:val="00AA10AE"/>
    <w:rsid w:val="00AA329F"/>
    <w:rsid w:val="00AA4829"/>
    <w:rsid w:val="00AA7966"/>
    <w:rsid w:val="00AA7B2E"/>
    <w:rsid w:val="00AA7B6A"/>
    <w:rsid w:val="00AB593E"/>
    <w:rsid w:val="00AB5D37"/>
    <w:rsid w:val="00AB683F"/>
    <w:rsid w:val="00AC4A2E"/>
    <w:rsid w:val="00AC752B"/>
    <w:rsid w:val="00AD1885"/>
    <w:rsid w:val="00AD50BA"/>
    <w:rsid w:val="00AE02E7"/>
    <w:rsid w:val="00AE0F75"/>
    <w:rsid w:val="00AE319E"/>
    <w:rsid w:val="00AE3B2C"/>
    <w:rsid w:val="00AE3B4E"/>
    <w:rsid w:val="00AE6741"/>
    <w:rsid w:val="00AE676F"/>
    <w:rsid w:val="00AE6F08"/>
    <w:rsid w:val="00AE709C"/>
    <w:rsid w:val="00AE7DD9"/>
    <w:rsid w:val="00AF0455"/>
    <w:rsid w:val="00AF2B38"/>
    <w:rsid w:val="00AF304F"/>
    <w:rsid w:val="00AF6741"/>
    <w:rsid w:val="00B004C1"/>
    <w:rsid w:val="00B0168B"/>
    <w:rsid w:val="00B03458"/>
    <w:rsid w:val="00B04B8E"/>
    <w:rsid w:val="00B1072F"/>
    <w:rsid w:val="00B15820"/>
    <w:rsid w:val="00B16114"/>
    <w:rsid w:val="00B215D8"/>
    <w:rsid w:val="00B2218A"/>
    <w:rsid w:val="00B246ED"/>
    <w:rsid w:val="00B26DD0"/>
    <w:rsid w:val="00B338C8"/>
    <w:rsid w:val="00B341CC"/>
    <w:rsid w:val="00B35321"/>
    <w:rsid w:val="00B35505"/>
    <w:rsid w:val="00B35CB3"/>
    <w:rsid w:val="00B35E0A"/>
    <w:rsid w:val="00B40124"/>
    <w:rsid w:val="00B40B86"/>
    <w:rsid w:val="00B414D8"/>
    <w:rsid w:val="00B42E03"/>
    <w:rsid w:val="00B443E2"/>
    <w:rsid w:val="00B46222"/>
    <w:rsid w:val="00B5137D"/>
    <w:rsid w:val="00B54092"/>
    <w:rsid w:val="00B5444C"/>
    <w:rsid w:val="00B55512"/>
    <w:rsid w:val="00B5568B"/>
    <w:rsid w:val="00B557BF"/>
    <w:rsid w:val="00B55BD6"/>
    <w:rsid w:val="00B56147"/>
    <w:rsid w:val="00B5720A"/>
    <w:rsid w:val="00B60473"/>
    <w:rsid w:val="00B604A0"/>
    <w:rsid w:val="00B60761"/>
    <w:rsid w:val="00B620A5"/>
    <w:rsid w:val="00B62BB1"/>
    <w:rsid w:val="00B63559"/>
    <w:rsid w:val="00B66B36"/>
    <w:rsid w:val="00B67D1A"/>
    <w:rsid w:val="00B70ABD"/>
    <w:rsid w:val="00B7339C"/>
    <w:rsid w:val="00B73979"/>
    <w:rsid w:val="00B751B0"/>
    <w:rsid w:val="00B762E0"/>
    <w:rsid w:val="00B80C85"/>
    <w:rsid w:val="00B854F3"/>
    <w:rsid w:val="00B86C54"/>
    <w:rsid w:val="00B86C57"/>
    <w:rsid w:val="00B874C4"/>
    <w:rsid w:val="00B92D97"/>
    <w:rsid w:val="00B93216"/>
    <w:rsid w:val="00B96DF9"/>
    <w:rsid w:val="00B9770E"/>
    <w:rsid w:val="00B97AA2"/>
    <w:rsid w:val="00B97B8E"/>
    <w:rsid w:val="00BA00A8"/>
    <w:rsid w:val="00BA0378"/>
    <w:rsid w:val="00BA37A4"/>
    <w:rsid w:val="00BA4FB0"/>
    <w:rsid w:val="00BA6138"/>
    <w:rsid w:val="00BA642D"/>
    <w:rsid w:val="00BB1930"/>
    <w:rsid w:val="00BB2185"/>
    <w:rsid w:val="00BB3478"/>
    <w:rsid w:val="00BB43E0"/>
    <w:rsid w:val="00BC1E6A"/>
    <w:rsid w:val="00BC2247"/>
    <w:rsid w:val="00BC3236"/>
    <w:rsid w:val="00BC3622"/>
    <w:rsid w:val="00BC5572"/>
    <w:rsid w:val="00BD0C88"/>
    <w:rsid w:val="00BD497C"/>
    <w:rsid w:val="00BD57EE"/>
    <w:rsid w:val="00BD7D66"/>
    <w:rsid w:val="00BE4E8A"/>
    <w:rsid w:val="00BF2A79"/>
    <w:rsid w:val="00BF375F"/>
    <w:rsid w:val="00BF7369"/>
    <w:rsid w:val="00C02372"/>
    <w:rsid w:val="00C02ED1"/>
    <w:rsid w:val="00C044C3"/>
    <w:rsid w:val="00C10453"/>
    <w:rsid w:val="00C10DFE"/>
    <w:rsid w:val="00C13BCA"/>
    <w:rsid w:val="00C141B9"/>
    <w:rsid w:val="00C158CF"/>
    <w:rsid w:val="00C16518"/>
    <w:rsid w:val="00C1787D"/>
    <w:rsid w:val="00C20F14"/>
    <w:rsid w:val="00C22B7C"/>
    <w:rsid w:val="00C3184D"/>
    <w:rsid w:val="00C3226B"/>
    <w:rsid w:val="00C331FD"/>
    <w:rsid w:val="00C3411F"/>
    <w:rsid w:val="00C34DCB"/>
    <w:rsid w:val="00C36D0C"/>
    <w:rsid w:val="00C3708D"/>
    <w:rsid w:val="00C40887"/>
    <w:rsid w:val="00C4138A"/>
    <w:rsid w:val="00C42386"/>
    <w:rsid w:val="00C440B4"/>
    <w:rsid w:val="00C446F9"/>
    <w:rsid w:val="00C462CB"/>
    <w:rsid w:val="00C46F39"/>
    <w:rsid w:val="00C47AFE"/>
    <w:rsid w:val="00C5011E"/>
    <w:rsid w:val="00C5067F"/>
    <w:rsid w:val="00C515C3"/>
    <w:rsid w:val="00C51AA2"/>
    <w:rsid w:val="00C52E43"/>
    <w:rsid w:val="00C55187"/>
    <w:rsid w:val="00C609C3"/>
    <w:rsid w:val="00C60E16"/>
    <w:rsid w:val="00C65E4E"/>
    <w:rsid w:val="00C66610"/>
    <w:rsid w:val="00C66648"/>
    <w:rsid w:val="00C66FEF"/>
    <w:rsid w:val="00C70CB4"/>
    <w:rsid w:val="00C727A7"/>
    <w:rsid w:val="00C728D5"/>
    <w:rsid w:val="00C72EA5"/>
    <w:rsid w:val="00C75119"/>
    <w:rsid w:val="00C768E0"/>
    <w:rsid w:val="00C76DD6"/>
    <w:rsid w:val="00C83AA3"/>
    <w:rsid w:val="00C84187"/>
    <w:rsid w:val="00C86A16"/>
    <w:rsid w:val="00C90B62"/>
    <w:rsid w:val="00C91C08"/>
    <w:rsid w:val="00C97F0E"/>
    <w:rsid w:val="00CA06AC"/>
    <w:rsid w:val="00CA1D9E"/>
    <w:rsid w:val="00CA242A"/>
    <w:rsid w:val="00CA27BD"/>
    <w:rsid w:val="00CA2AB6"/>
    <w:rsid w:val="00CA3645"/>
    <w:rsid w:val="00CA4BCC"/>
    <w:rsid w:val="00CB01D6"/>
    <w:rsid w:val="00CB2FBB"/>
    <w:rsid w:val="00CB311E"/>
    <w:rsid w:val="00CB71E1"/>
    <w:rsid w:val="00CC0ED3"/>
    <w:rsid w:val="00CC1894"/>
    <w:rsid w:val="00CC2EE2"/>
    <w:rsid w:val="00CC3D03"/>
    <w:rsid w:val="00CC45DB"/>
    <w:rsid w:val="00CC5821"/>
    <w:rsid w:val="00CC73FF"/>
    <w:rsid w:val="00CD141E"/>
    <w:rsid w:val="00CD45DA"/>
    <w:rsid w:val="00CE089A"/>
    <w:rsid w:val="00CE1534"/>
    <w:rsid w:val="00CE22E5"/>
    <w:rsid w:val="00CE2EA4"/>
    <w:rsid w:val="00CE3555"/>
    <w:rsid w:val="00CE5714"/>
    <w:rsid w:val="00CE6138"/>
    <w:rsid w:val="00CE6F59"/>
    <w:rsid w:val="00CE7AAB"/>
    <w:rsid w:val="00CF2673"/>
    <w:rsid w:val="00CF2DA1"/>
    <w:rsid w:val="00CF43B1"/>
    <w:rsid w:val="00D0614B"/>
    <w:rsid w:val="00D06AD1"/>
    <w:rsid w:val="00D127DD"/>
    <w:rsid w:val="00D17549"/>
    <w:rsid w:val="00D23BB1"/>
    <w:rsid w:val="00D24D97"/>
    <w:rsid w:val="00D275F5"/>
    <w:rsid w:val="00D27787"/>
    <w:rsid w:val="00D32157"/>
    <w:rsid w:val="00D3401A"/>
    <w:rsid w:val="00D376F1"/>
    <w:rsid w:val="00D43BD2"/>
    <w:rsid w:val="00D43CA8"/>
    <w:rsid w:val="00D4523D"/>
    <w:rsid w:val="00D4593F"/>
    <w:rsid w:val="00D45971"/>
    <w:rsid w:val="00D45BD4"/>
    <w:rsid w:val="00D4775B"/>
    <w:rsid w:val="00D47AB8"/>
    <w:rsid w:val="00D55921"/>
    <w:rsid w:val="00D55D94"/>
    <w:rsid w:val="00D56566"/>
    <w:rsid w:val="00D573F9"/>
    <w:rsid w:val="00D6229C"/>
    <w:rsid w:val="00D647A4"/>
    <w:rsid w:val="00D6487A"/>
    <w:rsid w:val="00D648BB"/>
    <w:rsid w:val="00D64E04"/>
    <w:rsid w:val="00D65A5E"/>
    <w:rsid w:val="00D669D1"/>
    <w:rsid w:val="00D7049A"/>
    <w:rsid w:val="00D704F6"/>
    <w:rsid w:val="00D722B1"/>
    <w:rsid w:val="00D74A82"/>
    <w:rsid w:val="00D74A99"/>
    <w:rsid w:val="00D753F6"/>
    <w:rsid w:val="00D7737D"/>
    <w:rsid w:val="00D80246"/>
    <w:rsid w:val="00D80539"/>
    <w:rsid w:val="00D80897"/>
    <w:rsid w:val="00D81375"/>
    <w:rsid w:val="00D8540E"/>
    <w:rsid w:val="00D85C4D"/>
    <w:rsid w:val="00D85E21"/>
    <w:rsid w:val="00D8730B"/>
    <w:rsid w:val="00D9072A"/>
    <w:rsid w:val="00D94852"/>
    <w:rsid w:val="00D951DF"/>
    <w:rsid w:val="00DA039C"/>
    <w:rsid w:val="00DA10B4"/>
    <w:rsid w:val="00DA3524"/>
    <w:rsid w:val="00DA6EBE"/>
    <w:rsid w:val="00DA740E"/>
    <w:rsid w:val="00DA74FE"/>
    <w:rsid w:val="00DB0E74"/>
    <w:rsid w:val="00DB27CC"/>
    <w:rsid w:val="00DB2A54"/>
    <w:rsid w:val="00DB4EF9"/>
    <w:rsid w:val="00DC29FE"/>
    <w:rsid w:val="00DC430C"/>
    <w:rsid w:val="00DC60FB"/>
    <w:rsid w:val="00DC7319"/>
    <w:rsid w:val="00DC742E"/>
    <w:rsid w:val="00DD38DC"/>
    <w:rsid w:val="00DD63FF"/>
    <w:rsid w:val="00DE2734"/>
    <w:rsid w:val="00DF1BBF"/>
    <w:rsid w:val="00DF2528"/>
    <w:rsid w:val="00DF3145"/>
    <w:rsid w:val="00DF4B0E"/>
    <w:rsid w:val="00E01E4B"/>
    <w:rsid w:val="00E03476"/>
    <w:rsid w:val="00E062B0"/>
    <w:rsid w:val="00E0711E"/>
    <w:rsid w:val="00E0770C"/>
    <w:rsid w:val="00E130FF"/>
    <w:rsid w:val="00E14DFA"/>
    <w:rsid w:val="00E17EA5"/>
    <w:rsid w:val="00E229DB"/>
    <w:rsid w:val="00E2571A"/>
    <w:rsid w:val="00E26EDC"/>
    <w:rsid w:val="00E2713C"/>
    <w:rsid w:val="00E30B42"/>
    <w:rsid w:val="00E342D7"/>
    <w:rsid w:val="00E35C26"/>
    <w:rsid w:val="00E3650F"/>
    <w:rsid w:val="00E3732E"/>
    <w:rsid w:val="00E410EA"/>
    <w:rsid w:val="00E41D5C"/>
    <w:rsid w:val="00E437F7"/>
    <w:rsid w:val="00E50928"/>
    <w:rsid w:val="00E5125D"/>
    <w:rsid w:val="00E5172C"/>
    <w:rsid w:val="00E529F9"/>
    <w:rsid w:val="00E55017"/>
    <w:rsid w:val="00E55416"/>
    <w:rsid w:val="00E557D1"/>
    <w:rsid w:val="00E56282"/>
    <w:rsid w:val="00E616BF"/>
    <w:rsid w:val="00E64D34"/>
    <w:rsid w:val="00E658AA"/>
    <w:rsid w:val="00E6656A"/>
    <w:rsid w:val="00E70D30"/>
    <w:rsid w:val="00E716BA"/>
    <w:rsid w:val="00E75977"/>
    <w:rsid w:val="00E76431"/>
    <w:rsid w:val="00E7686D"/>
    <w:rsid w:val="00E80014"/>
    <w:rsid w:val="00E813BA"/>
    <w:rsid w:val="00E82C04"/>
    <w:rsid w:val="00E8590C"/>
    <w:rsid w:val="00E85F76"/>
    <w:rsid w:val="00E8788E"/>
    <w:rsid w:val="00E9133A"/>
    <w:rsid w:val="00E93590"/>
    <w:rsid w:val="00E94506"/>
    <w:rsid w:val="00E94E04"/>
    <w:rsid w:val="00E957FD"/>
    <w:rsid w:val="00E95A7B"/>
    <w:rsid w:val="00E969E9"/>
    <w:rsid w:val="00EA01A0"/>
    <w:rsid w:val="00EA155A"/>
    <w:rsid w:val="00EA167C"/>
    <w:rsid w:val="00EA24D4"/>
    <w:rsid w:val="00EA2851"/>
    <w:rsid w:val="00EA3515"/>
    <w:rsid w:val="00EA55FE"/>
    <w:rsid w:val="00EA6D7C"/>
    <w:rsid w:val="00EA7C2C"/>
    <w:rsid w:val="00EB0B4F"/>
    <w:rsid w:val="00EB1B59"/>
    <w:rsid w:val="00EB4384"/>
    <w:rsid w:val="00EB6065"/>
    <w:rsid w:val="00EC0826"/>
    <w:rsid w:val="00EC4E99"/>
    <w:rsid w:val="00ED1475"/>
    <w:rsid w:val="00ED3209"/>
    <w:rsid w:val="00ED3A21"/>
    <w:rsid w:val="00ED54F9"/>
    <w:rsid w:val="00ED59CD"/>
    <w:rsid w:val="00ED6982"/>
    <w:rsid w:val="00EE0218"/>
    <w:rsid w:val="00EE0E54"/>
    <w:rsid w:val="00EE1033"/>
    <w:rsid w:val="00EE508B"/>
    <w:rsid w:val="00EF24BB"/>
    <w:rsid w:val="00EF2B90"/>
    <w:rsid w:val="00EF32F6"/>
    <w:rsid w:val="00EF339F"/>
    <w:rsid w:val="00EF4114"/>
    <w:rsid w:val="00EF448F"/>
    <w:rsid w:val="00EF4634"/>
    <w:rsid w:val="00EF472E"/>
    <w:rsid w:val="00EF4A5A"/>
    <w:rsid w:val="00EF4EC4"/>
    <w:rsid w:val="00EF66A9"/>
    <w:rsid w:val="00EF74D8"/>
    <w:rsid w:val="00F01898"/>
    <w:rsid w:val="00F05EE0"/>
    <w:rsid w:val="00F05FD2"/>
    <w:rsid w:val="00F06985"/>
    <w:rsid w:val="00F07507"/>
    <w:rsid w:val="00F07DE8"/>
    <w:rsid w:val="00F146AD"/>
    <w:rsid w:val="00F156B3"/>
    <w:rsid w:val="00F15FD8"/>
    <w:rsid w:val="00F21A1A"/>
    <w:rsid w:val="00F22813"/>
    <w:rsid w:val="00F22FC8"/>
    <w:rsid w:val="00F27F36"/>
    <w:rsid w:val="00F32B8C"/>
    <w:rsid w:val="00F33383"/>
    <w:rsid w:val="00F33D5B"/>
    <w:rsid w:val="00F365DC"/>
    <w:rsid w:val="00F379AF"/>
    <w:rsid w:val="00F4030B"/>
    <w:rsid w:val="00F42F65"/>
    <w:rsid w:val="00F444F5"/>
    <w:rsid w:val="00F44C0F"/>
    <w:rsid w:val="00F454F3"/>
    <w:rsid w:val="00F4602E"/>
    <w:rsid w:val="00F46BCF"/>
    <w:rsid w:val="00F515AF"/>
    <w:rsid w:val="00F53E05"/>
    <w:rsid w:val="00F5550A"/>
    <w:rsid w:val="00F55A56"/>
    <w:rsid w:val="00F56088"/>
    <w:rsid w:val="00F6031D"/>
    <w:rsid w:val="00F61303"/>
    <w:rsid w:val="00F61E28"/>
    <w:rsid w:val="00F65606"/>
    <w:rsid w:val="00F66614"/>
    <w:rsid w:val="00F67764"/>
    <w:rsid w:val="00F71232"/>
    <w:rsid w:val="00F74722"/>
    <w:rsid w:val="00F75F45"/>
    <w:rsid w:val="00F82957"/>
    <w:rsid w:val="00F82D75"/>
    <w:rsid w:val="00F83BD2"/>
    <w:rsid w:val="00F857CA"/>
    <w:rsid w:val="00F92C2B"/>
    <w:rsid w:val="00F94241"/>
    <w:rsid w:val="00F945CD"/>
    <w:rsid w:val="00F95ECF"/>
    <w:rsid w:val="00F9792C"/>
    <w:rsid w:val="00F97AAA"/>
    <w:rsid w:val="00FA4AD8"/>
    <w:rsid w:val="00FB070A"/>
    <w:rsid w:val="00FB2A09"/>
    <w:rsid w:val="00FB3597"/>
    <w:rsid w:val="00FB4E90"/>
    <w:rsid w:val="00FB53CA"/>
    <w:rsid w:val="00FC2FD8"/>
    <w:rsid w:val="00FC35F7"/>
    <w:rsid w:val="00FC3750"/>
    <w:rsid w:val="00FC487C"/>
    <w:rsid w:val="00FC51A5"/>
    <w:rsid w:val="00FD0B36"/>
    <w:rsid w:val="00FD168A"/>
    <w:rsid w:val="00FD3643"/>
    <w:rsid w:val="00FD553C"/>
    <w:rsid w:val="00FD6F5E"/>
    <w:rsid w:val="00FE087D"/>
    <w:rsid w:val="00FE08E7"/>
    <w:rsid w:val="00FE133D"/>
    <w:rsid w:val="00FE1623"/>
    <w:rsid w:val="00FE2090"/>
    <w:rsid w:val="00FE359D"/>
    <w:rsid w:val="00FE47EA"/>
    <w:rsid w:val="00FE4D5F"/>
    <w:rsid w:val="00FE7BC4"/>
    <w:rsid w:val="00FF076B"/>
    <w:rsid w:val="00FF29D4"/>
    <w:rsid w:val="00FF378C"/>
    <w:rsid w:val="00FF388D"/>
    <w:rsid w:val="00FF75D3"/>
    <w:rsid w:val="00FF765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96539F4"/>
  <w15:chartTrackingRefBased/>
  <w15:docId w15:val="{37A1C814-C5C5-4FAF-9369-AEB86DB47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52B"/>
    <w:pPr>
      <w:spacing w:line="480" w:lineRule="auto"/>
    </w:pPr>
    <w:rPr>
      <w:sz w:val="24"/>
      <w:szCs w:val="24"/>
      <w:lang w:val="en-GB" w:eastAsia="ja-JP"/>
    </w:rPr>
  </w:style>
  <w:style w:type="paragraph" w:styleId="Heading1">
    <w:name w:val="heading 1"/>
    <w:basedOn w:val="Normal"/>
    <w:next w:val="Normal"/>
    <w:link w:val="Heading1Char"/>
    <w:uiPriority w:val="9"/>
    <w:qFormat/>
    <w:rsid w:val="00123512"/>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uiPriority w:val="9"/>
    <w:unhideWhenUsed/>
    <w:qFormat/>
    <w:rsid w:val="00AC752B"/>
    <w:pPr>
      <w:keepNext/>
      <w:keepLines/>
      <w:spacing w:before="120" w:after="120" w:line="360" w:lineRule="auto"/>
      <w:jc w:val="both"/>
      <w:outlineLvl w:val="1"/>
    </w:pPr>
    <w:rPr>
      <w:rFonts w:eastAsia="Yu Gothic Light"/>
      <w:b/>
      <w:color w:val="000000"/>
      <w:sz w:val="28"/>
      <w:szCs w:val="26"/>
      <w:lang w:eastAsia="en-US"/>
    </w:rPr>
  </w:style>
  <w:style w:type="paragraph" w:styleId="Heading3">
    <w:name w:val="heading 3"/>
    <w:basedOn w:val="Normal"/>
    <w:next w:val="Normal"/>
    <w:link w:val="Heading3Char"/>
    <w:uiPriority w:val="9"/>
    <w:unhideWhenUsed/>
    <w:qFormat/>
    <w:rsid w:val="000A02BC"/>
    <w:pPr>
      <w:keepNext/>
      <w:spacing w:before="240" w:after="60"/>
      <w:outlineLvl w:val="2"/>
    </w:pPr>
    <w:rPr>
      <w:rFonts w:ascii="Calibri Light" w:eastAsia="Times New Roman"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rPr>
  </w:style>
  <w:style w:type="paragraph" w:styleId="FootnoteText">
    <w:name w:val="footnote text"/>
    <w:basedOn w:val="Normal"/>
    <w:semiHidden/>
    <w:rsid w:val="00D81375"/>
    <w:pPr>
      <w:keepLines/>
      <w:widowControl w:val="0"/>
      <w:jc w:val="both"/>
    </w:pPr>
    <w:rPr>
      <w:rFonts w:eastAsia="Times New Roman"/>
      <w:sz w:val="20"/>
      <w:szCs w:val="20"/>
      <w:lang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semiHidden/>
    <w:rsid w:val="00D81375"/>
    <w:rPr>
      <w:rFonts w:ascii="Tahoma" w:hAnsi="Tahoma" w:cs="Tahoma"/>
      <w:sz w:val="16"/>
      <w:szCs w:val="16"/>
    </w:rPr>
  </w:style>
  <w:style w:type="paragraph" w:styleId="Header">
    <w:name w:val="header"/>
    <w:basedOn w:val="Normal"/>
    <w:link w:val="HeaderChar"/>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rPr>
  </w:style>
  <w:style w:type="paragraph" w:customStyle="1" w:styleId="AuthorsFull">
    <w:name w:val="Authors Full"/>
    <w:basedOn w:val="Normal"/>
    <w:rsid w:val="00004A23"/>
    <w:rPr>
      <w:i/>
    </w:rPr>
  </w:style>
  <w:style w:type="paragraph" w:customStyle="1" w:styleId="dedication">
    <w:name w:val="dedication"/>
    <w:basedOn w:val="Normal"/>
    <w:rsid w:val="00004A23"/>
    <w:rPr>
      <w:i/>
    </w:rPr>
  </w:style>
  <w:style w:type="paragraph" w:customStyle="1" w:styleId="Addresses">
    <w:name w:val="Addresses"/>
    <w:basedOn w:val="Normal"/>
    <w:rsid w:val="00004A23"/>
  </w:style>
  <w:style w:type="paragraph" w:customStyle="1" w:styleId="Acknowledgements">
    <w:name w:val="Acknowledgements"/>
    <w:basedOn w:val="Normal"/>
    <w:rsid w:val="00004A23"/>
  </w:style>
  <w:style w:type="paragraph" w:customStyle="1" w:styleId="Abstract">
    <w:name w:val="Abstract"/>
    <w:basedOn w:val="Normal"/>
    <w:autoRedefine/>
    <w:rsid w:val="00004A23"/>
  </w:style>
  <w:style w:type="paragraph" w:customStyle="1" w:styleId="Head1">
    <w:name w:val="Head 1"/>
    <w:basedOn w:val="Normal"/>
    <w:autoRedefine/>
    <w:rsid w:val="00394A16"/>
    <w:pPr>
      <w:spacing w:line="360" w:lineRule="auto"/>
      <w:jc w:val="both"/>
    </w:pPr>
    <w:rPr>
      <w:b/>
      <w:iCs/>
    </w:rPr>
  </w:style>
  <w:style w:type="paragraph" w:customStyle="1" w:styleId="Head2">
    <w:name w:val="Head 2"/>
    <w:basedOn w:val="Normal"/>
    <w:autoRedefine/>
    <w:rsid w:val="00004A23"/>
    <w:pPr>
      <w:spacing w:line="360" w:lineRule="auto"/>
    </w:pPr>
    <w:rPr>
      <w:i/>
    </w:rPr>
  </w:style>
  <w:style w:type="paragraph" w:customStyle="1" w:styleId="dates">
    <w:name w:val="dates"/>
    <w:basedOn w:val="Normal"/>
    <w:rsid w:val="00004A23"/>
    <w:pPr>
      <w:jc w:val="right"/>
    </w:pPr>
  </w:style>
  <w:style w:type="paragraph" w:customStyle="1" w:styleId="Literature">
    <w:name w:val="Literature"/>
    <w:basedOn w:val="Normal"/>
    <w:rsid w:val="00004A23"/>
  </w:style>
  <w:style w:type="paragraph" w:customStyle="1" w:styleId="Legend">
    <w:name w:val="Legend"/>
    <w:basedOn w:val="Normal"/>
    <w:rsid w:val="00004A23"/>
  </w:style>
  <w:style w:type="paragraph" w:customStyle="1" w:styleId="MainText">
    <w:name w:val="Main Text"/>
    <w:basedOn w:val="Normal"/>
    <w:link w:val="MainTextChar"/>
    <w:rsid w:val="00004A23"/>
  </w:style>
  <w:style w:type="paragraph" w:customStyle="1" w:styleId="Tableofcontents">
    <w:name w:val="Table of contents"/>
    <w:basedOn w:val="Normal"/>
    <w:autoRedefine/>
    <w:rsid w:val="00004A23"/>
  </w:style>
  <w:style w:type="paragraph" w:customStyle="1" w:styleId="ExperimentalText">
    <w:name w:val="Experimental Text"/>
    <w:basedOn w:val="Normal"/>
    <w:link w:val="ExperimentalTextChar"/>
    <w:rsid w:val="00004A23"/>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rPr>
  </w:style>
  <w:style w:type="paragraph" w:customStyle="1" w:styleId="Dedication0">
    <w:name w:val="Dedication"/>
    <w:basedOn w:val="Normal"/>
    <w:autoRedefine/>
    <w:rsid w:val="00322D5B"/>
  </w:style>
  <w:style w:type="paragraph" w:customStyle="1" w:styleId="Maintext0">
    <w:name w:val="Main text"/>
    <w:basedOn w:val="Normal"/>
    <w:link w:val="MaintextChar0"/>
    <w:autoRedefine/>
    <w:rsid w:val="002D16A0"/>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Normal"/>
    <w:autoRedefine/>
    <w:rsid w:val="00562E2B"/>
    <w:rPr>
      <w:i/>
    </w:rPr>
  </w:style>
  <w:style w:type="character" w:customStyle="1" w:styleId="HeaderChar">
    <w:name w:val="Header Char"/>
    <w:link w:val="Header"/>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unhideWhenUsed/>
    <w:rsid w:val="00664F6D"/>
    <w:rPr>
      <w:sz w:val="20"/>
      <w:szCs w:val="20"/>
      <w:lang w:val="x-none"/>
    </w:rPr>
  </w:style>
  <w:style w:type="character" w:customStyle="1" w:styleId="CommentTextChar">
    <w:name w:val="Comment Text Char"/>
    <w:link w:val="CommentText"/>
    <w:uiPriority w:val="99"/>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character" w:customStyle="1" w:styleId="Heading2Char">
    <w:name w:val="Heading 2 Char"/>
    <w:link w:val="Heading2"/>
    <w:uiPriority w:val="9"/>
    <w:rsid w:val="00AC752B"/>
    <w:rPr>
      <w:rFonts w:eastAsia="Yu Gothic Light"/>
      <w:b/>
      <w:color w:val="000000"/>
      <w:sz w:val="28"/>
      <w:szCs w:val="26"/>
    </w:rPr>
  </w:style>
  <w:style w:type="paragraph" w:customStyle="1" w:styleId="EndNoteBibliography">
    <w:name w:val="EndNote Bibliography"/>
    <w:basedOn w:val="Normal"/>
    <w:link w:val="EndNoteBibliographyChar"/>
    <w:rsid w:val="00BD0C88"/>
    <w:pPr>
      <w:spacing w:line="240" w:lineRule="auto"/>
      <w:jc w:val="both"/>
    </w:pPr>
    <w:rPr>
      <w:rFonts w:eastAsia="Calibri"/>
      <w:noProof/>
      <w:szCs w:val="22"/>
      <w:lang w:eastAsia="en-US"/>
    </w:rPr>
  </w:style>
  <w:style w:type="character" w:customStyle="1" w:styleId="EndNoteBibliographyChar">
    <w:name w:val="EndNote Bibliography Char"/>
    <w:link w:val="EndNoteBibliography"/>
    <w:rsid w:val="00BD0C88"/>
    <w:rPr>
      <w:rFonts w:eastAsia="Calibri"/>
      <w:noProof/>
      <w:sz w:val="24"/>
      <w:szCs w:val="22"/>
      <w:lang w:val="en-GB"/>
    </w:rPr>
  </w:style>
  <w:style w:type="table" w:styleId="PlainTable1">
    <w:name w:val="Plain Table 1"/>
    <w:basedOn w:val="TableNormal"/>
    <w:uiPriority w:val="41"/>
    <w:rsid w:val="00EA167C"/>
    <w:rPr>
      <w:rFonts w:ascii="Calibri" w:eastAsia="Calibri" w:hAnsi="Calibri" w:cs="Arial"/>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eading3Char">
    <w:name w:val="Heading 3 Char"/>
    <w:link w:val="Heading3"/>
    <w:uiPriority w:val="9"/>
    <w:semiHidden/>
    <w:rsid w:val="000A02BC"/>
    <w:rPr>
      <w:rFonts w:ascii="Calibri Light" w:eastAsia="Times New Roman" w:hAnsi="Calibri Light" w:cs="Times New Roman"/>
      <w:b/>
      <w:bCs/>
      <w:sz w:val="26"/>
      <w:szCs w:val="26"/>
      <w:lang w:val="de-DE" w:eastAsia="ja-JP"/>
    </w:rPr>
  </w:style>
  <w:style w:type="character" w:customStyle="1" w:styleId="Heading1Char">
    <w:name w:val="Heading 1 Char"/>
    <w:link w:val="Heading1"/>
    <w:uiPriority w:val="9"/>
    <w:rsid w:val="00123512"/>
    <w:rPr>
      <w:rFonts w:ascii="Calibri Light" w:eastAsia="Times New Roman" w:hAnsi="Calibri Light" w:cs="Times New Roman"/>
      <w:b/>
      <w:bCs/>
      <w:kern w:val="32"/>
      <w:sz w:val="32"/>
      <w:szCs w:val="32"/>
      <w:lang w:val="de-DE" w:eastAsia="ja-JP"/>
    </w:rPr>
  </w:style>
  <w:style w:type="table" w:styleId="TableGrid">
    <w:name w:val="Table Grid"/>
    <w:basedOn w:val="TableNormal"/>
    <w:uiPriority w:val="59"/>
    <w:rsid w:val="004E001C"/>
    <w:rPr>
      <w:rFonts w:ascii="Calibri" w:eastAsia="Calibri" w:hAnsi="Calibri" w:cs="Vrind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3">
    <w:name w:val="title3"/>
    <w:rsid w:val="004E001C"/>
  </w:style>
  <w:style w:type="table" w:styleId="TableGridLight">
    <w:name w:val="Grid Table Light"/>
    <w:basedOn w:val="TableNormal"/>
    <w:uiPriority w:val="40"/>
    <w:rsid w:val="00D3401A"/>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Hyperlink">
    <w:name w:val="Hyperlink"/>
    <w:uiPriority w:val="99"/>
    <w:unhideWhenUsed/>
    <w:rsid w:val="00FC2FD8"/>
    <w:rPr>
      <w:color w:val="0563C1"/>
      <w:u w:val="single"/>
    </w:rPr>
  </w:style>
  <w:style w:type="character" w:styleId="UnresolvedMention">
    <w:name w:val="Unresolved Mention"/>
    <w:uiPriority w:val="99"/>
    <w:semiHidden/>
    <w:unhideWhenUsed/>
    <w:rsid w:val="00FC2FD8"/>
    <w:rPr>
      <w:color w:val="605E5C"/>
      <w:shd w:val="clear" w:color="auto" w:fill="E1DFDD"/>
    </w:rPr>
  </w:style>
  <w:style w:type="paragraph" w:customStyle="1" w:styleId="EndNoteBibliographyTitle">
    <w:name w:val="EndNote Bibliography Title"/>
    <w:basedOn w:val="Normal"/>
    <w:link w:val="EndNoteBibliographyTitleChar"/>
    <w:rsid w:val="0078680E"/>
    <w:pPr>
      <w:jc w:val="center"/>
    </w:pPr>
    <w:rPr>
      <w:noProof/>
    </w:rPr>
  </w:style>
  <w:style w:type="character" w:customStyle="1" w:styleId="EndNoteBibliographyTitleChar">
    <w:name w:val="EndNote Bibliography Title Char"/>
    <w:link w:val="EndNoteBibliographyTitle"/>
    <w:rsid w:val="0078680E"/>
    <w:rPr>
      <w:noProof/>
      <w:sz w:val="24"/>
      <w:szCs w:val="24"/>
      <w:lang w:val="en-GB" w:eastAsia="ja-JP"/>
    </w:rPr>
  </w:style>
  <w:style w:type="character" w:styleId="LineNumber">
    <w:name w:val="line number"/>
    <w:basedOn w:val="DefaultParagraphFont"/>
    <w:uiPriority w:val="99"/>
    <w:semiHidden/>
    <w:unhideWhenUsed/>
    <w:rsid w:val="001E1A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wmf"/><Relationship Id="rId18" Type="http://schemas.openxmlformats.org/officeDocument/2006/relationships/image" Target="media/image7.wmf"/><Relationship Id="rId26" Type="http://schemas.openxmlformats.org/officeDocument/2006/relationships/oleObject" Target="embeddings/oleObject2.bin"/><Relationship Id="rId3" Type="http://schemas.openxmlformats.org/officeDocument/2006/relationships/customXml" Target="../customXml/item3.xml"/><Relationship Id="rId21" Type="http://schemas.openxmlformats.org/officeDocument/2006/relationships/image" Target="media/image10.wmf"/><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image" Target="media/image6.wmf"/><Relationship Id="rId25" Type="http://schemas.openxmlformats.org/officeDocument/2006/relationships/image" Target="media/image14.w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image" Target="media/image9.wmf"/><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image" Target="media/image13.pn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wmf"/><Relationship Id="rId23" Type="http://schemas.openxmlformats.org/officeDocument/2006/relationships/image" Target="media/image12.png"/><Relationship Id="rId28" Type="http://schemas.openxmlformats.org/officeDocument/2006/relationships/oleObject" Target="embeddings/oleObject3.bin"/><Relationship Id="rId10" Type="http://schemas.openxmlformats.org/officeDocument/2006/relationships/endnotes" Target="endnotes.xml"/><Relationship Id="rId19" Type="http://schemas.openxmlformats.org/officeDocument/2006/relationships/image" Target="media/image8.wmf"/><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image" Target="media/image11.png"/><Relationship Id="rId27" Type="http://schemas.openxmlformats.org/officeDocument/2006/relationships/image" Target="media/image15.wmf"/><Relationship Id="rId30" Type="http://schemas.openxmlformats.org/officeDocument/2006/relationships/image" Target="media/image17.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ct:contentTypeSchema xmlns:ct="http://schemas.microsoft.com/office/2006/metadata/contentType" xmlns:ma="http://schemas.microsoft.com/office/2006/metadata/properties/metaAttributes" ct:_="" ma:_="" ma:contentTypeName="Document" ma:contentTypeID="0x0101009119BB43A910DF4B86BB30812392FB6B" ma:contentTypeVersion="12" ma:contentTypeDescription="Create a new document." ma:contentTypeScope="" ma:versionID="842ff36989cb2a8d299f924fef5e4afc">
  <xsd:schema xmlns:xsd="http://www.w3.org/2001/XMLSchema" xmlns:xs="http://www.w3.org/2001/XMLSchema" xmlns:p="http://schemas.microsoft.com/office/2006/metadata/properties" xmlns:ns3="d7d0738a-951a-45ed-be1b-6bfc82f0ddc7" xmlns:ns4="23411edb-8204-4bf4-8573-111e074295c4" targetNamespace="http://schemas.microsoft.com/office/2006/metadata/properties" ma:root="true" ma:fieldsID="4668982699dc9bf10b49fd46a02cec63" ns3:_="" ns4:_="">
    <xsd:import namespace="d7d0738a-951a-45ed-be1b-6bfc82f0ddc7"/>
    <xsd:import namespace="23411edb-8204-4bf4-8573-111e074295c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d0738a-951a-45ed-be1b-6bfc82f0ddc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411edb-8204-4bf4-8573-111e074295c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6C603B-75A5-42EC-BB61-7EAA140FAA4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D281BC5B-BEB9-4CB0-8AA5-F9F8BDABFE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d0738a-951a-45ed-be1b-6bfc82f0ddc7"/>
    <ds:schemaRef ds:uri="23411edb-8204-4bf4-8573-111e07429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488AFA-F94A-4F14-B91F-4E668AE378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Chem4Word.dotx</Template>
  <TotalTime>0</TotalTime>
  <Pages>15</Pages>
  <Words>5599</Words>
  <Characters>31919</Characters>
  <Application>Microsoft Office Word</Application>
  <DocSecurity>0</DocSecurity>
  <Lines>265</Lines>
  <Paragraphs>74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DOI: 10</vt:lpstr>
      <vt:lpstr>DOI: 10</vt:lpstr>
    </vt:vector>
  </TitlesOfParts>
  <Company>WILEY-VCH Verlag GmbH &amp; Co. KGaA</Company>
  <LinksUpToDate>false</LinksUpToDate>
  <CharactersWithSpaces>37444</CharactersWithSpaces>
  <SharedDoc>false</SharedDoc>
  <HLinks>
    <vt:vector size="6" baseType="variant">
      <vt:variant>
        <vt:i4>4522036</vt:i4>
      </vt:variant>
      <vt:variant>
        <vt:i4>0</vt:i4>
      </vt:variant>
      <vt:variant>
        <vt:i4>0</vt:i4>
      </vt:variant>
      <vt:variant>
        <vt:i4>5</vt:i4>
      </vt:variant>
      <vt:variant>
        <vt:lpwstr>mailto:sulalit.bandyopadhyay@ntnu.no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ABoeer</dc:creator>
  <cp:keywords/>
  <cp:lastModifiedBy>Anuvansh Sharma</cp:lastModifiedBy>
  <cp:revision>252</cp:revision>
  <cp:lastPrinted>2020-07-07T11:16:00Z</cp:lastPrinted>
  <dcterms:created xsi:type="dcterms:W3CDTF">2020-07-03T22:52:00Z</dcterms:created>
  <dcterms:modified xsi:type="dcterms:W3CDTF">2020-07-30T09:47:00Z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0x0101009119BB43A910DF4B86BB30812392FB6B</vt:lpwstr>
  </property>
</Properties>
</file>