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E7F6" w14:textId="77777777" w:rsidR="009E7D91" w:rsidRPr="004B66F7" w:rsidRDefault="009E7D91" w:rsidP="009E7D91">
      <w:pPr>
        <w:spacing w:line="480" w:lineRule="auto"/>
        <w:jc w:val="center"/>
        <w:rPr>
          <w:color w:val="1F1F1F"/>
        </w:rPr>
      </w:pPr>
      <w:r w:rsidRPr="004B66F7">
        <w:rPr>
          <w:b/>
          <w:bCs/>
        </w:rPr>
        <w:t xml:space="preserve">Supplementary </w:t>
      </w:r>
      <w:r>
        <w:rPr>
          <w:b/>
          <w:bCs/>
        </w:rPr>
        <w:t>Information</w:t>
      </w:r>
    </w:p>
    <w:p w14:paraId="0CD76CA9" w14:textId="77777777" w:rsidR="0051578C" w:rsidRPr="004B66F7" w:rsidRDefault="0051578C" w:rsidP="00040412">
      <w:pPr>
        <w:spacing w:line="480" w:lineRule="auto"/>
      </w:pPr>
    </w:p>
    <w:p w14:paraId="1FBCFA6E" w14:textId="32B9A07F" w:rsidR="0051578C" w:rsidRPr="004B66F7" w:rsidRDefault="00D46B9D" w:rsidP="004A7BD6">
      <w:pPr>
        <w:spacing w:line="480" w:lineRule="auto"/>
        <w:jc w:val="center"/>
      </w:pPr>
      <w:r w:rsidRPr="004B66F7">
        <w:t xml:space="preserve">Basal Ganglia </w:t>
      </w:r>
      <w:r w:rsidR="0051578C" w:rsidRPr="004B66F7">
        <w:t xml:space="preserve">Dopamine Availability and </w:t>
      </w:r>
      <w:r w:rsidRPr="004B66F7">
        <w:t>Immune Activation</w:t>
      </w:r>
    </w:p>
    <w:p w14:paraId="22BC2023" w14:textId="3D704B0E" w:rsidR="0051578C" w:rsidRPr="004B66F7" w:rsidRDefault="00D46B9D" w:rsidP="004A7BD6">
      <w:pPr>
        <w:spacing w:line="480" w:lineRule="auto"/>
        <w:jc w:val="center"/>
      </w:pPr>
      <w:r w:rsidRPr="004B66F7">
        <w:t>Interact</w:t>
      </w:r>
      <w:r w:rsidR="0075668C">
        <w:t xml:space="preserve"> and</w:t>
      </w:r>
      <w:r w:rsidRPr="004B66F7">
        <w:t xml:space="preserve"> Relate to </w:t>
      </w:r>
      <w:r w:rsidR="0051578C" w:rsidRPr="004B66F7">
        <w:t xml:space="preserve">Anhedonia </w:t>
      </w:r>
      <w:r w:rsidRPr="004B66F7">
        <w:t xml:space="preserve">Severity </w:t>
      </w:r>
      <w:r w:rsidR="0051578C" w:rsidRPr="004B66F7">
        <w:t>among Youth</w:t>
      </w:r>
      <w:r w:rsidR="007A4E35" w:rsidRPr="004B66F7">
        <w:t xml:space="preserve"> with Depression</w:t>
      </w:r>
    </w:p>
    <w:p w14:paraId="3E9126D0" w14:textId="77777777" w:rsidR="0051578C" w:rsidRPr="004B66F7" w:rsidRDefault="0051578C" w:rsidP="004A7BD6">
      <w:pPr>
        <w:spacing w:line="480" w:lineRule="auto"/>
      </w:pPr>
    </w:p>
    <w:p w14:paraId="274FB769" w14:textId="11EE20FB" w:rsidR="0051578C" w:rsidRPr="004B66F7" w:rsidRDefault="0051578C" w:rsidP="004A7BD6">
      <w:pPr>
        <w:spacing w:line="480" w:lineRule="auto"/>
        <w:jc w:val="center"/>
        <w:rPr>
          <w:vertAlign w:val="superscript"/>
        </w:rPr>
      </w:pPr>
      <w:r w:rsidRPr="004B66F7">
        <w:t>Iris Ka-Yi Chat</w:t>
      </w:r>
      <w:r w:rsidR="004E6392" w:rsidRPr="004B66F7">
        <w:rPr>
          <w:vertAlign w:val="superscript"/>
        </w:rPr>
        <w:t>1,</w:t>
      </w:r>
      <w:r w:rsidR="00A70C84">
        <w:rPr>
          <w:vertAlign w:val="superscript"/>
        </w:rPr>
        <w:t>2</w:t>
      </w:r>
      <w:r w:rsidRPr="004B66F7">
        <w:t xml:space="preserve">, </w:t>
      </w:r>
      <w:r w:rsidR="00BC1B1A" w:rsidRPr="004B66F7">
        <w:t xml:space="preserve">James </w:t>
      </w:r>
      <w:r w:rsidR="00D03752">
        <w:t xml:space="preserve">W. </w:t>
      </w:r>
      <w:r w:rsidR="00BC1B1A" w:rsidRPr="004B66F7">
        <w:t>Murrough</w:t>
      </w:r>
      <w:r w:rsidR="00A70C84">
        <w:rPr>
          <w:vertAlign w:val="superscript"/>
        </w:rPr>
        <w:t>3</w:t>
      </w:r>
      <w:r w:rsidR="001948FF">
        <w:rPr>
          <w:vertAlign w:val="superscript"/>
        </w:rPr>
        <w:t>,4,5</w:t>
      </w:r>
      <w:r w:rsidR="00BC1B1A" w:rsidRPr="004B66F7">
        <w:t>, Scott Russo</w:t>
      </w:r>
      <w:r w:rsidR="0075668C">
        <w:rPr>
          <w:vertAlign w:val="superscript"/>
        </w:rPr>
        <w:t>4,6</w:t>
      </w:r>
      <w:r w:rsidR="00BC1B1A" w:rsidRPr="004B66F7">
        <w:t xml:space="preserve">, </w:t>
      </w:r>
      <w:r w:rsidR="00BD66F5">
        <w:t>Finnegan Calabro</w:t>
      </w:r>
      <w:r w:rsidR="0075668C">
        <w:rPr>
          <w:vertAlign w:val="superscript"/>
        </w:rPr>
        <w:t>2</w:t>
      </w:r>
      <w:r w:rsidR="00BD66F5">
        <w:t xml:space="preserve">, </w:t>
      </w:r>
      <w:r w:rsidR="00D02249" w:rsidRPr="004B66F7">
        <w:t>Beatriz Luna</w:t>
      </w:r>
      <w:r w:rsidR="00D02249">
        <w:rPr>
          <w:vertAlign w:val="superscript"/>
        </w:rPr>
        <w:t>2</w:t>
      </w:r>
      <w:r w:rsidR="00D02249" w:rsidRPr="004B66F7">
        <w:t xml:space="preserve">, </w:t>
      </w:r>
      <w:r w:rsidRPr="004B66F7">
        <w:t xml:space="preserve">Kalyan </w:t>
      </w:r>
      <w:r w:rsidR="00C619C7" w:rsidRPr="004B66F7">
        <w:t>Tripathy</w:t>
      </w:r>
      <w:r w:rsidR="0075668C">
        <w:rPr>
          <w:vertAlign w:val="superscript"/>
        </w:rPr>
        <w:t>2</w:t>
      </w:r>
      <w:r w:rsidRPr="004B66F7">
        <w:t>, Tina Gupta</w:t>
      </w:r>
      <w:r w:rsidR="0075668C">
        <w:rPr>
          <w:vertAlign w:val="superscript"/>
        </w:rPr>
        <w:t>7</w:t>
      </w:r>
      <w:r w:rsidRPr="004B66F7">
        <w:t xml:space="preserve">, </w:t>
      </w:r>
      <w:r w:rsidR="004E6392" w:rsidRPr="004B66F7">
        <w:t>Zachary Brodnick</w:t>
      </w:r>
      <w:r w:rsidR="0075668C">
        <w:rPr>
          <w:vertAlign w:val="superscript"/>
        </w:rPr>
        <w:t>2</w:t>
      </w:r>
      <w:r w:rsidR="00673490">
        <w:rPr>
          <w:vertAlign w:val="superscript"/>
        </w:rPr>
        <w:t>,</w:t>
      </w:r>
      <w:r w:rsidR="0075668C">
        <w:rPr>
          <w:vertAlign w:val="superscript"/>
        </w:rPr>
        <w:t>8</w:t>
      </w:r>
      <w:r w:rsidR="004E6392" w:rsidRPr="004B66F7">
        <w:t xml:space="preserve">, </w:t>
      </w:r>
      <w:r w:rsidR="00A70C84">
        <w:t>Megan M. Julien</w:t>
      </w:r>
      <w:r w:rsidR="0075668C">
        <w:rPr>
          <w:vertAlign w:val="superscript"/>
        </w:rPr>
        <w:t>2</w:t>
      </w:r>
      <w:r w:rsidR="00A70C84">
        <w:t xml:space="preserve">, </w:t>
      </w:r>
      <w:r w:rsidRPr="004B66F7">
        <w:t xml:space="preserve">Neil </w:t>
      </w:r>
      <w:r w:rsidR="00040412">
        <w:t xml:space="preserve">P. </w:t>
      </w:r>
      <w:r w:rsidRPr="004B66F7">
        <w:t>Jones</w:t>
      </w:r>
      <w:r w:rsidR="0075668C">
        <w:rPr>
          <w:vertAlign w:val="superscript"/>
        </w:rPr>
        <w:t>2</w:t>
      </w:r>
      <w:r w:rsidRPr="004B66F7">
        <w:t xml:space="preserve">, </w:t>
      </w:r>
      <w:r w:rsidR="006218FD">
        <w:t>Neal D. Ryan</w:t>
      </w:r>
      <w:r w:rsidR="0075668C">
        <w:rPr>
          <w:vertAlign w:val="superscript"/>
        </w:rPr>
        <w:t>2</w:t>
      </w:r>
      <w:r w:rsidR="006218FD">
        <w:t>,</w:t>
      </w:r>
      <w:r w:rsidR="009A1A7F">
        <w:t xml:space="preserve"> </w:t>
      </w:r>
      <w:r w:rsidRPr="004B66F7">
        <w:t xml:space="preserve">Helmet </w:t>
      </w:r>
      <w:r w:rsidR="00AC47AA">
        <w:t xml:space="preserve">T. </w:t>
      </w:r>
      <w:r w:rsidRPr="004B66F7">
        <w:t>Karim</w:t>
      </w:r>
      <w:r w:rsidR="0075668C">
        <w:rPr>
          <w:vertAlign w:val="superscript"/>
        </w:rPr>
        <w:t>2</w:t>
      </w:r>
      <w:r w:rsidRPr="004B66F7">
        <w:t>, Rebecca</w:t>
      </w:r>
      <w:r w:rsidR="00040412">
        <w:t xml:space="preserve"> B.</w:t>
      </w:r>
      <w:r w:rsidRPr="004B66F7">
        <w:t xml:space="preserve"> Price</w:t>
      </w:r>
      <w:r w:rsidR="0075668C">
        <w:rPr>
          <w:vertAlign w:val="superscript"/>
        </w:rPr>
        <w:t>2</w:t>
      </w:r>
      <w:r w:rsidRPr="004B66F7">
        <w:t xml:space="preserve">, </w:t>
      </w:r>
      <w:proofErr w:type="spellStart"/>
      <w:r w:rsidRPr="004B66F7">
        <w:t>Jihui</w:t>
      </w:r>
      <w:proofErr w:type="spellEnd"/>
      <w:r w:rsidRPr="004B66F7">
        <w:t xml:space="preserve"> Diaz</w:t>
      </w:r>
      <w:r w:rsidR="0075668C">
        <w:rPr>
          <w:vertAlign w:val="superscript"/>
        </w:rPr>
        <w:t>9</w:t>
      </w:r>
      <w:r w:rsidRPr="004B66F7">
        <w:t>, &amp; Erika E. Forbes</w:t>
      </w:r>
      <w:r w:rsidR="0075668C">
        <w:rPr>
          <w:vertAlign w:val="superscript"/>
        </w:rPr>
        <w:t>2</w:t>
      </w:r>
      <w:r w:rsidR="00D02249" w:rsidRPr="00C75FE7">
        <w:t>*</w:t>
      </w:r>
    </w:p>
    <w:p w14:paraId="339C0A79" w14:textId="77777777" w:rsidR="004E6392" w:rsidRPr="004B66F7" w:rsidRDefault="004E6392" w:rsidP="005960DB">
      <w:pPr>
        <w:contextualSpacing/>
      </w:pPr>
    </w:p>
    <w:p w14:paraId="4601E161" w14:textId="74735177" w:rsidR="001948FF" w:rsidRPr="0075668C" w:rsidRDefault="004E6392" w:rsidP="001948FF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1</w:t>
      </w:r>
      <w:r w:rsidR="001948FF" w:rsidRPr="0075668C">
        <w:rPr>
          <w:sz w:val="21"/>
          <w:szCs w:val="21"/>
        </w:rPr>
        <w:t xml:space="preserve">Department of Psychology, </w:t>
      </w:r>
      <w:r w:rsidR="001948FF" w:rsidRPr="0075668C">
        <w:rPr>
          <w:color w:val="000000" w:themeColor="text1"/>
          <w:sz w:val="21"/>
          <w:szCs w:val="21"/>
        </w:rPr>
        <w:t xml:space="preserve">University of </w:t>
      </w:r>
      <w:r w:rsidR="001948FF" w:rsidRPr="0075668C">
        <w:rPr>
          <w:sz w:val="21"/>
          <w:szCs w:val="21"/>
        </w:rPr>
        <w:t>California, Los Angeles, Los Angeles, CA</w:t>
      </w:r>
      <w:r w:rsidR="00AE1B4D">
        <w:rPr>
          <w:rFonts w:cstheme="minorHAnsi"/>
          <w:sz w:val="21"/>
          <w:szCs w:val="21"/>
        </w:rPr>
        <w:t>, USA</w:t>
      </w:r>
    </w:p>
    <w:p w14:paraId="615E9566" w14:textId="07E0ACF7" w:rsidR="001948FF" w:rsidRPr="0075668C" w:rsidRDefault="001948FF" w:rsidP="001948FF">
      <w:pPr>
        <w:spacing w:line="480" w:lineRule="auto"/>
        <w:rPr>
          <w:sz w:val="21"/>
          <w:szCs w:val="21"/>
          <w:vertAlign w:val="superscript"/>
        </w:rPr>
      </w:pPr>
      <w:r w:rsidRPr="0075668C">
        <w:rPr>
          <w:sz w:val="21"/>
          <w:szCs w:val="21"/>
          <w:vertAlign w:val="superscript"/>
        </w:rPr>
        <w:t>2</w:t>
      </w:r>
      <w:r w:rsidRPr="0075668C">
        <w:rPr>
          <w:sz w:val="21"/>
          <w:szCs w:val="21"/>
        </w:rPr>
        <w:t>Department of Psychiatry, University of Pittsburgh Medical Center, Pittsburgh, PA</w:t>
      </w:r>
      <w:r w:rsidR="00AE1B4D">
        <w:rPr>
          <w:rFonts w:cstheme="minorHAnsi"/>
          <w:sz w:val="21"/>
          <w:szCs w:val="21"/>
        </w:rPr>
        <w:t>, USA</w:t>
      </w:r>
    </w:p>
    <w:p w14:paraId="7B1481F0" w14:textId="196B77B7" w:rsidR="001948FF" w:rsidRPr="0075668C" w:rsidRDefault="001948FF" w:rsidP="001948FF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3</w:t>
      </w:r>
      <w:r w:rsidRPr="0075668C">
        <w:rPr>
          <w:sz w:val="21"/>
          <w:szCs w:val="21"/>
        </w:rPr>
        <w:t>Depression and Anxiety Center for Discovery and Treatment, Department of Psychiatry, Icahn School of Medicine of Mount Sinai, New York, NY, USA</w:t>
      </w:r>
    </w:p>
    <w:p w14:paraId="5CC9D609" w14:textId="5C4275C7" w:rsidR="001948FF" w:rsidRPr="0075668C" w:rsidRDefault="001948FF" w:rsidP="001948FF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4</w:t>
      </w:r>
      <w:r w:rsidRPr="0075668C">
        <w:rPr>
          <w:sz w:val="21"/>
          <w:szCs w:val="21"/>
        </w:rPr>
        <w:t>Nash Family Department of Neuroscience, Icahn School of Medicine at Mount Sinai, New York, NY, USA</w:t>
      </w:r>
    </w:p>
    <w:p w14:paraId="2E7DD665" w14:textId="7A5F9819" w:rsidR="001948FF" w:rsidRPr="0075668C" w:rsidRDefault="001948FF" w:rsidP="001948FF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5</w:t>
      </w:r>
      <w:r w:rsidRPr="0075668C">
        <w:rPr>
          <w:sz w:val="21"/>
          <w:szCs w:val="21"/>
        </w:rPr>
        <w:t>VISN 2 Mental Illness Research, Education, and Clinical Center (MIRECC), James J. Peters VA Medical Center, Bronx NY</w:t>
      </w:r>
      <w:r w:rsidR="00AE1B4D">
        <w:rPr>
          <w:rFonts w:cstheme="minorHAnsi"/>
          <w:sz w:val="21"/>
          <w:szCs w:val="21"/>
        </w:rPr>
        <w:t>, USA</w:t>
      </w:r>
    </w:p>
    <w:p w14:paraId="62135E55" w14:textId="37B0EBCA" w:rsidR="0075668C" w:rsidRPr="0075668C" w:rsidRDefault="0075668C" w:rsidP="0075668C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6</w:t>
      </w:r>
      <w:r w:rsidRPr="0075668C">
        <w:rPr>
          <w:sz w:val="21"/>
          <w:szCs w:val="21"/>
        </w:rPr>
        <w:t xml:space="preserve">Brain-Body Research </w:t>
      </w:r>
      <w:proofErr w:type="spellStart"/>
      <w:r w:rsidRPr="0075668C">
        <w:rPr>
          <w:sz w:val="21"/>
          <w:szCs w:val="21"/>
        </w:rPr>
        <w:t>Insititute</w:t>
      </w:r>
      <w:proofErr w:type="spellEnd"/>
      <w:r w:rsidRPr="0075668C">
        <w:rPr>
          <w:sz w:val="21"/>
          <w:szCs w:val="21"/>
        </w:rPr>
        <w:t>, Icahn School of Medicine at Mount Sinai, New York, NY</w:t>
      </w:r>
      <w:r w:rsidR="00AE1B4D">
        <w:rPr>
          <w:rFonts w:cstheme="minorHAnsi"/>
          <w:sz w:val="21"/>
          <w:szCs w:val="21"/>
        </w:rPr>
        <w:t>, USA</w:t>
      </w:r>
    </w:p>
    <w:p w14:paraId="43DD3185" w14:textId="30078D87" w:rsidR="0075668C" w:rsidRPr="0075668C" w:rsidRDefault="0075668C" w:rsidP="0075668C">
      <w:pPr>
        <w:spacing w:line="480" w:lineRule="auto"/>
        <w:rPr>
          <w:sz w:val="21"/>
          <w:szCs w:val="21"/>
        </w:rPr>
      </w:pPr>
      <w:r w:rsidRPr="0075668C">
        <w:rPr>
          <w:sz w:val="21"/>
          <w:szCs w:val="21"/>
          <w:vertAlign w:val="superscript"/>
        </w:rPr>
        <w:t>7</w:t>
      </w:r>
      <w:r w:rsidRPr="0075668C">
        <w:rPr>
          <w:sz w:val="21"/>
          <w:szCs w:val="21"/>
        </w:rPr>
        <w:t>Department of Psychology, University of Oregon, Eugene, OR</w:t>
      </w:r>
      <w:r w:rsidR="00AE1B4D">
        <w:rPr>
          <w:rFonts w:cstheme="minorHAnsi"/>
          <w:sz w:val="21"/>
          <w:szCs w:val="21"/>
        </w:rPr>
        <w:t>, USA</w:t>
      </w:r>
    </w:p>
    <w:p w14:paraId="23E21E72" w14:textId="34601CEB" w:rsidR="004E6392" w:rsidRPr="0075668C" w:rsidRDefault="0075668C" w:rsidP="004A7BD6">
      <w:pPr>
        <w:spacing w:line="480" w:lineRule="auto"/>
        <w:rPr>
          <w:sz w:val="21"/>
          <w:szCs w:val="21"/>
        </w:rPr>
      </w:pPr>
      <w:r>
        <w:rPr>
          <w:sz w:val="21"/>
          <w:szCs w:val="21"/>
          <w:vertAlign w:val="superscript"/>
        </w:rPr>
        <w:t>8</w:t>
      </w:r>
      <w:r>
        <w:rPr>
          <w:sz w:val="21"/>
          <w:szCs w:val="21"/>
        </w:rPr>
        <w:t xml:space="preserve">Department of Neuroscience, </w:t>
      </w:r>
      <w:r w:rsidR="00C619C7" w:rsidRPr="0075668C">
        <w:rPr>
          <w:sz w:val="21"/>
          <w:szCs w:val="21"/>
        </w:rPr>
        <w:t xml:space="preserve">The </w:t>
      </w:r>
      <w:r w:rsidR="00673490" w:rsidRPr="0075668C">
        <w:rPr>
          <w:sz w:val="21"/>
          <w:szCs w:val="21"/>
        </w:rPr>
        <w:t>Ohio State University</w:t>
      </w:r>
      <w:r w:rsidR="00AE1B4D">
        <w:rPr>
          <w:sz w:val="21"/>
          <w:szCs w:val="21"/>
        </w:rPr>
        <w:t>, Columbus, OH</w:t>
      </w:r>
      <w:r w:rsidR="00AE1B4D">
        <w:rPr>
          <w:rFonts w:cstheme="minorHAnsi"/>
          <w:sz w:val="21"/>
          <w:szCs w:val="21"/>
        </w:rPr>
        <w:t>, USA</w:t>
      </w:r>
    </w:p>
    <w:p w14:paraId="20B56BB5" w14:textId="5248D826" w:rsidR="000E583B" w:rsidRPr="0075668C" w:rsidRDefault="0075668C" w:rsidP="004A7BD6">
      <w:pPr>
        <w:spacing w:line="480" w:lineRule="auto"/>
        <w:rPr>
          <w:rFonts w:cstheme="minorHAnsi"/>
          <w:sz w:val="21"/>
          <w:szCs w:val="21"/>
        </w:rPr>
      </w:pPr>
      <w:r w:rsidRPr="0075668C">
        <w:rPr>
          <w:rFonts w:cstheme="minorHAnsi"/>
          <w:sz w:val="21"/>
          <w:szCs w:val="21"/>
          <w:vertAlign w:val="superscript"/>
        </w:rPr>
        <w:t>9</w:t>
      </w:r>
      <w:r w:rsidRPr="0075668C">
        <w:rPr>
          <w:rFonts w:cstheme="minorHAnsi"/>
          <w:sz w:val="21"/>
          <w:szCs w:val="21"/>
        </w:rPr>
        <w:t>School of Nursing, Duke University</w:t>
      </w:r>
      <w:r w:rsidR="00AE1B4D">
        <w:rPr>
          <w:rFonts w:cstheme="minorHAnsi"/>
          <w:sz w:val="21"/>
          <w:szCs w:val="21"/>
        </w:rPr>
        <w:t>, Durham, NC, USA</w:t>
      </w:r>
    </w:p>
    <w:p w14:paraId="28B5F6E6" w14:textId="77777777" w:rsidR="0075668C" w:rsidRDefault="0075668C" w:rsidP="005960DB">
      <w:pPr>
        <w:contextualSpacing/>
        <w:rPr>
          <w:rFonts w:cstheme="minorHAnsi"/>
        </w:rPr>
      </w:pPr>
    </w:p>
    <w:p w14:paraId="2E277284" w14:textId="266BAB15" w:rsidR="001E1D3B" w:rsidRPr="0075668C" w:rsidRDefault="005960DB" w:rsidP="005960DB">
      <w:pPr>
        <w:spacing w:line="480" w:lineRule="auto"/>
        <w:rPr>
          <w:rFonts w:cstheme="minorHAnsi"/>
        </w:rPr>
      </w:pPr>
      <w:r>
        <w:rPr>
          <w:rFonts w:cstheme="minorHAnsi"/>
        </w:rPr>
        <w:t>*</w:t>
      </w:r>
      <w:r w:rsidR="001E1D3B" w:rsidRPr="004B66F7">
        <w:rPr>
          <w:rFonts w:cstheme="minorHAnsi"/>
        </w:rPr>
        <w:t xml:space="preserve">Corresponding author. Address: </w:t>
      </w:r>
      <w:r w:rsidR="00D02249">
        <w:rPr>
          <w:rFonts w:cstheme="minorHAnsi"/>
        </w:rPr>
        <w:t xml:space="preserve">University of Pittsburgh </w:t>
      </w:r>
      <w:r w:rsidR="0075668C">
        <w:rPr>
          <w:rFonts w:ascii="Aptos" w:hAnsi="Aptos"/>
          <w:color w:val="000000"/>
          <w:shd w:val="clear" w:color="auto" w:fill="FFFFFF"/>
        </w:rPr>
        <w:t xml:space="preserve">Department of </w:t>
      </w:r>
      <w:r w:rsidR="00D02249">
        <w:rPr>
          <w:rFonts w:ascii="Aptos" w:hAnsi="Aptos"/>
          <w:color w:val="000000"/>
          <w:shd w:val="clear" w:color="auto" w:fill="FFFFFF"/>
        </w:rPr>
        <w:t>Psychiatry</w:t>
      </w:r>
      <w:r w:rsidR="0075668C">
        <w:rPr>
          <w:rFonts w:ascii="Aptos" w:hAnsi="Aptos"/>
          <w:color w:val="000000"/>
          <w:shd w:val="clear" w:color="auto" w:fill="FFFFFF"/>
        </w:rPr>
        <w:t>,</w:t>
      </w:r>
      <w:r w:rsidR="0075668C">
        <w:rPr>
          <w:rFonts w:ascii="Aptos" w:hAnsi="Aptos"/>
          <w:color w:val="000000"/>
        </w:rPr>
        <w:t xml:space="preserve"> </w:t>
      </w:r>
      <w:r w:rsidR="00D02249" w:rsidRPr="00D02249">
        <w:rPr>
          <w:rFonts w:ascii="Aptos" w:hAnsi="Aptos"/>
          <w:color w:val="000000"/>
        </w:rPr>
        <w:t>3811 O'Hara Street</w:t>
      </w:r>
      <w:r w:rsidR="0075668C">
        <w:rPr>
          <w:rFonts w:ascii="Aptos" w:hAnsi="Aptos"/>
          <w:color w:val="000000"/>
          <w:shd w:val="clear" w:color="auto" w:fill="FFFFFF"/>
        </w:rPr>
        <w:t>, </w:t>
      </w:r>
      <w:r w:rsidR="00D02249">
        <w:rPr>
          <w:rFonts w:ascii="Aptos" w:hAnsi="Aptos"/>
          <w:color w:val="000000"/>
          <w:shd w:val="clear" w:color="auto" w:fill="FFFFFF"/>
        </w:rPr>
        <w:t>Pittsburgh</w:t>
      </w:r>
      <w:r w:rsidR="0075668C">
        <w:rPr>
          <w:rFonts w:ascii="Aptos" w:hAnsi="Aptos"/>
          <w:color w:val="000000"/>
          <w:shd w:val="clear" w:color="auto" w:fill="FFFFFF"/>
        </w:rPr>
        <w:t xml:space="preserve">, </w:t>
      </w:r>
      <w:r w:rsidR="00D02249">
        <w:rPr>
          <w:rFonts w:ascii="Aptos" w:hAnsi="Aptos"/>
          <w:color w:val="000000"/>
          <w:shd w:val="clear" w:color="auto" w:fill="FFFFFF"/>
        </w:rPr>
        <w:t xml:space="preserve">PA </w:t>
      </w:r>
      <w:r w:rsidR="00D02249" w:rsidRPr="00D02249">
        <w:rPr>
          <w:rFonts w:ascii="Aptos" w:hAnsi="Aptos"/>
          <w:color w:val="000000"/>
          <w:shd w:val="clear" w:color="auto" w:fill="FFFFFF"/>
        </w:rPr>
        <w:t>15213</w:t>
      </w:r>
      <w:r w:rsidR="001E1D3B" w:rsidRPr="0075668C">
        <w:rPr>
          <w:rFonts w:cstheme="minorHAnsi"/>
        </w:rPr>
        <w:t xml:space="preserve">, email: </w:t>
      </w:r>
      <w:hyperlink r:id="rId7" w:history="1">
        <w:r w:rsidR="00D02249" w:rsidRPr="00AD515D">
          <w:rPr>
            <w:rStyle w:val="Hyperlink"/>
            <w:rFonts w:cstheme="minorHAnsi"/>
          </w:rPr>
          <w:t>forbese@upmc.edu</w:t>
        </w:r>
      </w:hyperlink>
      <w:r w:rsidR="00D02249">
        <w:rPr>
          <w:rFonts w:cstheme="minorHAnsi"/>
        </w:rPr>
        <w:t xml:space="preserve">. </w:t>
      </w:r>
    </w:p>
    <w:p w14:paraId="6820DF1D" w14:textId="77777777" w:rsidR="009E7D91" w:rsidRDefault="009E7D91">
      <w:pPr>
        <w:rPr>
          <w:b/>
          <w:bCs/>
        </w:rPr>
      </w:pPr>
      <w:r>
        <w:rPr>
          <w:b/>
          <w:bCs/>
        </w:rPr>
        <w:br w:type="page"/>
      </w:r>
    </w:p>
    <w:p w14:paraId="4E29DE43" w14:textId="5B8DED0B" w:rsidR="007C1CBD" w:rsidRPr="004B66F7" w:rsidRDefault="009E7D91" w:rsidP="009E7D91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7C1CBD" w:rsidRPr="004B66F7">
        <w:rPr>
          <w:b/>
          <w:bCs/>
        </w:rPr>
        <w:t>Results</w:t>
      </w:r>
    </w:p>
    <w:p w14:paraId="418BFDAF" w14:textId="7C25D12E" w:rsidR="007C1CBD" w:rsidRPr="009E7D91" w:rsidRDefault="007D4CA1" w:rsidP="004A7BD6">
      <w:pPr>
        <w:spacing w:line="480" w:lineRule="auto"/>
        <w:rPr>
          <w:b/>
          <w:bCs/>
        </w:rPr>
      </w:pPr>
      <w:r w:rsidRPr="009E7D91">
        <w:rPr>
          <w:b/>
          <w:bCs/>
        </w:rPr>
        <w:t xml:space="preserve">Secondary </w:t>
      </w:r>
      <w:r w:rsidR="007C1CBD" w:rsidRPr="009E7D91">
        <w:rPr>
          <w:b/>
          <w:bCs/>
        </w:rPr>
        <w:t>Analyses</w:t>
      </w:r>
    </w:p>
    <w:p w14:paraId="3A3ABF8B" w14:textId="3942C67B" w:rsidR="00280469" w:rsidRPr="009E7D91" w:rsidRDefault="00971417" w:rsidP="00C452E8">
      <w:pPr>
        <w:spacing w:line="480" w:lineRule="auto"/>
        <w:rPr>
          <w:b/>
          <w:bCs/>
          <w:i/>
          <w:iCs/>
          <w:color w:val="000000" w:themeColor="text1"/>
        </w:rPr>
      </w:pPr>
      <w:r w:rsidRPr="009E7D91">
        <w:rPr>
          <w:b/>
          <w:bCs/>
          <w:i/>
          <w:iCs/>
          <w:color w:val="000000" w:themeColor="text1"/>
        </w:rPr>
        <w:t xml:space="preserve">Interaction between </w:t>
      </w:r>
      <w:r w:rsidR="00350A4D" w:rsidRPr="009E7D91">
        <w:rPr>
          <w:b/>
          <w:bCs/>
          <w:i/>
          <w:iCs/>
          <w:color w:val="000000" w:themeColor="text1"/>
        </w:rPr>
        <w:t>Dopamine Availability in Subregions of Basal Ganglia</w:t>
      </w:r>
      <w:r w:rsidRPr="009E7D91">
        <w:rPr>
          <w:b/>
          <w:bCs/>
          <w:i/>
          <w:iCs/>
          <w:color w:val="000000" w:themeColor="text1"/>
        </w:rPr>
        <w:t xml:space="preserve"> and</w:t>
      </w:r>
      <w:r w:rsidR="000F73AD" w:rsidRPr="009E7D91">
        <w:rPr>
          <w:b/>
          <w:bCs/>
          <w:i/>
          <w:iCs/>
          <w:color w:val="000000" w:themeColor="text1"/>
        </w:rPr>
        <w:t xml:space="preserve"> General</w:t>
      </w:r>
      <w:r w:rsidRPr="009E7D91">
        <w:rPr>
          <w:b/>
          <w:bCs/>
          <w:i/>
          <w:iCs/>
          <w:color w:val="000000" w:themeColor="text1"/>
        </w:rPr>
        <w:t xml:space="preserve"> Immune </w:t>
      </w:r>
      <w:r w:rsidR="00A44029" w:rsidRPr="009E7D91">
        <w:rPr>
          <w:b/>
          <w:bCs/>
          <w:i/>
          <w:iCs/>
          <w:color w:val="000000" w:themeColor="text1"/>
        </w:rPr>
        <w:t>Activation (</w:t>
      </w:r>
      <w:r w:rsidR="00D121E8" w:rsidRPr="009E7D91">
        <w:rPr>
          <w:b/>
          <w:bCs/>
          <w:i/>
          <w:iCs/>
          <w:color w:val="000000" w:themeColor="text1"/>
        </w:rPr>
        <w:t>Principal Component 1</w:t>
      </w:r>
      <w:r w:rsidR="00A44029" w:rsidRPr="009E7D91">
        <w:rPr>
          <w:b/>
          <w:bCs/>
          <w:i/>
          <w:iCs/>
          <w:color w:val="000000" w:themeColor="text1"/>
        </w:rPr>
        <w:t>)</w:t>
      </w:r>
    </w:p>
    <w:p w14:paraId="46DEB09A" w14:textId="4E29F0B5" w:rsidR="00350A4D" w:rsidRPr="00D37F3E" w:rsidRDefault="005641AD" w:rsidP="00C047BF">
      <w:pPr>
        <w:spacing w:line="480" w:lineRule="auto"/>
        <w:ind w:firstLine="720"/>
        <w:rPr>
          <w:color w:val="000000" w:themeColor="text1"/>
        </w:rPr>
      </w:pPr>
      <w:r>
        <w:t xml:space="preserve">As noted in the main text, secondary analyses were conducted to examine basal ganglia subregions for any </w:t>
      </w:r>
      <w:r w:rsidRPr="00D121E8">
        <w:t>interaction effects observed at the whole-</w:t>
      </w:r>
      <w:r w:rsidR="006E3328" w:rsidRPr="00D121E8">
        <w:t>basal ganglia</w:t>
      </w:r>
      <w:r w:rsidRPr="00D121E8">
        <w:t xml:space="preserve"> level.</w:t>
      </w:r>
      <w:r w:rsidRPr="001679C7">
        <w:t xml:space="preserve"> </w:t>
      </w:r>
      <w:r w:rsidR="009D32A9" w:rsidRPr="001679C7">
        <w:t>I</w:t>
      </w:r>
      <w:r w:rsidR="00B24C0F" w:rsidRPr="001679C7">
        <w:t>nteraction</w:t>
      </w:r>
      <w:r w:rsidR="009D32A9" w:rsidRPr="001679C7">
        <w:t xml:space="preserve"> effects</w:t>
      </w:r>
      <w:r w:rsidR="00B24C0F" w:rsidRPr="001679C7">
        <w:t xml:space="preserve"> between dopamine availability in the caudate</w:t>
      </w:r>
      <w:r w:rsidR="009B0970" w:rsidRPr="001679C7">
        <w:t>,</w:t>
      </w:r>
      <w:r w:rsidR="00B24C0F" w:rsidRPr="001679C7">
        <w:t xml:space="preserve"> putamen</w:t>
      </w:r>
      <w:r w:rsidR="009B0970" w:rsidRPr="001679C7">
        <w:t>, and pallidum</w:t>
      </w:r>
      <w:r w:rsidR="00B24C0F" w:rsidRPr="001679C7">
        <w:t xml:space="preserve"> and </w:t>
      </w:r>
      <w:r w:rsidR="00312E91" w:rsidRPr="001679C7">
        <w:t xml:space="preserve">immune </w:t>
      </w:r>
      <w:r w:rsidR="00D121E8" w:rsidRPr="001679C7">
        <w:t>principal component 1 (</w:t>
      </w:r>
      <w:r w:rsidR="00B24C0F" w:rsidRPr="001679C7">
        <w:t>PC1</w:t>
      </w:r>
      <w:r w:rsidR="00D121E8" w:rsidRPr="001679C7">
        <w:t>)</w:t>
      </w:r>
      <w:r w:rsidR="00B24C0F" w:rsidRPr="001679C7">
        <w:t xml:space="preserve"> </w:t>
      </w:r>
      <w:r w:rsidR="00A44029" w:rsidRPr="001679C7">
        <w:t>scores were</w:t>
      </w:r>
      <w:r w:rsidR="00B24C0F" w:rsidRPr="001679C7">
        <w:t xml:space="preserve"> </w:t>
      </w:r>
      <w:r w:rsidR="009E7769">
        <w:t>observed</w:t>
      </w:r>
      <w:r w:rsidR="00B24C0F" w:rsidRPr="001679C7">
        <w:t xml:space="preserve"> on overall anhedonia as measured by the SHAPS. </w:t>
      </w:r>
      <w:r w:rsidR="00512D15" w:rsidRPr="001679C7">
        <w:t xml:space="preserve">For participants </w:t>
      </w:r>
      <w:r w:rsidR="000F73AD" w:rsidRPr="001679C7">
        <w:t xml:space="preserve">in </w:t>
      </w:r>
      <w:r w:rsidR="00554493" w:rsidRPr="001679C7">
        <w:t>the</w:t>
      </w:r>
      <w:r w:rsidR="000F73AD" w:rsidRPr="001679C7">
        <w:t xml:space="preserve"> top</w:t>
      </w:r>
      <w:r w:rsidR="00512D15" w:rsidRPr="001679C7">
        <w:t xml:space="preserve"> 6</w:t>
      </w:r>
      <w:r w:rsidR="000F73AD" w:rsidRPr="001679C7">
        <w:t>8.97</w:t>
      </w:r>
      <w:r w:rsidR="00B65EAC" w:rsidRPr="001679C7">
        <w:t>%</w:t>
      </w:r>
      <w:r w:rsidR="008D7A21" w:rsidRPr="001679C7">
        <w:t>,</w:t>
      </w:r>
      <w:r w:rsidR="00554493" w:rsidRPr="001679C7">
        <w:t xml:space="preserve"> </w:t>
      </w:r>
      <w:r w:rsidR="00512D15" w:rsidRPr="001679C7">
        <w:t>7</w:t>
      </w:r>
      <w:r w:rsidR="00B65EAC" w:rsidRPr="001679C7">
        <w:t>0.69%</w:t>
      </w:r>
      <w:r w:rsidR="008D7A21" w:rsidRPr="001679C7">
        <w:t>, and  74.14%</w:t>
      </w:r>
      <w:r w:rsidR="00B65EAC" w:rsidRPr="001679C7">
        <w:t xml:space="preserve"> of immune PC1 scores</w:t>
      </w:r>
      <w:r w:rsidR="009D32A9" w:rsidRPr="001679C7">
        <w:t>,</w:t>
      </w:r>
      <w:r w:rsidR="00512D15" w:rsidRPr="001679C7">
        <w:t xml:space="preserve"> respectively</w:t>
      </w:r>
      <w:r w:rsidR="00350A4D" w:rsidRPr="001679C7">
        <w:t xml:space="preserve">, </w:t>
      </w:r>
      <w:r w:rsidR="00864BBD" w:rsidRPr="001679C7">
        <w:t xml:space="preserve">lower dopamine availability in </w:t>
      </w:r>
      <w:r w:rsidR="00554493" w:rsidRPr="001679C7">
        <w:t xml:space="preserve">the </w:t>
      </w:r>
      <w:r w:rsidR="00350A4D" w:rsidRPr="001679C7">
        <w:t>caudate (</w:t>
      </w:r>
      <w:r w:rsidR="00864BBD" w:rsidRPr="001679C7">
        <w:rPr>
          <w:i/>
          <w:iCs/>
        </w:rPr>
        <w:t>B</w:t>
      </w:r>
      <w:r w:rsidR="00864BBD" w:rsidRPr="001679C7">
        <w:t>=-.</w:t>
      </w:r>
      <w:r w:rsidR="000F73AD" w:rsidRPr="001679C7">
        <w:t>341</w:t>
      </w:r>
      <w:r w:rsidR="00864BBD" w:rsidRPr="001679C7">
        <w:t>,</w:t>
      </w:r>
      <w:r w:rsidR="00864BBD" w:rsidRPr="00D121E8">
        <w:t xml:space="preserve"> </w:t>
      </w:r>
      <w:r w:rsidR="00864BBD" w:rsidRPr="00D121E8">
        <w:rPr>
          <w:i/>
          <w:iCs/>
        </w:rPr>
        <w:t>SE</w:t>
      </w:r>
      <w:r w:rsidR="00864BBD" w:rsidRPr="00D121E8">
        <w:t>=</w:t>
      </w:r>
      <w:r w:rsidR="00864BBD" w:rsidRPr="001679C7">
        <w:t>.</w:t>
      </w:r>
      <w:r w:rsidR="000F73AD" w:rsidRPr="001679C7">
        <w:t>159</w:t>
      </w:r>
      <w:r w:rsidR="00864BBD" w:rsidRPr="001679C7">
        <w:t xml:space="preserve">, </w:t>
      </w:r>
      <w:r w:rsidR="00350A4D" w:rsidRPr="001679C7">
        <w:rPr>
          <w:i/>
          <w:iCs/>
        </w:rPr>
        <w:t>p</w:t>
      </w:r>
      <w:r w:rsidR="00350A4D" w:rsidRPr="001679C7">
        <w:t>=.</w:t>
      </w:r>
      <w:r w:rsidR="000F73AD" w:rsidRPr="001679C7">
        <w:t>037</w:t>
      </w:r>
      <w:r w:rsidR="00864BBD" w:rsidRPr="001679C7">
        <w:t xml:space="preserve">, </w:t>
      </w:r>
      <w:r w:rsidR="00864BBD" w:rsidRPr="001679C7">
        <w:rPr>
          <w:i/>
          <w:iCs/>
        </w:rPr>
        <w:t>ΔR</w:t>
      </w:r>
      <w:r w:rsidR="00864BBD" w:rsidRPr="001679C7">
        <w:rPr>
          <w:i/>
          <w:iCs/>
          <w:vertAlign w:val="superscript"/>
        </w:rPr>
        <w:t>2</w:t>
      </w:r>
      <w:r w:rsidR="00864BBD" w:rsidRPr="001679C7">
        <w:t>=</w:t>
      </w:r>
      <w:r w:rsidR="000F73AD" w:rsidRPr="001679C7">
        <w:t>.071</w:t>
      </w:r>
      <w:r w:rsidR="00512D15" w:rsidRPr="001679C7">
        <w:t>)</w:t>
      </w:r>
      <w:r w:rsidR="008D7A21" w:rsidRPr="001679C7">
        <w:t>,</w:t>
      </w:r>
      <w:r w:rsidR="00512D15" w:rsidRPr="001679C7">
        <w:t xml:space="preserve"> </w:t>
      </w:r>
      <w:r w:rsidR="00350A4D" w:rsidRPr="001679C7">
        <w:t>putamen (</w:t>
      </w:r>
      <w:r w:rsidR="00676729" w:rsidRPr="001679C7">
        <w:rPr>
          <w:i/>
          <w:iCs/>
        </w:rPr>
        <w:t>B</w:t>
      </w:r>
      <w:r w:rsidR="00676729" w:rsidRPr="001679C7">
        <w:t>=-.</w:t>
      </w:r>
      <w:r w:rsidR="000F73AD" w:rsidRPr="001679C7">
        <w:t>242</w:t>
      </w:r>
      <w:r w:rsidR="00676729" w:rsidRPr="001679C7">
        <w:t xml:space="preserve">, </w:t>
      </w:r>
      <w:r w:rsidR="00676729" w:rsidRPr="001679C7">
        <w:rPr>
          <w:i/>
          <w:iCs/>
        </w:rPr>
        <w:t>SE</w:t>
      </w:r>
      <w:r w:rsidR="008013D7" w:rsidRPr="001679C7">
        <w:t>=</w:t>
      </w:r>
      <w:r w:rsidR="00676729" w:rsidRPr="001679C7">
        <w:t>.</w:t>
      </w:r>
      <w:r w:rsidR="000F73AD" w:rsidRPr="001679C7">
        <w:t>090</w:t>
      </w:r>
      <w:r w:rsidR="00676729" w:rsidRPr="001679C7">
        <w:t xml:space="preserve">, </w:t>
      </w:r>
      <w:r w:rsidR="00350A4D" w:rsidRPr="001679C7">
        <w:rPr>
          <w:i/>
          <w:iCs/>
        </w:rPr>
        <w:t>p</w:t>
      </w:r>
      <w:r w:rsidR="00350A4D" w:rsidRPr="001679C7">
        <w:t>=.</w:t>
      </w:r>
      <w:r w:rsidR="000F73AD" w:rsidRPr="001679C7">
        <w:t>010</w:t>
      </w:r>
      <w:r w:rsidR="00676729" w:rsidRPr="001679C7">
        <w:t xml:space="preserve">, </w:t>
      </w:r>
      <w:r w:rsidR="00676729" w:rsidRPr="001679C7">
        <w:rPr>
          <w:i/>
          <w:iCs/>
        </w:rPr>
        <w:t>ΔR</w:t>
      </w:r>
      <w:r w:rsidR="00676729" w:rsidRPr="001679C7">
        <w:rPr>
          <w:i/>
          <w:iCs/>
          <w:vertAlign w:val="superscript"/>
        </w:rPr>
        <w:t>2</w:t>
      </w:r>
      <w:r w:rsidR="00676729" w:rsidRPr="001679C7">
        <w:t>=.</w:t>
      </w:r>
      <w:r w:rsidR="000F73AD" w:rsidRPr="001679C7">
        <w:t>109</w:t>
      </w:r>
      <w:r w:rsidR="00350A4D" w:rsidRPr="001679C7">
        <w:t>)</w:t>
      </w:r>
      <w:r w:rsidR="008D7A21" w:rsidRPr="001679C7">
        <w:t>, and pallidum (</w:t>
      </w:r>
      <w:r w:rsidR="008D7A21" w:rsidRPr="001679C7">
        <w:rPr>
          <w:i/>
          <w:iCs/>
        </w:rPr>
        <w:t>B</w:t>
      </w:r>
      <w:r w:rsidR="008D7A21" w:rsidRPr="001679C7">
        <w:t xml:space="preserve">=-.129, </w:t>
      </w:r>
      <w:r w:rsidR="008D7A21" w:rsidRPr="001679C7">
        <w:rPr>
          <w:i/>
          <w:iCs/>
        </w:rPr>
        <w:t>SE</w:t>
      </w:r>
      <w:r w:rsidR="008D7A21" w:rsidRPr="001679C7">
        <w:t xml:space="preserve">=.061, </w:t>
      </w:r>
      <w:r w:rsidR="008D7A21" w:rsidRPr="001679C7">
        <w:rPr>
          <w:i/>
          <w:iCs/>
        </w:rPr>
        <w:t>p</w:t>
      </w:r>
      <w:r w:rsidR="008D7A21" w:rsidRPr="001679C7">
        <w:t xml:space="preserve">=.041, </w:t>
      </w:r>
      <w:r w:rsidR="008D7A21" w:rsidRPr="001679C7">
        <w:rPr>
          <w:i/>
          <w:iCs/>
        </w:rPr>
        <w:t>ΔR</w:t>
      </w:r>
      <w:r w:rsidR="008D7A21" w:rsidRPr="001679C7">
        <w:rPr>
          <w:i/>
          <w:iCs/>
          <w:vertAlign w:val="superscript"/>
        </w:rPr>
        <w:t>2</w:t>
      </w:r>
      <w:r w:rsidR="008D7A21" w:rsidRPr="001679C7">
        <w:t xml:space="preserve">=.070) </w:t>
      </w:r>
      <w:r w:rsidR="00864BBD" w:rsidRPr="001679C7">
        <w:t xml:space="preserve">were </w:t>
      </w:r>
      <w:r w:rsidR="00350A4D" w:rsidRPr="001679C7">
        <w:t xml:space="preserve">associated with </w:t>
      </w:r>
      <w:r w:rsidR="00312E91" w:rsidRPr="001679C7">
        <w:t xml:space="preserve">greater </w:t>
      </w:r>
      <w:r w:rsidR="00350A4D" w:rsidRPr="001679C7">
        <w:t>SHAPS overall anhedonia</w:t>
      </w:r>
      <w:r w:rsidR="00864BBD" w:rsidRPr="001679C7">
        <w:t xml:space="preserve">. </w:t>
      </w:r>
      <w:r w:rsidR="008D7A21" w:rsidRPr="001679C7">
        <w:t xml:space="preserve">We did not detect </w:t>
      </w:r>
      <w:r w:rsidR="009D32A9" w:rsidRPr="001679C7">
        <w:t xml:space="preserve">an </w:t>
      </w:r>
      <w:r w:rsidR="008D7A21" w:rsidRPr="001679C7">
        <w:t xml:space="preserve">interaction effect </w:t>
      </w:r>
      <w:r w:rsidR="00CA6FD6" w:rsidRPr="001679C7">
        <w:t>with</w:t>
      </w:r>
      <w:r w:rsidR="008D7A21" w:rsidRPr="001679C7">
        <w:t xml:space="preserve"> the </w:t>
      </w:r>
      <w:r w:rsidR="00864BBD" w:rsidRPr="001679C7">
        <w:t>nucleus accumbens</w:t>
      </w:r>
      <w:r w:rsidR="00350A4D" w:rsidRPr="001679C7">
        <w:t xml:space="preserve"> (</w:t>
      </w:r>
      <w:proofErr w:type="spellStart"/>
      <w:r w:rsidR="008013D7" w:rsidRPr="001679C7">
        <w:t>NAc</w:t>
      </w:r>
      <w:proofErr w:type="spellEnd"/>
      <w:r w:rsidR="008013D7" w:rsidRPr="001679C7">
        <w:t xml:space="preserve">; </w:t>
      </w:r>
      <w:r w:rsidR="00676729" w:rsidRPr="001679C7">
        <w:rPr>
          <w:i/>
          <w:iCs/>
        </w:rPr>
        <w:t>B</w:t>
      </w:r>
      <w:r w:rsidR="00676729" w:rsidRPr="001679C7">
        <w:t>=.</w:t>
      </w:r>
      <w:r w:rsidR="0085640E" w:rsidRPr="001679C7">
        <w:t>079</w:t>
      </w:r>
      <w:r w:rsidR="00676729" w:rsidRPr="001679C7">
        <w:t xml:space="preserve">, </w:t>
      </w:r>
      <w:r w:rsidR="00676729" w:rsidRPr="001679C7">
        <w:rPr>
          <w:i/>
          <w:iCs/>
        </w:rPr>
        <w:t>SE</w:t>
      </w:r>
      <w:r w:rsidR="00676729" w:rsidRPr="001679C7">
        <w:t>=.</w:t>
      </w:r>
      <w:r w:rsidR="0085640E" w:rsidRPr="001679C7">
        <w:t>087</w:t>
      </w:r>
      <w:r w:rsidR="00676729" w:rsidRPr="001679C7">
        <w:t xml:space="preserve">, </w:t>
      </w:r>
      <w:r w:rsidR="00350A4D" w:rsidRPr="001679C7">
        <w:rPr>
          <w:i/>
          <w:iCs/>
        </w:rPr>
        <w:t>p</w:t>
      </w:r>
      <w:r w:rsidR="00350A4D" w:rsidRPr="001679C7">
        <w:t>=.</w:t>
      </w:r>
      <w:r w:rsidR="0085640E" w:rsidRPr="001679C7">
        <w:t>371</w:t>
      </w:r>
      <w:r w:rsidR="00731A56" w:rsidRPr="001679C7">
        <w:t xml:space="preserve">, </w:t>
      </w:r>
      <w:r w:rsidR="00731A56" w:rsidRPr="001679C7">
        <w:rPr>
          <w:i/>
          <w:iCs/>
        </w:rPr>
        <w:t>ΔR</w:t>
      </w:r>
      <w:r w:rsidR="00731A56" w:rsidRPr="001679C7">
        <w:rPr>
          <w:i/>
          <w:iCs/>
          <w:vertAlign w:val="superscript"/>
        </w:rPr>
        <w:t>2</w:t>
      </w:r>
      <w:r w:rsidR="00731A56" w:rsidRPr="001679C7">
        <w:t>=.0</w:t>
      </w:r>
      <w:r w:rsidR="0085640E" w:rsidRPr="001679C7">
        <w:t>16</w:t>
      </w:r>
      <w:r w:rsidR="00350A4D" w:rsidRPr="001679C7">
        <w:t xml:space="preserve">). </w:t>
      </w:r>
    </w:p>
    <w:p w14:paraId="71221EE2" w14:textId="1CCD7676" w:rsidR="00350A4D" w:rsidRPr="001679C7" w:rsidRDefault="00FD287C" w:rsidP="00431677">
      <w:pPr>
        <w:spacing w:line="480" w:lineRule="auto"/>
        <w:ind w:firstLine="720"/>
      </w:pPr>
      <w:r>
        <w:rPr>
          <w:color w:val="000000" w:themeColor="text1"/>
        </w:rPr>
        <w:t>We also detected a</w:t>
      </w:r>
      <w:r w:rsidR="005641AD">
        <w:rPr>
          <w:color w:val="000000" w:themeColor="text1"/>
        </w:rPr>
        <w:t>n</w:t>
      </w:r>
      <w:r>
        <w:rPr>
          <w:color w:val="000000" w:themeColor="text1"/>
        </w:rPr>
        <w:t xml:space="preserve"> interaction effect between dopamine availability in the </w:t>
      </w:r>
      <w:r w:rsidR="009B0970">
        <w:rPr>
          <w:color w:val="000000" w:themeColor="text1"/>
        </w:rPr>
        <w:t>putamen and pallidum</w:t>
      </w:r>
      <w:r>
        <w:rPr>
          <w:color w:val="000000" w:themeColor="text1"/>
        </w:rPr>
        <w:t xml:space="preserve"> and </w:t>
      </w:r>
      <w:r w:rsidR="00312E91">
        <w:rPr>
          <w:color w:val="000000" w:themeColor="text1"/>
        </w:rPr>
        <w:t xml:space="preserve">immune </w:t>
      </w:r>
      <w:r>
        <w:rPr>
          <w:color w:val="000000" w:themeColor="text1"/>
        </w:rPr>
        <w:t xml:space="preserve">PC1 </w:t>
      </w:r>
      <w:r w:rsidR="00312E91">
        <w:rPr>
          <w:color w:val="000000" w:themeColor="text1"/>
        </w:rPr>
        <w:t>scores</w:t>
      </w:r>
      <w:r>
        <w:rPr>
          <w:color w:val="000000" w:themeColor="text1"/>
        </w:rPr>
        <w:t xml:space="preserve"> on anticipatory </w:t>
      </w:r>
      <w:r w:rsidRPr="001679C7">
        <w:t xml:space="preserve">anhedonia. Specifically, for </w:t>
      </w:r>
      <w:r w:rsidR="00512D15" w:rsidRPr="001679C7">
        <w:t xml:space="preserve">participants </w:t>
      </w:r>
      <w:r w:rsidR="009B0970" w:rsidRPr="001679C7">
        <w:t xml:space="preserve">in the top 58.62% and </w:t>
      </w:r>
      <w:r w:rsidR="0077518E" w:rsidRPr="001679C7">
        <w:t>67.24% of immune PC1 scores</w:t>
      </w:r>
      <w:r w:rsidR="009B0970" w:rsidRPr="001679C7">
        <w:t>, respectively</w:t>
      </w:r>
      <w:r w:rsidR="00350A4D" w:rsidRPr="001679C7">
        <w:t xml:space="preserve">, </w:t>
      </w:r>
      <w:r w:rsidR="00551A6A" w:rsidRPr="001679C7">
        <w:t xml:space="preserve">lower dopamine availability in </w:t>
      </w:r>
      <w:r w:rsidR="0077518E" w:rsidRPr="001679C7">
        <w:t>the putamen (</w:t>
      </w:r>
      <w:r w:rsidR="0077518E" w:rsidRPr="001679C7">
        <w:rPr>
          <w:i/>
          <w:iCs/>
        </w:rPr>
        <w:t>B</w:t>
      </w:r>
      <w:r w:rsidR="0077518E" w:rsidRPr="001679C7">
        <w:t xml:space="preserve">=.187, </w:t>
      </w:r>
      <w:r w:rsidR="0077518E" w:rsidRPr="001679C7">
        <w:rPr>
          <w:i/>
          <w:iCs/>
        </w:rPr>
        <w:t>SE</w:t>
      </w:r>
      <w:r w:rsidR="0077518E" w:rsidRPr="001679C7">
        <w:t xml:space="preserve">=.076, </w:t>
      </w:r>
      <w:r w:rsidR="0077518E" w:rsidRPr="001679C7">
        <w:rPr>
          <w:i/>
          <w:iCs/>
        </w:rPr>
        <w:t>p</w:t>
      </w:r>
      <w:r w:rsidR="0077518E" w:rsidRPr="001679C7">
        <w:t xml:space="preserve">=.017, </w:t>
      </w:r>
      <w:r w:rsidR="0077518E" w:rsidRPr="001679C7">
        <w:rPr>
          <w:i/>
          <w:iCs/>
        </w:rPr>
        <w:t>ΔR</w:t>
      </w:r>
      <w:r w:rsidR="0077518E" w:rsidRPr="001679C7">
        <w:rPr>
          <w:i/>
          <w:iCs/>
          <w:vertAlign w:val="superscript"/>
        </w:rPr>
        <w:t>2</w:t>
      </w:r>
      <w:r w:rsidR="0077518E" w:rsidRPr="001679C7">
        <w:t>=.079) and pallidum (</w:t>
      </w:r>
      <w:r w:rsidR="0077518E" w:rsidRPr="001679C7">
        <w:rPr>
          <w:i/>
          <w:iCs/>
        </w:rPr>
        <w:t>B</w:t>
      </w:r>
      <w:r w:rsidR="0077518E" w:rsidRPr="001679C7">
        <w:t xml:space="preserve">=.128, </w:t>
      </w:r>
      <w:r w:rsidR="0077518E" w:rsidRPr="001679C7">
        <w:rPr>
          <w:i/>
          <w:iCs/>
        </w:rPr>
        <w:t>SE</w:t>
      </w:r>
      <w:r w:rsidR="0077518E" w:rsidRPr="001679C7">
        <w:t xml:space="preserve">=.051, </w:t>
      </w:r>
      <w:r w:rsidR="0077518E" w:rsidRPr="001679C7">
        <w:rPr>
          <w:i/>
          <w:iCs/>
        </w:rPr>
        <w:t>p</w:t>
      </w:r>
      <w:r w:rsidR="0077518E" w:rsidRPr="001679C7">
        <w:t xml:space="preserve">=.016, </w:t>
      </w:r>
      <w:r w:rsidR="0077518E" w:rsidRPr="001679C7">
        <w:rPr>
          <w:i/>
          <w:iCs/>
        </w:rPr>
        <w:t>ΔR</w:t>
      </w:r>
      <w:r w:rsidR="0077518E" w:rsidRPr="001679C7">
        <w:rPr>
          <w:i/>
          <w:iCs/>
          <w:vertAlign w:val="superscript"/>
        </w:rPr>
        <w:t>2</w:t>
      </w:r>
      <w:r w:rsidR="0077518E" w:rsidRPr="001679C7">
        <w:t xml:space="preserve">=.083) </w:t>
      </w:r>
      <w:r w:rsidR="009B0970" w:rsidRPr="001679C7">
        <w:t xml:space="preserve">were </w:t>
      </w:r>
      <w:r w:rsidR="00350A4D" w:rsidRPr="001679C7">
        <w:t xml:space="preserve">associated with </w:t>
      </w:r>
      <w:r w:rsidR="0077518E" w:rsidRPr="001679C7">
        <w:t xml:space="preserve">greater </w:t>
      </w:r>
      <w:r w:rsidR="00350A4D" w:rsidRPr="001679C7">
        <w:t>PVSS anticipatory anhedonia</w:t>
      </w:r>
      <w:r w:rsidR="009B0970" w:rsidRPr="001679C7">
        <w:t xml:space="preserve">. </w:t>
      </w:r>
      <w:r w:rsidR="00CA6FD6" w:rsidRPr="001679C7">
        <w:t>Such</w:t>
      </w:r>
      <w:r w:rsidR="00350A4D" w:rsidRPr="001679C7">
        <w:t xml:space="preserve"> </w:t>
      </w:r>
      <w:r w:rsidR="00551A6A" w:rsidRPr="001679C7">
        <w:t xml:space="preserve">interaction </w:t>
      </w:r>
      <w:r w:rsidR="00350A4D" w:rsidRPr="001679C7">
        <w:t>effects</w:t>
      </w:r>
      <w:r w:rsidR="00CA6FD6" w:rsidRPr="001679C7">
        <w:t xml:space="preserve"> were not observed</w:t>
      </w:r>
      <w:r w:rsidR="00350A4D" w:rsidRPr="001679C7">
        <w:t xml:space="preserve"> </w:t>
      </w:r>
      <w:r w:rsidR="00CA6FD6" w:rsidRPr="001679C7">
        <w:t xml:space="preserve">with </w:t>
      </w:r>
      <w:r w:rsidR="00350A4D" w:rsidRPr="001679C7">
        <w:t xml:space="preserve">other subregions </w:t>
      </w:r>
      <w:r w:rsidR="009B0970" w:rsidRPr="001679C7">
        <w:t>(</w:t>
      </w:r>
      <w:r w:rsidR="00350A4D" w:rsidRPr="001679C7">
        <w:t xml:space="preserve">caudate: </w:t>
      </w:r>
      <w:r w:rsidR="00551A6A" w:rsidRPr="001679C7">
        <w:rPr>
          <w:i/>
          <w:iCs/>
        </w:rPr>
        <w:t>B</w:t>
      </w:r>
      <w:r w:rsidR="00551A6A" w:rsidRPr="001679C7">
        <w:t>=.</w:t>
      </w:r>
      <w:r w:rsidR="00FA6AC2" w:rsidRPr="001679C7">
        <w:t>155</w:t>
      </w:r>
      <w:r w:rsidR="00551A6A" w:rsidRPr="001679C7">
        <w:t xml:space="preserve">, </w:t>
      </w:r>
      <w:r w:rsidR="00551A6A" w:rsidRPr="001679C7">
        <w:rPr>
          <w:i/>
          <w:iCs/>
        </w:rPr>
        <w:t>SE</w:t>
      </w:r>
      <w:r w:rsidR="00551A6A" w:rsidRPr="001679C7">
        <w:t>=.</w:t>
      </w:r>
      <w:r w:rsidR="00FA6AC2" w:rsidRPr="001679C7">
        <w:t>136</w:t>
      </w:r>
      <w:r w:rsidR="00551A6A" w:rsidRPr="001679C7">
        <w:t xml:space="preserve">, </w:t>
      </w:r>
      <w:r w:rsidR="00350A4D" w:rsidRPr="001679C7">
        <w:rPr>
          <w:i/>
          <w:iCs/>
        </w:rPr>
        <w:t>p</w:t>
      </w:r>
      <w:r w:rsidR="00350A4D" w:rsidRPr="001679C7">
        <w:t>=.</w:t>
      </w:r>
      <w:r w:rsidR="00FA6AC2" w:rsidRPr="001679C7">
        <w:t>262</w:t>
      </w:r>
      <w:r w:rsidR="00551A6A" w:rsidRPr="001679C7">
        <w:t xml:space="preserve">, </w:t>
      </w:r>
      <w:r w:rsidR="00551A6A" w:rsidRPr="001679C7">
        <w:rPr>
          <w:i/>
          <w:iCs/>
        </w:rPr>
        <w:t>ΔR</w:t>
      </w:r>
      <w:r w:rsidR="00551A6A" w:rsidRPr="001679C7">
        <w:rPr>
          <w:i/>
          <w:iCs/>
          <w:vertAlign w:val="superscript"/>
        </w:rPr>
        <w:t>2</w:t>
      </w:r>
      <w:r w:rsidR="00551A6A" w:rsidRPr="001679C7">
        <w:t>=.</w:t>
      </w:r>
      <w:r w:rsidR="00FA6AC2" w:rsidRPr="001679C7">
        <w:t>018</w:t>
      </w:r>
      <w:r w:rsidR="00551A6A" w:rsidRPr="001679C7">
        <w:t>;</w:t>
      </w:r>
      <w:r w:rsidR="00350A4D" w:rsidRPr="001679C7">
        <w:t xml:space="preserve"> </w:t>
      </w:r>
      <w:proofErr w:type="spellStart"/>
      <w:r w:rsidR="00350A4D" w:rsidRPr="001679C7">
        <w:t>NAc</w:t>
      </w:r>
      <w:proofErr w:type="spellEnd"/>
      <w:r w:rsidR="00350A4D" w:rsidRPr="001679C7">
        <w:t xml:space="preserve">: </w:t>
      </w:r>
      <w:r w:rsidR="009F419C" w:rsidRPr="001679C7">
        <w:rPr>
          <w:i/>
          <w:iCs/>
        </w:rPr>
        <w:t>B</w:t>
      </w:r>
      <w:r w:rsidR="009F419C" w:rsidRPr="001679C7">
        <w:t>=</w:t>
      </w:r>
      <w:r w:rsidR="008013D7" w:rsidRPr="001679C7">
        <w:t>.</w:t>
      </w:r>
      <w:r w:rsidR="00F7055E" w:rsidRPr="001679C7">
        <w:t>042</w:t>
      </w:r>
      <w:r w:rsidR="009F419C" w:rsidRPr="001679C7">
        <w:t xml:space="preserve">, </w:t>
      </w:r>
      <w:r w:rsidR="009F419C" w:rsidRPr="001679C7">
        <w:rPr>
          <w:i/>
          <w:iCs/>
        </w:rPr>
        <w:t>SE</w:t>
      </w:r>
      <w:r w:rsidR="009F419C" w:rsidRPr="001679C7">
        <w:t>=.</w:t>
      </w:r>
      <w:r w:rsidR="00F7055E" w:rsidRPr="001679C7">
        <w:t>075</w:t>
      </w:r>
      <w:r w:rsidR="009F419C" w:rsidRPr="001679C7">
        <w:t xml:space="preserve">, </w:t>
      </w:r>
      <w:r w:rsidR="00350A4D" w:rsidRPr="001679C7">
        <w:rPr>
          <w:i/>
          <w:iCs/>
        </w:rPr>
        <w:t>p</w:t>
      </w:r>
      <w:r w:rsidR="00350A4D" w:rsidRPr="001679C7">
        <w:t>=.</w:t>
      </w:r>
      <w:r w:rsidR="00F7055E" w:rsidRPr="001679C7">
        <w:t>583</w:t>
      </w:r>
      <w:r w:rsidR="009F419C" w:rsidRPr="001679C7">
        <w:t xml:space="preserve">, </w:t>
      </w:r>
      <w:r w:rsidR="009F419C" w:rsidRPr="001679C7">
        <w:rPr>
          <w:i/>
          <w:iCs/>
        </w:rPr>
        <w:t>ΔR</w:t>
      </w:r>
      <w:r w:rsidR="009F419C" w:rsidRPr="001679C7">
        <w:rPr>
          <w:i/>
          <w:iCs/>
          <w:vertAlign w:val="superscript"/>
        </w:rPr>
        <w:t>2</w:t>
      </w:r>
      <w:r w:rsidR="009F419C" w:rsidRPr="001679C7">
        <w:t>=.</w:t>
      </w:r>
      <w:r w:rsidR="00F7055E" w:rsidRPr="001679C7">
        <w:t>005</w:t>
      </w:r>
      <w:r w:rsidR="00350A4D" w:rsidRPr="001679C7">
        <w:t>)</w:t>
      </w:r>
      <w:r w:rsidR="00864BBD" w:rsidRPr="001679C7">
        <w:t xml:space="preserve">. </w:t>
      </w:r>
    </w:p>
    <w:p w14:paraId="477ABD8D" w14:textId="77777777" w:rsidR="00B738EC" w:rsidRPr="009E7D91" w:rsidRDefault="00B738EC" w:rsidP="00C452E8">
      <w:pPr>
        <w:spacing w:line="480" w:lineRule="auto"/>
        <w:rPr>
          <w:b/>
          <w:bCs/>
          <w:color w:val="000000" w:themeColor="text1"/>
        </w:rPr>
      </w:pPr>
      <w:r w:rsidRPr="009E7D91">
        <w:rPr>
          <w:b/>
          <w:bCs/>
          <w:color w:val="000000" w:themeColor="text1"/>
        </w:rPr>
        <w:t xml:space="preserve">Exploratory </w:t>
      </w:r>
      <w:proofErr w:type="spellStart"/>
      <w:r w:rsidRPr="009E7D91">
        <w:rPr>
          <w:b/>
          <w:bCs/>
          <w:color w:val="000000" w:themeColor="text1"/>
        </w:rPr>
        <w:t>Analysese</w:t>
      </w:r>
      <w:proofErr w:type="spellEnd"/>
    </w:p>
    <w:p w14:paraId="71E57369" w14:textId="45D2B6DA" w:rsidR="00280469" w:rsidRPr="009E7D91" w:rsidRDefault="00350A4D" w:rsidP="00C452E8">
      <w:pPr>
        <w:spacing w:line="480" w:lineRule="auto"/>
        <w:rPr>
          <w:b/>
          <w:bCs/>
          <w:i/>
          <w:iCs/>
          <w:color w:val="000000" w:themeColor="text1"/>
        </w:rPr>
      </w:pPr>
      <w:r w:rsidRPr="009E7D91">
        <w:rPr>
          <w:b/>
          <w:bCs/>
          <w:i/>
          <w:iCs/>
          <w:color w:val="000000" w:themeColor="text1"/>
        </w:rPr>
        <w:lastRenderedPageBreak/>
        <w:t>Other Immune Principal Components (P</w:t>
      </w:r>
      <w:r w:rsidR="00473CEF" w:rsidRPr="009E7D91">
        <w:rPr>
          <w:b/>
          <w:bCs/>
          <w:i/>
          <w:iCs/>
          <w:color w:val="000000" w:themeColor="text1"/>
        </w:rPr>
        <w:t>C2</w:t>
      </w:r>
      <w:r w:rsidR="00420D51" w:rsidRPr="009E7D91">
        <w:rPr>
          <w:b/>
          <w:bCs/>
          <w:i/>
          <w:iCs/>
          <w:color w:val="000000" w:themeColor="text1"/>
        </w:rPr>
        <w:t>–</w:t>
      </w:r>
      <w:r w:rsidR="00473CEF" w:rsidRPr="009E7D91">
        <w:rPr>
          <w:b/>
          <w:bCs/>
          <w:i/>
          <w:iCs/>
          <w:color w:val="000000" w:themeColor="text1"/>
        </w:rPr>
        <w:t>PC5</w:t>
      </w:r>
      <w:r w:rsidRPr="009E7D91">
        <w:rPr>
          <w:b/>
          <w:bCs/>
          <w:i/>
          <w:iCs/>
          <w:color w:val="000000" w:themeColor="text1"/>
        </w:rPr>
        <w:t xml:space="preserve">) </w:t>
      </w:r>
    </w:p>
    <w:p w14:paraId="696AD95A" w14:textId="52B8A98C" w:rsidR="00311224" w:rsidRPr="001679C7" w:rsidRDefault="00325CC7" w:rsidP="008C4E19">
      <w:pPr>
        <w:spacing w:line="480" w:lineRule="auto"/>
        <w:ind w:firstLine="720"/>
      </w:pPr>
      <w:r>
        <w:rPr>
          <w:color w:val="000000" w:themeColor="text1"/>
        </w:rPr>
        <w:t>L</w:t>
      </w:r>
      <w:r w:rsidR="00AE7E2B" w:rsidRPr="004B66F7">
        <w:rPr>
          <w:color w:val="000000" w:themeColor="text1"/>
        </w:rPr>
        <w:t xml:space="preserve">ower </w:t>
      </w:r>
      <w:r w:rsidR="007C1CBD" w:rsidRPr="004B66F7">
        <w:rPr>
          <w:color w:val="000000" w:themeColor="text1"/>
        </w:rPr>
        <w:t>PC2 score</w:t>
      </w:r>
      <w:r w:rsidR="009E7769">
        <w:rPr>
          <w:color w:val="000000" w:themeColor="text1"/>
        </w:rPr>
        <w:t>s</w:t>
      </w:r>
      <w:r w:rsidR="007C1CBD" w:rsidRPr="004B66F7">
        <w:rPr>
          <w:color w:val="000000" w:themeColor="text1"/>
        </w:rPr>
        <w:t xml:space="preserve"> </w:t>
      </w:r>
      <w:r w:rsidR="009E7769">
        <w:rPr>
          <w:color w:val="000000" w:themeColor="text1"/>
        </w:rPr>
        <w:t>were</w:t>
      </w:r>
      <w:r w:rsidR="009E7769" w:rsidRPr="004B66F7">
        <w:rPr>
          <w:color w:val="000000" w:themeColor="text1"/>
        </w:rPr>
        <w:t xml:space="preserve"> </w:t>
      </w:r>
      <w:r w:rsidR="007C1CBD" w:rsidRPr="004B66F7">
        <w:rPr>
          <w:color w:val="000000" w:themeColor="text1"/>
        </w:rPr>
        <w:t xml:space="preserve">associated </w:t>
      </w:r>
      <w:r w:rsidR="007C1CBD" w:rsidRPr="001679C7">
        <w:t xml:space="preserve">with </w:t>
      </w:r>
      <w:r w:rsidR="00361DA6" w:rsidRPr="001679C7">
        <w:t xml:space="preserve">greater </w:t>
      </w:r>
      <w:r w:rsidR="007C1CBD" w:rsidRPr="001679C7">
        <w:t xml:space="preserve">PVSS overall anhedonia </w:t>
      </w:r>
      <w:r w:rsidR="005168AF" w:rsidRPr="001679C7">
        <w:t>(</w:t>
      </w:r>
      <w:r w:rsidR="007C1CBD" w:rsidRPr="001679C7">
        <w:rPr>
          <w:i/>
          <w:iCs/>
        </w:rPr>
        <w:t>B</w:t>
      </w:r>
      <w:r w:rsidR="007C1CBD" w:rsidRPr="001679C7">
        <w:t>=.</w:t>
      </w:r>
      <w:r w:rsidR="00A3626D" w:rsidRPr="001679C7">
        <w:t>169</w:t>
      </w:r>
      <w:r w:rsidR="007C1CBD" w:rsidRPr="001679C7">
        <w:t xml:space="preserve">, </w:t>
      </w:r>
      <w:r w:rsidR="007C1CBD" w:rsidRPr="001679C7">
        <w:rPr>
          <w:i/>
          <w:iCs/>
        </w:rPr>
        <w:t>SE</w:t>
      </w:r>
      <w:r w:rsidR="007C1CBD" w:rsidRPr="001679C7">
        <w:t>=.</w:t>
      </w:r>
      <w:r w:rsidR="00A3626D" w:rsidRPr="001679C7">
        <w:t>068</w:t>
      </w:r>
      <w:r w:rsidR="007C1CBD" w:rsidRPr="001679C7">
        <w:t xml:space="preserve">, </w:t>
      </w:r>
      <w:r w:rsidR="007C1CBD" w:rsidRPr="001679C7">
        <w:rPr>
          <w:i/>
          <w:iCs/>
        </w:rPr>
        <w:t>p</w:t>
      </w:r>
      <w:r w:rsidR="007C1CBD" w:rsidRPr="001679C7">
        <w:t>=.</w:t>
      </w:r>
      <w:r w:rsidR="00A3626D" w:rsidRPr="001679C7">
        <w:t>016</w:t>
      </w:r>
      <w:r w:rsidR="00380B86" w:rsidRPr="001679C7">
        <w:t xml:space="preserve">, </w:t>
      </w:r>
      <w:r w:rsidR="00380B86" w:rsidRPr="001679C7">
        <w:rPr>
          <w:i/>
          <w:iCs/>
        </w:rPr>
        <w:t>ΔR</w:t>
      </w:r>
      <w:r w:rsidR="00380B86" w:rsidRPr="001679C7">
        <w:rPr>
          <w:i/>
          <w:iCs/>
          <w:vertAlign w:val="superscript"/>
        </w:rPr>
        <w:t>2</w:t>
      </w:r>
      <w:r w:rsidR="00380B86" w:rsidRPr="001679C7">
        <w:t>=.</w:t>
      </w:r>
      <w:r w:rsidR="00A3626D" w:rsidRPr="001679C7">
        <w:t>092</w:t>
      </w:r>
      <w:r w:rsidR="005168AF" w:rsidRPr="001679C7">
        <w:t>)</w:t>
      </w:r>
      <w:r w:rsidR="007C1CBD" w:rsidRPr="001679C7">
        <w:t>. The</w:t>
      </w:r>
      <w:r w:rsidR="003E0AAE" w:rsidRPr="001679C7">
        <w:t xml:space="preserve"> </w:t>
      </w:r>
      <w:r w:rsidR="007C1CBD" w:rsidRPr="001679C7">
        <w:t xml:space="preserve">interaction effect </w:t>
      </w:r>
      <w:r w:rsidR="003E0AAE" w:rsidRPr="001679C7">
        <w:t>between dopamine availability</w:t>
      </w:r>
      <w:r w:rsidR="00A3261C" w:rsidRPr="001679C7">
        <w:t xml:space="preserve"> in the basal ganglia</w:t>
      </w:r>
      <w:r w:rsidR="003E0AAE" w:rsidRPr="001679C7">
        <w:t xml:space="preserve"> and PC2 </w:t>
      </w:r>
      <w:r w:rsidR="00311224" w:rsidRPr="001679C7">
        <w:t xml:space="preserve">on PVSS overall anhedonia </w:t>
      </w:r>
      <w:r w:rsidR="007C1CBD" w:rsidRPr="001679C7">
        <w:t>was not significant</w:t>
      </w:r>
      <w:r w:rsidR="00A3261C" w:rsidRPr="001679C7">
        <w:t xml:space="preserve">, </w:t>
      </w:r>
      <w:r w:rsidR="007C1CBD" w:rsidRPr="001679C7">
        <w:rPr>
          <w:i/>
          <w:iCs/>
        </w:rPr>
        <w:t>B</w:t>
      </w:r>
      <w:r w:rsidR="007C1CBD" w:rsidRPr="001679C7">
        <w:t>=</w:t>
      </w:r>
      <w:r w:rsidR="00361DA6" w:rsidRPr="001679C7">
        <w:t>-</w:t>
      </w:r>
      <w:r w:rsidR="007C1CBD" w:rsidRPr="001679C7">
        <w:t>.</w:t>
      </w:r>
      <w:r w:rsidR="00361DA6" w:rsidRPr="001679C7">
        <w:t>004</w:t>
      </w:r>
      <w:r w:rsidR="007C1CBD" w:rsidRPr="001679C7">
        <w:t xml:space="preserve">, </w:t>
      </w:r>
      <w:r w:rsidR="007C1CBD" w:rsidRPr="001679C7">
        <w:rPr>
          <w:i/>
          <w:iCs/>
        </w:rPr>
        <w:t>SE</w:t>
      </w:r>
      <w:r w:rsidR="007C1CBD" w:rsidRPr="001679C7">
        <w:t>=.03</w:t>
      </w:r>
      <w:r w:rsidR="00361DA6" w:rsidRPr="001679C7">
        <w:t>3</w:t>
      </w:r>
      <w:r w:rsidR="007C1CBD" w:rsidRPr="001679C7">
        <w:t xml:space="preserve">, </w:t>
      </w:r>
      <w:r w:rsidR="007C1CBD" w:rsidRPr="001679C7">
        <w:rPr>
          <w:i/>
          <w:iCs/>
        </w:rPr>
        <w:t>p</w:t>
      </w:r>
      <w:r w:rsidR="007C1CBD" w:rsidRPr="001679C7">
        <w:t>=.</w:t>
      </w:r>
      <w:r w:rsidR="00361DA6" w:rsidRPr="001679C7">
        <w:t>911</w:t>
      </w:r>
      <w:r w:rsidR="001230B6" w:rsidRPr="001679C7">
        <w:t xml:space="preserve">, </w:t>
      </w:r>
      <w:r w:rsidR="001230B6" w:rsidRPr="001679C7">
        <w:rPr>
          <w:i/>
          <w:iCs/>
        </w:rPr>
        <w:t>ΔR</w:t>
      </w:r>
      <w:r w:rsidR="001230B6" w:rsidRPr="001679C7">
        <w:rPr>
          <w:i/>
          <w:iCs/>
          <w:vertAlign w:val="superscript"/>
        </w:rPr>
        <w:t>2</w:t>
      </w:r>
      <w:r w:rsidR="001230B6" w:rsidRPr="001679C7">
        <w:t>=.001</w:t>
      </w:r>
      <w:r w:rsidR="007C1CBD" w:rsidRPr="001679C7">
        <w:t>.</w:t>
      </w:r>
      <w:r w:rsidR="00311224" w:rsidRPr="001679C7">
        <w:t xml:space="preserve"> There </w:t>
      </w:r>
      <w:proofErr w:type="gramStart"/>
      <w:r w:rsidR="00311224" w:rsidRPr="001679C7">
        <w:t>were</w:t>
      </w:r>
      <w:proofErr w:type="gramEnd"/>
      <w:r w:rsidR="00311224" w:rsidRPr="001679C7">
        <w:t xml:space="preserve"> no main effect </w:t>
      </w:r>
      <w:r w:rsidRPr="001679C7">
        <w:t xml:space="preserve">for PC2 score </w:t>
      </w:r>
      <w:r w:rsidR="00A3261C" w:rsidRPr="001679C7">
        <w:t>(</w:t>
      </w:r>
      <w:r w:rsidR="00A3261C" w:rsidRPr="001679C7">
        <w:rPr>
          <w:i/>
          <w:iCs/>
        </w:rPr>
        <w:t>B</w:t>
      </w:r>
      <w:r w:rsidR="00A3261C" w:rsidRPr="001679C7">
        <w:t>=-.</w:t>
      </w:r>
      <w:r w:rsidR="001C7F75" w:rsidRPr="001679C7">
        <w:t>408</w:t>
      </w:r>
      <w:r w:rsidR="00A3261C" w:rsidRPr="001679C7">
        <w:t xml:space="preserve">, </w:t>
      </w:r>
      <w:r w:rsidR="00A3261C" w:rsidRPr="001679C7">
        <w:rPr>
          <w:i/>
          <w:iCs/>
        </w:rPr>
        <w:t>SE</w:t>
      </w:r>
      <w:r w:rsidR="00A3261C" w:rsidRPr="001679C7">
        <w:t>=.</w:t>
      </w:r>
      <w:r w:rsidR="001C7F75" w:rsidRPr="001679C7">
        <w:t>316</w:t>
      </w:r>
      <w:r w:rsidR="00A3261C" w:rsidRPr="001679C7">
        <w:t xml:space="preserve">, </w:t>
      </w:r>
      <w:r w:rsidR="00A3261C" w:rsidRPr="001679C7">
        <w:rPr>
          <w:i/>
          <w:iCs/>
        </w:rPr>
        <w:t>p</w:t>
      </w:r>
      <w:r w:rsidR="00A3261C" w:rsidRPr="001679C7">
        <w:t>=.</w:t>
      </w:r>
      <w:r w:rsidR="001C7F75" w:rsidRPr="001679C7">
        <w:t>203</w:t>
      </w:r>
      <w:r w:rsidR="00A3261C" w:rsidRPr="001679C7">
        <w:t xml:space="preserve">, </w:t>
      </w:r>
      <w:r w:rsidR="00A3261C" w:rsidRPr="001679C7">
        <w:rPr>
          <w:i/>
          <w:iCs/>
        </w:rPr>
        <w:t>ΔR</w:t>
      </w:r>
      <w:r w:rsidR="00A3261C" w:rsidRPr="001679C7">
        <w:rPr>
          <w:i/>
          <w:iCs/>
          <w:vertAlign w:val="superscript"/>
        </w:rPr>
        <w:t>2</w:t>
      </w:r>
      <w:r w:rsidR="00A3261C" w:rsidRPr="001679C7">
        <w:t>= .</w:t>
      </w:r>
      <w:r w:rsidR="001C7F75" w:rsidRPr="001679C7">
        <w:t>027</w:t>
      </w:r>
      <w:r w:rsidR="00A3261C" w:rsidRPr="001679C7">
        <w:t xml:space="preserve">) </w:t>
      </w:r>
      <w:r w:rsidR="00311224" w:rsidRPr="001679C7">
        <w:t xml:space="preserve">or </w:t>
      </w:r>
      <w:r w:rsidR="00324E4E" w:rsidRPr="001679C7">
        <w:t xml:space="preserve">interaction effect between </w:t>
      </w:r>
      <w:r w:rsidR="00A3261C" w:rsidRPr="001679C7">
        <w:t xml:space="preserve">basal ganglia </w:t>
      </w:r>
      <w:r w:rsidR="003E0AAE" w:rsidRPr="001679C7">
        <w:t xml:space="preserve">dopamine availability </w:t>
      </w:r>
      <w:r w:rsidR="00324E4E" w:rsidRPr="001679C7">
        <w:t>and</w:t>
      </w:r>
      <w:r w:rsidR="003E0AAE" w:rsidRPr="001679C7">
        <w:t xml:space="preserve"> PC2 </w:t>
      </w:r>
      <w:r w:rsidR="00311224" w:rsidRPr="001679C7">
        <w:t>on SHAPS overall anhedonia</w:t>
      </w:r>
      <w:r w:rsidR="00A3261C" w:rsidRPr="001679C7">
        <w:t xml:space="preserve"> (</w:t>
      </w:r>
      <w:r w:rsidR="001230B6" w:rsidRPr="001679C7">
        <w:rPr>
          <w:i/>
          <w:iCs/>
        </w:rPr>
        <w:t>B</w:t>
      </w:r>
      <w:r w:rsidR="001230B6" w:rsidRPr="001679C7">
        <w:t>=-.</w:t>
      </w:r>
      <w:r w:rsidR="00A3626D" w:rsidRPr="001679C7">
        <w:t>102</w:t>
      </w:r>
      <w:r w:rsidR="001230B6" w:rsidRPr="001679C7">
        <w:t xml:space="preserve">, </w:t>
      </w:r>
      <w:r w:rsidR="001230B6" w:rsidRPr="001679C7">
        <w:rPr>
          <w:i/>
          <w:iCs/>
        </w:rPr>
        <w:t>SE</w:t>
      </w:r>
      <w:r w:rsidR="001230B6" w:rsidRPr="001679C7">
        <w:t>=.</w:t>
      </w:r>
      <w:r w:rsidR="00A3626D" w:rsidRPr="001679C7">
        <w:t>155</w:t>
      </w:r>
      <w:r w:rsidR="001230B6" w:rsidRPr="001679C7">
        <w:t xml:space="preserve">, </w:t>
      </w:r>
      <w:r w:rsidR="001230B6" w:rsidRPr="001679C7">
        <w:rPr>
          <w:i/>
          <w:iCs/>
        </w:rPr>
        <w:t>p</w:t>
      </w:r>
      <w:r w:rsidR="001230B6" w:rsidRPr="001679C7">
        <w:t>=.</w:t>
      </w:r>
      <w:r w:rsidR="00A3626D" w:rsidRPr="001679C7">
        <w:t>513</w:t>
      </w:r>
      <w:r w:rsidR="001230B6" w:rsidRPr="001679C7">
        <w:t xml:space="preserve">, </w:t>
      </w:r>
      <w:r w:rsidR="001230B6" w:rsidRPr="001679C7">
        <w:rPr>
          <w:i/>
          <w:iCs/>
        </w:rPr>
        <w:t>ΔR</w:t>
      </w:r>
      <w:r w:rsidR="001230B6" w:rsidRPr="001679C7">
        <w:rPr>
          <w:i/>
          <w:iCs/>
          <w:vertAlign w:val="superscript"/>
        </w:rPr>
        <w:t>2</w:t>
      </w:r>
      <w:r w:rsidR="001230B6" w:rsidRPr="001679C7">
        <w:t>=.</w:t>
      </w:r>
      <w:r w:rsidR="00A3626D" w:rsidRPr="001679C7">
        <w:t>007</w:t>
      </w:r>
      <w:r w:rsidR="00A3261C" w:rsidRPr="001679C7">
        <w:t>)</w:t>
      </w:r>
      <w:r w:rsidR="00311224" w:rsidRPr="001679C7">
        <w:t>.</w:t>
      </w:r>
      <w:r w:rsidR="008C4E19" w:rsidRPr="001679C7">
        <w:t xml:space="preserve"> </w:t>
      </w:r>
      <w:r w:rsidR="002A7707" w:rsidRPr="001679C7">
        <w:t xml:space="preserve">The main effect of </w:t>
      </w:r>
      <w:r w:rsidR="007C1CBD" w:rsidRPr="001679C7">
        <w:t xml:space="preserve">PC2 score </w:t>
      </w:r>
      <w:r w:rsidR="002A7707" w:rsidRPr="001679C7">
        <w:t>on</w:t>
      </w:r>
      <w:r w:rsidR="007C1CBD" w:rsidRPr="001679C7">
        <w:t xml:space="preserve"> higher </w:t>
      </w:r>
      <w:r w:rsidR="00D90065" w:rsidRPr="001679C7">
        <w:t xml:space="preserve">PVSS </w:t>
      </w:r>
      <w:r w:rsidR="007C1CBD" w:rsidRPr="001679C7">
        <w:t>anticipatory anhedonia</w:t>
      </w:r>
      <w:r w:rsidR="002A7707" w:rsidRPr="001679C7">
        <w:t xml:space="preserve"> was not significant</w:t>
      </w:r>
      <w:r w:rsidR="007C1CBD" w:rsidRPr="001679C7">
        <w:t xml:space="preserve">, </w:t>
      </w:r>
      <w:r w:rsidR="007C1CBD" w:rsidRPr="001679C7">
        <w:rPr>
          <w:i/>
          <w:iCs/>
        </w:rPr>
        <w:t>B</w:t>
      </w:r>
      <w:r w:rsidR="007C1CBD" w:rsidRPr="001679C7">
        <w:t xml:space="preserve">= </w:t>
      </w:r>
      <w:r w:rsidR="002A7707" w:rsidRPr="001679C7">
        <w:t>.413</w:t>
      </w:r>
      <w:r w:rsidR="007C1CBD" w:rsidRPr="001679C7">
        <w:t xml:space="preserve">, </w:t>
      </w:r>
      <w:r w:rsidR="007C1CBD" w:rsidRPr="001679C7">
        <w:rPr>
          <w:i/>
          <w:iCs/>
        </w:rPr>
        <w:t>SE</w:t>
      </w:r>
      <w:r w:rsidR="007C1CBD" w:rsidRPr="001679C7">
        <w:t>=.</w:t>
      </w:r>
      <w:r w:rsidR="002A7707" w:rsidRPr="001679C7">
        <w:t>261</w:t>
      </w:r>
      <w:r w:rsidR="007C1CBD" w:rsidRPr="001679C7">
        <w:t xml:space="preserve">, </w:t>
      </w:r>
      <w:r w:rsidR="007C1CBD" w:rsidRPr="001679C7">
        <w:rPr>
          <w:i/>
          <w:iCs/>
        </w:rPr>
        <w:t>p</w:t>
      </w:r>
      <w:r w:rsidR="007C1CBD" w:rsidRPr="001679C7">
        <w:t>=.</w:t>
      </w:r>
      <w:r w:rsidR="002A7707" w:rsidRPr="001679C7">
        <w:t>121</w:t>
      </w:r>
      <w:r w:rsidR="007C1CBD" w:rsidRPr="001679C7">
        <w:t>,</w:t>
      </w:r>
      <w:r w:rsidR="00380B86" w:rsidRPr="001679C7">
        <w:t xml:space="preserve"> </w:t>
      </w:r>
      <w:r w:rsidR="00380B86" w:rsidRPr="001679C7">
        <w:rPr>
          <w:i/>
          <w:iCs/>
        </w:rPr>
        <w:t>ΔR</w:t>
      </w:r>
      <w:r w:rsidR="00380B86" w:rsidRPr="001679C7">
        <w:rPr>
          <w:i/>
          <w:iCs/>
          <w:vertAlign w:val="superscript"/>
        </w:rPr>
        <w:t>2</w:t>
      </w:r>
      <w:r w:rsidR="00380B86" w:rsidRPr="001679C7">
        <w:t>=.</w:t>
      </w:r>
      <w:r w:rsidR="002A7707" w:rsidRPr="001679C7">
        <w:t>034</w:t>
      </w:r>
      <w:r w:rsidR="00380B86" w:rsidRPr="001679C7">
        <w:t>.</w:t>
      </w:r>
      <w:r w:rsidR="007C1CBD" w:rsidRPr="001679C7">
        <w:t xml:space="preserve"> The</w:t>
      </w:r>
      <w:r w:rsidR="003E0AAE" w:rsidRPr="001679C7">
        <w:t xml:space="preserve"> </w:t>
      </w:r>
      <w:r w:rsidR="00324E4E" w:rsidRPr="001679C7">
        <w:t xml:space="preserve">interaction effect between </w:t>
      </w:r>
      <w:r w:rsidR="00A3261C" w:rsidRPr="001679C7">
        <w:t xml:space="preserve">basal ganglia </w:t>
      </w:r>
      <w:r w:rsidR="003E0AAE" w:rsidRPr="001679C7">
        <w:t xml:space="preserve">dopamine availability </w:t>
      </w:r>
      <w:r w:rsidR="00324E4E" w:rsidRPr="001679C7">
        <w:t>and</w:t>
      </w:r>
      <w:r w:rsidR="003E0AAE" w:rsidRPr="001679C7">
        <w:t xml:space="preserve"> PC2</w:t>
      </w:r>
      <w:r w:rsidR="007C1CBD" w:rsidRPr="001679C7">
        <w:t xml:space="preserve"> </w:t>
      </w:r>
      <w:r w:rsidR="00566B97" w:rsidRPr="001679C7">
        <w:t xml:space="preserve">on </w:t>
      </w:r>
      <w:r w:rsidR="00D90065" w:rsidRPr="001679C7">
        <w:t xml:space="preserve">PVSS </w:t>
      </w:r>
      <w:r w:rsidR="00566B97" w:rsidRPr="001679C7">
        <w:t xml:space="preserve">anticipatory anhedonia </w:t>
      </w:r>
      <w:r w:rsidR="002A7707" w:rsidRPr="001679C7">
        <w:t xml:space="preserve">also </w:t>
      </w:r>
      <w:r w:rsidR="007C1CBD" w:rsidRPr="001679C7">
        <w:t>was not significant</w:t>
      </w:r>
      <w:r w:rsidR="00A3261C" w:rsidRPr="001679C7">
        <w:t>,</w:t>
      </w:r>
      <w:r w:rsidR="008C4E19" w:rsidRPr="001679C7">
        <w:t xml:space="preserve"> </w:t>
      </w:r>
      <w:r w:rsidR="007C1CBD" w:rsidRPr="001679C7">
        <w:rPr>
          <w:i/>
          <w:iCs/>
        </w:rPr>
        <w:t>B</w:t>
      </w:r>
      <w:r w:rsidR="007C1CBD" w:rsidRPr="001679C7">
        <w:t>=.</w:t>
      </w:r>
      <w:r w:rsidR="002A7707" w:rsidRPr="001679C7">
        <w:t>128</w:t>
      </w:r>
      <w:r w:rsidR="007C1CBD" w:rsidRPr="001679C7">
        <w:t xml:space="preserve">, </w:t>
      </w:r>
      <w:r w:rsidR="007C1CBD" w:rsidRPr="001679C7">
        <w:rPr>
          <w:i/>
          <w:iCs/>
        </w:rPr>
        <w:t>SE</w:t>
      </w:r>
      <w:r w:rsidR="007C1CBD" w:rsidRPr="001679C7">
        <w:t>=.</w:t>
      </w:r>
      <w:r w:rsidR="002A7707" w:rsidRPr="001679C7">
        <w:t>128</w:t>
      </w:r>
      <w:r w:rsidR="007C1CBD" w:rsidRPr="001679C7">
        <w:t xml:space="preserve">, </w:t>
      </w:r>
      <w:r w:rsidR="007C1CBD" w:rsidRPr="001679C7">
        <w:rPr>
          <w:i/>
          <w:iCs/>
        </w:rPr>
        <w:t>p</w:t>
      </w:r>
      <w:r w:rsidR="007C1CBD" w:rsidRPr="001679C7">
        <w:t>=.</w:t>
      </w:r>
      <w:r w:rsidR="002A7707" w:rsidRPr="001679C7">
        <w:t>320</w:t>
      </w:r>
      <w:r w:rsidR="000C75E5" w:rsidRPr="001679C7">
        <w:t xml:space="preserve">, </w:t>
      </w:r>
      <w:r w:rsidR="000C75E5" w:rsidRPr="001679C7">
        <w:rPr>
          <w:i/>
          <w:iCs/>
        </w:rPr>
        <w:t>ΔR</w:t>
      </w:r>
      <w:r w:rsidR="000C75E5" w:rsidRPr="001679C7">
        <w:rPr>
          <w:i/>
          <w:iCs/>
          <w:vertAlign w:val="superscript"/>
        </w:rPr>
        <w:t>2</w:t>
      </w:r>
      <w:r w:rsidR="000C75E5" w:rsidRPr="001679C7">
        <w:t>=.</w:t>
      </w:r>
      <w:r w:rsidR="002A7707" w:rsidRPr="001679C7">
        <w:t>014</w:t>
      </w:r>
      <w:r w:rsidR="008C4E19" w:rsidRPr="001679C7">
        <w:t>)</w:t>
      </w:r>
      <w:r w:rsidR="007C1CBD" w:rsidRPr="001679C7">
        <w:t>.</w:t>
      </w:r>
      <w:r w:rsidR="008C4E19" w:rsidRPr="001679C7">
        <w:t xml:space="preserve"> </w:t>
      </w:r>
      <w:r w:rsidR="00311224" w:rsidRPr="001679C7">
        <w:t xml:space="preserve">Lower PC2 </w:t>
      </w:r>
      <w:r w:rsidR="009E7769">
        <w:t>scores were</w:t>
      </w:r>
      <w:r w:rsidR="009E7769" w:rsidRPr="001679C7">
        <w:t xml:space="preserve"> </w:t>
      </w:r>
      <w:r w:rsidR="00311224" w:rsidRPr="001679C7">
        <w:t xml:space="preserve">associated with higher </w:t>
      </w:r>
      <w:r w:rsidR="00D90065" w:rsidRPr="001679C7">
        <w:t xml:space="preserve">PVSS </w:t>
      </w:r>
      <w:r w:rsidR="00311224" w:rsidRPr="001679C7">
        <w:t xml:space="preserve">consummatory anhedonia, </w:t>
      </w:r>
      <w:r w:rsidR="00311224" w:rsidRPr="001679C7">
        <w:rPr>
          <w:i/>
          <w:iCs/>
        </w:rPr>
        <w:t>B</w:t>
      </w:r>
      <w:r w:rsidR="00311224" w:rsidRPr="001679C7">
        <w:t>=.</w:t>
      </w:r>
      <w:r w:rsidR="005158B2" w:rsidRPr="001679C7">
        <w:t>739</w:t>
      </w:r>
      <w:r w:rsidR="00311224" w:rsidRPr="001679C7">
        <w:t xml:space="preserve">, </w:t>
      </w:r>
      <w:r w:rsidR="00311224" w:rsidRPr="001679C7">
        <w:rPr>
          <w:i/>
          <w:iCs/>
        </w:rPr>
        <w:t>SE</w:t>
      </w:r>
      <w:r w:rsidR="00311224" w:rsidRPr="001679C7">
        <w:t>=.</w:t>
      </w:r>
      <w:r w:rsidR="005158B2" w:rsidRPr="001679C7">
        <w:t>303</w:t>
      </w:r>
      <w:r w:rsidR="00311224" w:rsidRPr="001679C7">
        <w:t xml:space="preserve">, </w:t>
      </w:r>
      <w:r w:rsidR="00311224" w:rsidRPr="001679C7">
        <w:rPr>
          <w:i/>
          <w:iCs/>
        </w:rPr>
        <w:t>p</w:t>
      </w:r>
      <w:r w:rsidR="00311224" w:rsidRPr="001679C7">
        <w:t>=.</w:t>
      </w:r>
      <w:r w:rsidR="005158B2" w:rsidRPr="001679C7">
        <w:t>019</w:t>
      </w:r>
      <w:r w:rsidR="009C1584" w:rsidRPr="001679C7">
        <w:t xml:space="preserve">, </w:t>
      </w:r>
      <w:r w:rsidR="009C1584" w:rsidRPr="001679C7">
        <w:rPr>
          <w:i/>
          <w:iCs/>
        </w:rPr>
        <w:t>ΔR</w:t>
      </w:r>
      <w:r w:rsidR="009C1584" w:rsidRPr="001679C7">
        <w:rPr>
          <w:i/>
          <w:iCs/>
          <w:vertAlign w:val="superscript"/>
        </w:rPr>
        <w:t>2</w:t>
      </w:r>
      <w:r w:rsidR="009C1584" w:rsidRPr="001679C7">
        <w:t>=.</w:t>
      </w:r>
      <w:r w:rsidR="005158B2" w:rsidRPr="001679C7">
        <w:t>098</w:t>
      </w:r>
      <w:r w:rsidR="00311224" w:rsidRPr="001679C7">
        <w:t>.</w:t>
      </w:r>
      <w:r w:rsidR="00566B97" w:rsidRPr="001679C7">
        <w:t xml:space="preserve"> The </w:t>
      </w:r>
      <w:r w:rsidR="00324E4E" w:rsidRPr="001679C7">
        <w:t xml:space="preserve">interaction effect between </w:t>
      </w:r>
      <w:r w:rsidR="00A3261C" w:rsidRPr="001679C7">
        <w:t xml:space="preserve">basal ganglia </w:t>
      </w:r>
      <w:r w:rsidR="003E0AAE" w:rsidRPr="001679C7">
        <w:t xml:space="preserve">dopamine availability </w:t>
      </w:r>
      <w:r w:rsidR="00324E4E" w:rsidRPr="001679C7">
        <w:t>and</w:t>
      </w:r>
      <w:r w:rsidR="003E0AAE" w:rsidRPr="001679C7">
        <w:t xml:space="preserve"> PC2 </w:t>
      </w:r>
      <w:r w:rsidR="003474F6" w:rsidRPr="001679C7">
        <w:t xml:space="preserve">on consummatory anhedonia </w:t>
      </w:r>
      <w:r w:rsidR="003E0AAE" w:rsidRPr="001679C7">
        <w:t xml:space="preserve">were </w:t>
      </w:r>
      <w:r w:rsidR="00566B97" w:rsidRPr="001679C7">
        <w:t>not significant</w:t>
      </w:r>
      <w:r w:rsidR="00A3261C" w:rsidRPr="001679C7">
        <w:t>,</w:t>
      </w:r>
      <w:r w:rsidR="008C4E19" w:rsidRPr="001679C7">
        <w:rPr>
          <w:i/>
          <w:iCs/>
        </w:rPr>
        <w:t xml:space="preserve"> </w:t>
      </w:r>
      <w:r w:rsidR="00566B97" w:rsidRPr="001679C7">
        <w:rPr>
          <w:i/>
          <w:iCs/>
        </w:rPr>
        <w:t>B</w:t>
      </w:r>
      <w:r w:rsidR="00566B97" w:rsidRPr="001679C7">
        <w:t>=-.</w:t>
      </w:r>
      <w:r w:rsidR="009E694D" w:rsidRPr="001679C7">
        <w:t>047</w:t>
      </w:r>
      <w:r w:rsidR="00566B97" w:rsidRPr="001679C7">
        <w:t xml:space="preserve">, </w:t>
      </w:r>
      <w:r w:rsidR="00566B97" w:rsidRPr="001679C7">
        <w:rPr>
          <w:i/>
          <w:iCs/>
        </w:rPr>
        <w:t>SE</w:t>
      </w:r>
      <w:r w:rsidR="00566B97" w:rsidRPr="001679C7">
        <w:t>=.</w:t>
      </w:r>
      <w:r w:rsidR="009E694D" w:rsidRPr="001679C7">
        <w:t>149</w:t>
      </w:r>
      <w:r w:rsidR="00566B97" w:rsidRPr="001679C7">
        <w:t xml:space="preserve">, </w:t>
      </w:r>
      <w:r w:rsidR="00566B97" w:rsidRPr="001679C7">
        <w:rPr>
          <w:i/>
          <w:iCs/>
        </w:rPr>
        <w:t>p</w:t>
      </w:r>
      <w:r w:rsidR="00566B97" w:rsidRPr="001679C7">
        <w:t>=.</w:t>
      </w:r>
      <w:r w:rsidR="009E694D" w:rsidRPr="001679C7">
        <w:t>756</w:t>
      </w:r>
      <w:r w:rsidR="00B433F5" w:rsidRPr="001679C7">
        <w:t xml:space="preserve">, </w:t>
      </w:r>
      <w:r w:rsidR="00B433F5" w:rsidRPr="001679C7">
        <w:rPr>
          <w:i/>
          <w:iCs/>
        </w:rPr>
        <w:t>ΔR</w:t>
      </w:r>
      <w:r w:rsidR="00B433F5" w:rsidRPr="001679C7">
        <w:rPr>
          <w:i/>
          <w:iCs/>
          <w:vertAlign w:val="superscript"/>
        </w:rPr>
        <w:t>2</w:t>
      </w:r>
      <w:r w:rsidR="009E694D" w:rsidRPr="001679C7">
        <w:t>=.</w:t>
      </w:r>
      <w:r w:rsidR="00B433F5" w:rsidRPr="001679C7">
        <w:t>00</w:t>
      </w:r>
      <w:r w:rsidR="009E694D" w:rsidRPr="001679C7">
        <w:t>2</w:t>
      </w:r>
      <w:r w:rsidR="008C4E19" w:rsidRPr="001679C7">
        <w:t>)</w:t>
      </w:r>
      <w:r w:rsidR="00566B97" w:rsidRPr="001679C7">
        <w:t>.</w:t>
      </w:r>
    </w:p>
    <w:p w14:paraId="5AFDC3EE" w14:textId="3F93DD65" w:rsidR="0099421E" w:rsidRPr="00C754DF" w:rsidRDefault="003931AB" w:rsidP="00AD31E2">
      <w:pPr>
        <w:spacing w:line="480" w:lineRule="auto"/>
        <w:ind w:firstLine="720"/>
        <w:rPr>
          <w:color w:val="C00000"/>
        </w:rPr>
      </w:pPr>
      <w:r w:rsidRPr="004B66F7">
        <w:rPr>
          <w:color w:val="000000" w:themeColor="text1"/>
        </w:rPr>
        <w:t xml:space="preserve">For </w:t>
      </w:r>
      <w:r w:rsidR="00C756A6">
        <w:rPr>
          <w:color w:val="000000" w:themeColor="text1"/>
        </w:rPr>
        <w:t xml:space="preserve">immune </w:t>
      </w:r>
      <w:r w:rsidRPr="004B66F7">
        <w:rPr>
          <w:color w:val="000000" w:themeColor="text1"/>
        </w:rPr>
        <w:t>PC3 and PC4</w:t>
      </w:r>
      <w:r w:rsidR="00C756A6">
        <w:rPr>
          <w:color w:val="000000" w:themeColor="text1"/>
        </w:rPr>
        <w:t xml:space="preserve"> scores</w:t>
      </w:r>
      <w:r w:rsidRPr="004B66F7">
        <w:rPr>
          <w:color w:val="000000" w:themeColor="text1"/>
        </w:rPr>
        <w:t>, t</w:t>
      </w:r>
      <w:r w:rsidR="00566B97" w:rsidRPr="004B66F7">
        <w:rPr>
          <w:color w:val="000000" w:themeColor="text1"/>
        </w:rPr>
        <w:t xml:space="preserve">here were no main effects or interaction effects for </w:t>
      </w:r>
      <w:r w:rsidR="00F73DCF">
        <w:rPr>
          <w:color w:val="000000" w:themeColor="text1"/>
        </w:rPr>
        <w:t>dopamine availability</w:t>
      </w:r>
      <w:r w:rsidR="00566B97" w:rsidRPr="004B66F7">
        <w:rPr>
          <w:color w:val="000000" w:themeColor="text1"/>
        </w:rPr>
        <w:t xml:space="preserve"> </w:t>
      </w:r>
      <w:r w:rsidR="00C756A6">
        <w:rPr>
          <w:color w:val="000000" w:themeColor="text1"/>
        </w:rPr>
        <w:t xml:space="preserve">in basal ganglia </w:t>
      </w:r>
      <w:r w:rsidR="00566B97" w:rsidRPr="004B66F7">
        <w:rPr>
          <w:color w:val="000000" w:themeColor="text1"/>
        </w:rPr>
        <w:t xml:space="preserve">and </w:t>
      </w:r>
      <w:r w:rsidR="00C756A6">
        <w:rPr>
          <w:color w:val="000000" w:themeColor="text1"/>
        </w:rPr>
        <w:t xml:space="preserve">immune </w:t>
      </w:r>
      <w:r w:rsidR="00547D94">
        <w:rPr>
          <w:color w:val="000000" w:themeColor="text1"/>
        </w:rPr>
        <w:t>PC</w:t>
      </w:r>
      <w:r w:rsidR="00566B97" w:rsidRPr="004B66F7">
        <w:rPr>
          <w:color w:val="000000" w:themeColor="text1"/>
        </w:rPr>
        <w:t xml:space="preserve"> score</w:t>
      </w:r>
      <w:r w:rsidRPr="004B66F7">
        <w:rPr>
          <w:color w:val="000000" w:themeColor="text1"/>
        </w:rPr>
        <w:t>s</w:t>
      </w:r>
      <w:r w:rsidR="00566B97" w:rsidRPr="004B66F7">
        <w:rPr>
          <w:color w:val="000000" w:themeColor="text1"/>
        </w:rPr>
        <w:t xml:space="preserve"> on overall scores of anhedonia, anticipatory anhedonia, or consummatory anhedonia</w:t>
      </w:r>
      <w:r w:rsidR="001A331C" w:rsidRPr="004B66F7">
        <w:rPr>
          <w:color w:val="000000" w:themeColor="text1"/>
        </w:rPr>
        <w:t xml:space="preserve"> </w:t>
      </w:r>
      <w:r w:rsidR="001A331C" w:rsidRPr="00C754DF">
        <w:t>(</w:t>
      </w:r>
      <w:r w:rsidR="001A331C" w:rsidRPr="00C754DF">
        <w:rPr>
          <w:i/>
          <w:iCs/>
        </w:rPr>
        <w:t>p’s</w:t>
      </w:r>
      <w:r w:rsidR="001A331C" w:rsidRPr="00C754DF">
        <w:t xml:space="preserve"> &gt; .05)</w:t>
      </w:r>
      <w:r w:rsidR="00566B97" w:rsidRPr="00C754DF">
        <w:t>.</w:t>
      </w:r>
    </w:p>
    <w:p w14:paraId="6700F7C5" w14:textId="528280BA" w:rsidR="00276A11" w:rsidRPr="00C754DF" w:rsidRDefault="00473CEF" w:rsidP="004A7BD6">
      <w:pPr>
        <w:spacing w:line="480" w:lineRule="auto"/>
        <w:ind w:firstLine="720"/>
      </w:pPr>
      <w:r w:rsidRPr="00C754DF">
        <w:t>There were no main effect</w:t>
      </w:r>
      <w:r w:rsidR="007E4966" w:rsidRPr="00C754DF">
        <w:t>s</w:t>
      </w:r>
      <w:r w:rsidRPr="00C754DF">
        <w:t xml:space="preserve"> </w:t>
      </w:r>
      <w:r w:rsidR="007E4966" w:rsidRPr="00C754DF">
        <w:t>of</w:t>
      </w:r>
      <w:r w:rsidRPr="00C754DF">
        <w:t xml:space="preserve"> PC5 score on </w:t>
      </w:r>
      <w:r w:rsidR="00B24C0F" w:rsidRPr="00C754DF">
        <w:t>overall anhedonia, anticipatory</w:t>
      </w:r>
      <w:r w:rsidR="00420D51" w:rsidRPr="00420D51">
        <w:t xml:space="preserve"> anhedonia</w:t>
      </w:r>
      <w:r w:rsidR="00B24C0F" w:rsidRPr="00C754DF">
        <w:t>, or consummatory anhedonia (</w:t>
      </w:r>
      <w:r w:rsidR="00B24C0F" w:rsidRPr="00C754DF">
        <w:rPr>
          <w:i/>
          <w:iCs/>
        </w:rPr>
        <w:t>p’s</w:t>
      </w:r>
      <w:r w:rsidR="00B24C0F" w:rsidRPr="00C754DF">
        <w:t xml:space="preserve"> &gt; .05).</w:t>
      </w:r>
      <w:r w:rsidR="00343778" w:rsidRPr="00C754DF">
        <w:t xml:space="preserve"> A</w:t>
      </w:r>
      <w:r w:rsidR="00324E4E" w:rsidRPr="00420D51">
        <w:t xml:space="preserve">n interaction effect between </w:t>
      </w:r>
      <w:r w:rsidR="006D0652" w:rsidRPr="00420D51">
        <w:t xml:space="preserve">basal ganglia </w:t>
      </w:r>
      <w:r w:rsidR="00343778" w:rsidRPr="00C754DF">
        <w:t xml:space="preserve">dopamine availability </w:t>
      </w:r>
      <w:r w:rsidR="00324E4E" w:rsidRPr="00420D51">
        <w:t>and</w:t>
      </w:r>
      <w:r w:rsidR="00343778" w:rsidRPr="00C754DF">
        <w:t xml:space="preserve"> </w:t>
      </w:r>
      <w:r w:rsidR="00C756A6" w:rsidRPr="00420D51">
        <w:t xml:space="preserve">immune </w:t>
      </w:r>
      <w:r w:rsidR="00276A11" w:rsidRPr="00C754DF">
        <w:t xml:space="preserve">PC5 </w:t>
      </w:r>
      <w:r w:rsidR="00C756A6" w:rsidRPr="00420D51">
        <w:t xml:space="preserve">scores </w:t>
      </w:r>
      <w:r w:rsidR="00343778" w:rsidRPr="00C754DF">
        <w:t>was detected for</w:t>
      </w:r>
      <w:r w:rsidR="00276A11" w:rsidRPr="00C754DF">
        <w:t xml:space="preserve"> SHAPS </w:t>
      </w:r>
      <w:r w:rsidR="00343778" w:rsidRPr="00C754DF">
        <w:t>overall anhedonia</w:t>
      </w:r>
      <w:r w:rsidR="00276A11" w:rsidRPr="00C754DF">
        <w:t xml:space="preserve">, </w:t>
      </w:r>
      <w:r w:rsidR="00276A11" w:rsidRPr="00C754DF">
        <w:rPr>
          <w:i/>
          <w:iCs/>
        </w:rPr>
        <w:t>B</w:t>
      </w:r>
      <w:r w:rsidR="00276A11" w:rsidRPr="00C754DF">
        <w:t>=.</w:t>
      </w:r>
      <w:r w:rsidR="00AD31E2" w:rsidRPr="00420D51">
        <w:t>564</w:t>
      </w:r>
      <w:r w:rsidR="00276A11" w:rsidRPr="00C754DF">
        <w:t xml:space="preserve">, </w:t>
      </w:r>
      <w:r w:rsidR="00276A11" w:rsidRPr="00C754DF">
        <w:rPr>
          <w:i/>
          <w:iCs/>
        </w:rPr>
        <w:t>SE</w:t>
      </w:r>
      <w:r w:rsidR="00276A11" w:rsidRPr="00C754DF">
        <w:t>=.</w:t>
      </w:r>
      <w:r w:rsidR="00AD31E2" w:rsidRPr="00420D51">
        <w:t>275</w:t>
      </w:r>
      <w:r w:rsidR="00276A11" w:rsidRPr="00C754DF">
        <w:t xml:space="preserve">, </w:t>
      </w:r>
      <w:r w:rsidR="00276A11" w:rsidRPr="00C754DF">
        <w:rPr>
          <w:i/>
          <w:iCs/>
        </w:rPr>
        <w:t>p</w:t>
      </w:r>
      <w:r w:rsidR="00276A11" w:rsidRPr="00C754DF">
        <w:t>=.</w:t>
      </w:r>
      <w:r w:rsidR="00AD31E2" w:rsidRPr="00420D51">
        <w:t>046</w:t>
      </w:r>
      <w:r w:rsidR="00276A11" w:rsidRPr="00C754DF">
        <w:t xml:space="preserve">, </w:t>
      </w:r>
      <w:r w:rsidR="00276A11" w:rsidRPr="00C754DF">
        <w:rPr>
          <w:i/>
          <w:iCs/>
        </w:rPr>
        <w:t>ΔR</w:t>
      </w:r>
      <w:r w:rsidR="00276A11" w:rsidRPr="00C754DF">
        <w:rPr>
          <w:i/>
          <w:iCs/>
          <w:vertAlign w:val="superscript"/>
        </w:rPr>
        <w:t>2</w:t>
      </w:r>
      <w:r w:rsidR="00276A11" w:rsidRPr="00C754DF">
        <w:t>=.</w:t>
      </w:r>
      <w:r w:rsidR="00AD31E2" w:rsidRPr="00420D51">
        <w:t>064</w:t>
      </w:r>
      <w:r w:rsidR="00276A11" w:rsidRPr="00C754DF">
        <w:t xml:space="preserve">, such that </w:t>
      </w:r>
      <w:r w:rsidR="00343778" w:rsidRPr="00C754DF">
        <w:t>for participants in the bottom</w:t>
      </w:r>
      <w:r w:rsidR="00276A11" w:rsidRPr="00C754DF">
        <w:t xml:space="preserve"> 32.76</w:t>
      </w:r>
      <w:r w:rsidR="00343778" w:rsidRPr="00C754DF">
        <w:t xml:space="preserve">% </w:t>
      </w:r>
      <w:r w:rsidR="00276A11" w:rsidRPr="00C754DF">
        <w:t>of PC5</w:t>
      </w:r>
      <w:r w:rsidR="00343778" w:rsidRPr="00C754DF">
        <w:t xml:space="preserve"> score</w:t>
      </w:r>
      <w:r w:rsidR="00276A11" w:rsidRPr="00C754DF">
        <w:t xml:space="preserve">, lower dopamine availability in the basal ganglia was associated with </w:t>
      </w:r>
      <w:r w:rsidR="00420D51">
        <w:lastRenderedPageBreak/>
        <w:t>greater</w:t>
      </w:r>
      <w:r w:rsidR="00276A11" w:rsidRPr="00C754DF">
        <w:t xml:space="preserve"> SHAPS </w:t>
      </w:r>
      <w:r w:rsidR="00405F9D" w:rsidRPr="00C754DF">
        <w:t>overall anhedonia</w:t>
      </w:r>
      <w:r w:rsidR="00276A11" w:rsidRPr="00C754DF">
        <w:t xml:space="preserve">. </w:t>
      </w:r>
      <w:r w:rsidR="00405F9D" w:rsidRPr="00C754DF">
        <w:t>Follow-up analyses probing the effect within subregions of basal ganglia observed an effect with</w:t>
      </w:r>
      <w:r w:rsidR="00276A11" w:rsidRPr="00C754DF">
        <w:t xml:space="preserve"> putamen</w:t>
      </w:r>
      <w:r w:rsidR="00405F9D" w:rsidRPr="00C754DF">
        <w:t>,</w:t>
      </w:r>
      <w:r w:rsidR="00276A11" w:rsidRPr="00C754DF">
        <w:t xml:space="preserve"> </w:t>
      </w:r>
      <w:r w:rsidR="00276A11" w:rsidRPr="00C754DF">
        <w:rPr>
          <w:i/>
          <w:iCs/>
        </w:rPr>
        <w:t>B</w:t>
      </w:r>
      <w:r w:rsidR="00276A11" w:rsidRPr="00C754DF">
        <w:t>=.</w:t>
      </w:r>
      <w:r w:rsidR="00AD31E2" w:rsidRPr="00420D51">
        <w:t>488</w:t>
      </w:r>
      <w:r w:rsidR="00276A11" w:rsidRPr="00C754DF">
        <w:t xml:space="preserve">, </w:t>
      </w:r>
      <w:r w:rsidR="00276A11" w:rsidRPr="00C754DF">
        <w:rPr>
          <w:i/>
          <w:iCs/>
        </w:rPr>
        <w:t>SE</w:t>
      </w:r>
      <w:r w:rsidR="00276A11" w:rsidRPr="00C754DF">
        <w:t>=.</w:t>
      </w:r>
      <w:r w:rsidR="00AD31E2" w:rsidRPr="00420D51">
        <w:t>232</w:t>
      </w:r>
      <w:r w:rsidR="00276A11" w:rsidRPr="00C754DF">
        <w:t xml:space="preserve">, </w:t>
      </w:r>
      <w:r w:rsidR="00276A11" w:rsidRPr="00C754DF">
        <w:rPr>
          <w:i/>
          <w:iCs/>
        </w:rPr>
        <w:t>p</w:t>
      </w:r>
      <w:r w:rsidR="00276A11" w:rsidRPr="00C754DF">
        <w:t>=.</w:t>
      </w:r>
      <w:r w:rsidR="00AD31E2" w:rsidRPr="00420D51">
        <w:t>041</w:t>
      </w:r>
      <w:r w:rsidR="00276A11" w:rsidRPr="00C754DF">
        <w:t xml:space="preserve">, </w:t>
      </w:r>
      <w:r w:rsidR="00276A11" w:rsidRPr="00C754DF">
        <w:rPr>
          <w:i/>
          <w:iCs/>
        </w:rPr>
        <w:t>ΔR</w:t>
      </w:r>
      <w:r w:rsidR="00276A11" w:rsidRPr="00C754DF">
        <w:rPr>
          <w:i/>
          <w:iCs/>
          <w:vertAlign w:val="superscript"/>
        </w:rPr>
        <w:t>2</w:t>
      </w:r>
      <w:r w:rsidR="00276A11" w:rsidRPr="00C754DF">
        <w:t>=.0</w:t>
      </w:r>
      <w:r w:rsidR="00AD31E2" w:rsidRPr="00420D51">
        <w:t>67</w:t>
      </w:r>
      <w:r w:rsidR="00405F9D" w:rsidRPr="00C754DF">
        <w:t>, such that</w:t>
      </w:r>
      <w:r w:rsidR="00276A11" w:rsidRPr="00C754DF">
        <w:t xml:space="preserve"> </w:t>
      </w:r>
      <w:r w:rsidR="00405F9D" w:rsidRPr="00C754DF">
        <w:t xml:space="preserve">for participants in the bottom </w:t>
      </w:r>
      <w:r w:rsidR="00AD31E2" w:rsidRPr="00420D51">
        <w:t>27.59</w:t>
      </w:r>
      <w:r w:rsidR="00405F9D" w:rsidRPr="00C754DF">
        <w:t xml:space="preserve">% of </w:t>
      </w:r>
      <w:r w:rsidR="00C756A6" w:rsidRPr="00420D51">
        <w:t xml:space="preserve">immune </w:t>
      </w:r>
      <w:r w:rsidR="00405F9D" w:rsidRPr="00C754DF">
        <w:t>PC5 scores, lower dopamine availability in the putamen was associated with higher SHAPS overall anhedonia</w:t>
      </w:r>
      <w:r w:rsidR="00D14904" w:rsidRPr="00C754DF">
        <w:t xml:space="preserve">. </w:t>
      </w:r>
      <w:r w:rsidR="00663674" w:rsidRPr="00420D51">
        <w:t xml:space="preserve">Such interaction effects were not observed within other subregions (caudate: </w:t>
      </w:r>
      <w:r w:rsidR="00663674" w:rsidRPr="00C754DF">
        <w:rPr>
          <w:i/>
          <w:iCs/>
        </w:rPr>
        <w:t>B</w:t>
      </w:r>
      <w:r w:rsidR="00663674" w:rsidRPr="00C754DF">
        <w:t xml:space="preserve">=.527, </w:t>
      </w:r>
      <w:r w:rsidR="00663674" w:rsidRPr="00C754DF">
        <w:rPr>
          <w:i/>
          <w:iCs/>
        </w:rPr>
        <w:t>SE</w:t>
      </w:r>
      <w:r w:rsidR="00663674" w:rsidRPr="00C754DF">
        <w:t xml:space="preserve">=.375, </w:t>
      </w:r>
      <w:r w:rsidR="00663674" w:rsidRPr="00C754DF">
        <w:rPr>
          <w:i/>
          <w:iCs/>
        </w:rPr>
        <w:t>p</w:t>
      </w:r>
      <w:r w:rsidR="00663674" w:rsidRPr="00C754DF">
        <w:t xml:space="preserve">=.167, </w:t>
      </w:r>
      <w:r w:rsidR="00663674" w:rsidRPr="00C754DF">
        <w:rPr>
          <w:i/>
          <w:iCs/>
        </w:rPr>
        <w:t>ΔR</w:t>
      </w:r>
      <w:r w:rsidR="00663674" w:rsidRPr="00C754DF">
        <w:rPr>
          <w:i/>
          <w:iCs/>
          <w:vertAlign w:val="superscript"/>
        </w:rPr>
        <w:t>2</w:t>
      </w:r>
      <w:r w:rsidR="00663674" w:rsidRPr="00C754DF">
        <w:t>=.031</w:t>
      </w:r>
      <w:r w:rsidR="00663674" w:rsidRPr="00420D51">
        <w:t xml:space="preserve">; pallidum: </w:t>
      </w:r>
      <w:r w:rsidR="00663674" w:rsidRPr="00C754DF">
        <w:rPr>
          <w:i/>
          <w:iCs/>
        </w:rPr>
        <w:t>B</w:t>
      </w:r>
      <w:r w:rsidR="00663674" w:rsidRPr="00C754DF">
        <w:t xml:space="preserve">=.246, </w:t>
      </w:r>
      <w:r w:rsidR="00663674" w:rsidRPr="00C754DF">
        <w:rPr>
          <w:i/>
          <w:iCs/>
        </w:rPr>
        <w:t>SE</w:t>
      </w:r>
      <w:r w:rsidR="00663674" w:rsidRPr="00C754DF">
        <w:t xml:space="preserve">=.162, </w:t>
      </w:r>
      <w:r w:rsidR="00663674" w:rsidRPr="00C754DF">
        <w:rPr>
          <w:i/>
          <w:iCs/>
        </w:rPr>
        <w:t>p</w:t>
      </w:r>
      <w:r w:rsidR="00663674" w:rsidRPr="00C754DF">
        <w:t xml:space="preserve">=.135, </w:t>
      </w:r>
      <w:r w:rsidR="00663674" w:rsidRPr="00C754DF">
        <w:rPr>
          <w:i/>
          <w:iCs/>
        </w:rPr>
        <w:t>ΔR</w:t>
      </w:r>
      <w:r w:rsidR="00663674" w:rsidRPr="00C754DF">
        <w:rPr>
          <w:i/>
          <w:iCs/>
          <w:vertAlign w:val="superscript"/>
        </w:rPr>
        <w:t>2</w:t>
      </w:r>
      <w:r w:rsidR="00663674" w:rsidRPr="00C754DF">
        <w:t>=.037</w:t>
      </w:r>
      <w:r w:rsidR="00663674" w:rsidRPr="00420D51">
        <w:t xml:space="preserve">; </w:t>
      </w:r>
      <w:proofErr w:type="spellStart"/>
      <w:r w:rsidR="00663674" w:rsidRPr="00420D51">
        <w:t>NAc</w:t>
      </w:r>
      <w:proofErr w:type="spellEnd"/>
      <w:r w:rsidR="00663674" w:rsidRPr="00420D51">
        <w:t xml:space="preserve">: </w:t>
      </w:r>
      <w:r w:rsidR="00663674" w:rsidRPr="00C754DF">
        <w:rPr>
          <w:i/>
          <w:iCs/>
        </w:rPr>
        <w:t>B</w:t>
      </w:r>
      <w:r w:rsidR="00663674" w:rsidRPr="00C754DF">
        <w:t xml:space="preserve">=-.043, </w:t>
      </w:r>
      <w:r w:rsidR="00663674" w:rsidRPr="00C754DF">
        <w:rPr>
          <w:i/>
          <w:iCs/>
        </w:rPr>
        <w:t>SE</w:t>
      </w:r>
      <w:r w:rsidR="00663674" w:rsidRPr="00C754DF">
        <w:t xml:space="preserve">=.202, </w:t>
      </w:r>
      <w:r w:rsidR="00663674" w:rsidRPr="00C754DF">
        <w:rPr>
          <w:i/>
          <w:iCs/>
        </w:rPr>
        <w:t>p</w:t>
      </w:r>
      <w:r w:rsidR="00663674" w:rsidRPr="00C754DF">
        <w:t xml:space="preserve">=.832, </w:t>
      </w:r>
      <w:r w:rsidR="00663674" w:rsidRPr="00C754DF">
        <w:rPr>
          <w:i/>
          <w:iCs/>
        </w:rPr>
        <w:t>ΔR</w:t>
      </w:r>
      <w:r w:rsidR="00663674" w:rsidRPr="00C754DF">
        <w:rPr>
          <w:i/>
          <w:iCs/>
          <w:vertAlign w:val="superscript"/>
        </w:rPr>
        <w:t>2</w:t>
      </w:r>
      <w:r w:rsidR="00663674" w:rsidRPr="00C754DF">
        <w:t>=.001</w:t>
      </w:r>
      <w:r w:rsidR="00663674" w:rsidRPr="00420D51">
        <w:t xml:space="preserve">). </w:t>
      </w:r>
      <w:r w:rsidR="00C04A5C" w:rsidRPr="00C754DF">
        <w:t>We did not detect interaction effects</w:t>
      </w:r>
      <w:r w:rsidR="00276A11" w:rsidRPr="00C754DF">
        <w:t xml:space="preserve"> </w:t>
      </w:r>
      <w:r w:rsidR="00136128">
        <w:t xml:space="preserve">between dopamine availability in the basal ganglia and immune PC5 scores </w:t>
      </w:r>
      <w:r w:rsidR="00C04A5C" w:rsidRPr="00C754DF">
        <w:t xml:space="preserve">on PVSS overall anhedonia, </w:t>
      </w:r>
      <w:proofErr w:type="spellStart"/>
      <w:r w:rsidR="00C04A5C" w:rsidRPr="00C754DF">
        <w:t>anticipitary</w:t>
      </w:r>
      <w:proofErr w:type="spellEnd"/>
      <w:r w:rsidR="00C04A5C" w:rsidRPr="00C754DF">
        <w:t xml:space="preserve"> anhedonia, and consummatory anhedonia</w:t>
      </w:r>
      <w:r w:rsidR="007750D3" w:rsidRPr="00C754DF">
        <w:t xml:space="preserve"> (</w:t>
      </w:r>
      <w:r w:rsidR="007750D3" w:rsidRPr="00C754DF">
        <w:rPr>
          <w:i/>
          <w:iCs/>
        </w:rPr>
        <w:t>p’s</w:t>
      </w:r>
      <w:r w:rsidR="007750D3" w:rsidRPr="00C754DF">
        <w:t xml:space="preserve"> &gt; .05)</w:t>
      </w:r>
      <w:r w:rsidR="00C04A5C" w:rsidRPr="00C754DF">
        <w:t>.</w:t>
      </w:r>
    </w:p>
    <w:p w14:paraId="0737FDA4" w14:textId="77777777" w:rsidR="007417EF" w:rsidRPr="004B66F7" w:rsidRDefault="007417EF" w:rsidP="004A7BD6">
      <w:pPr>
        <w:spacing w:line="480" w:lineRule="auto"/>
        <w:ind w:firstLine="720"/>
        <w:rPr>
          <w:color w:val="000000" w:themeColor="text1"/>
        </w:rPr>
      </w:pPr>
    </w:p>
    <w:p w14:paraId="46E797F8" w14:textId="77777777" w:rsidR="007417EF" w:rsidRPr="004B66F7" w:rsidRDefault="007417EF" w:rsidP="00C754DF">
      <w:pPr>
        <w:spacing w:line="480" w:lineRule="auto"/>
        <w:rPr>
          <w:color w:val="000000" w:themeColor="text1"/>
        </w:rPr>
      </w:pPr>
    </w:p>
    <w:p w14:paraId="18B09ED8" w14:textId="77777777" w:rsidR="009D33A6" w:rsidRDefault="009D33A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19DD5CE5" w14:textId="5CA74937" w:rsidR="004F0ADA" w:rsidRPr="004B66F7" w:rsidRDefault="00CF7A8D" w:rsidP="001F4F0F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 xml:space="preserve">Supplementary </w:t>
      </w:r>
      <w:r w:rsidR="004F0ADA" w:rsidRPr="004B66F7">
        <w:rPr>
          <w:color w:val="000000" w:themeColor="text1"/>
          <w:sz w:val="18"/>
          <w:szCs w:val="18"/>
        </w:rPr>
        <w:t xml:space="preserve">Table </w:t>
      </w:r>
      <w:r w:rsidR="00956461" w:rsidRPr="004B66F7">
        <w:rPr>
          <w:color w:val="000000" w:themeColor="text1"/>
          <w:sz w:val="18"/>
          <w:szCs w:val="18"/>
        </w:rPr>
        <w:t>1</w:t>
      </w:r>
      <w:r w:rsidR="004F0ADA" w:rsidRPr="004B66F7">
        <w:rPr>
          <w:color w:val="000000" w:themeColor="text1"/>
          <w:sz w:val="18"/>
          <w:szCs w:val="18"/>
        </w:rPr>
        <w:t>. Summary of NPX values for each</w:t>
      </w:r>
      <w:r w:rsidR="00AB48C5" w:rsidRPr="004B66F7">
        <w:rPr>
          <w:color w:val="000000" w:themeColor="text1"/>
          <w:sz w:val="18"/>
          <w:szCs w:val="18"/>
        </w:rPr>
        <w:t xml:space="preserve"> of the 70</w:t>
      </w:r>
      <w:r w:rsidR="004F0ADA" w:rsidRPr="004B66F7">
        <w:rPr>
          <w:color w:val="000000" w:themeColor="text1"/>
          <w:sz w:val="18"/>
          <w:szCs w:val="18"/>
        </w:rPr>
        <w:t xml:space="preserve"> immune protein included in PCA.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2138"/>
        <w:gridCol w:w="2981"/>
        <w:gridCol w:w="2531"/>
      </w:tblGrid>
      <w:tr w:rsidR="004F0ADA" w:rsidRPr="004B66F7" w14:paraId="536C5A08" w14:textId="77777777" w:rsidTr="00C452E8">
        <w:trPr>
          <w:trHeight w:val="24"/>
          <w:tblHeader/>
        </w:trPr>
        <w:tc>
          <w:tcPr>
            <w:tcW w:w="213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69F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b/>
                <w:bCs/>
                <w:sz w:val="16"/>
                <w:szCs w:val="16"/>
              </w:rPr>
            </w:pPr>
            <w:r w:rsidRPr="004B66F7">
              <w:rPr>
                <w:rFonts w:eastAsia="Helvetica" w:cs="Helvetica"/>
                <w:b/>
                <w:bCs/>
                <w:color w:val="000000"/>
                <w:sz w:val="16"/>
                <w:szCs w:val="16"/>
              </w:rPr>
              <w:t>Immune Proteins</w:t>
            </w:r>
          </w:p>
        </w:tc>
        <w:tc>
          <w:tcPr>
            <w:tcW w:w="29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4D4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4B66F7">
              <w:rPr>
                <w:rFonts w:eastAsia="Calibri" w:cs="Calibri"/>
                <w:b/>
                <w:bCs/>
                <w:sz w:val="16"/>
                <w:szCs w:val="16"/>
              </w:rPr>
              <w:t>Mean NPX units, log2 scale</w:t>
            </w:r>
          </w:p>
        </w:tc>
        <w:tc>
          <w:tcPr>
            <w:tcW w:w="253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71D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b/>
                <w:bCs/>
                <w:sz w:val="16"/>
                <w:szCs w:val="16"/>
              </w:rPr>
            </w:pPr>
            <w:r w:rsidRPr="004B66F7">
              <w:rPr>
                <w:rFonts w:eastAsia="Helvetica" w:cs="Helvetica"/>
                <w:b/>
                <w:bCs/>
                <w:color w:val="000000"/>
                <w:sz w:val="16"/>
                <w:szCs w:val="16"/>
              </w:rPr>
              <w:t>Standard Deviation</w:t>
            </w:r>
          </w:p>
        </w:tc>
      </w:tr>
      <w:tr w:rsidR="004F0ADA" w:rsidRPr="004B66F7" w14:paraId="701938A5" w14:textId="77777777" w:rsidTr="00C452E8">
        <w:trPr>
          <w:trHeight w:val="24"/>
        </w:trPr>
        <w:tc>
          <w:tcPr>
            <w:tcW w:w="213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377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IL8</w:t>
            </w:r>
          </w:p>
        </w:tc>
        <w:tc>
          <w:tcPr>
            <w:tcW w:w="29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94A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253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2B4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0.54</w:t>
            </w:r>
          </w:p>
        </w:tc>
      </w:tr>
      <w:tr w:rsidR="004F0ADA" w:rsidRPr="004B66F7" w14:paraId="11A247D0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6DD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1A1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B7C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0.42</w:t>
            </w:r>
          </w:p>
        </w:tc>
      </w:tr>
      <w:tr w:rsidR="004F0ADA" w:rsidRPr="004B66F7" w14:paraId="5C0B7BBF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7B3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CD8A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CAA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D15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1.29</w:t>
            </w:r>
          </w:p>
        </w:tc>
      </w:tr>
      <w:tr w:rsidR="004F0ADA" w:rsidRPr="004B66F7" w14:paraId="5A2D6845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280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CDCP1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05F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91A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0.44</w:t>
            </w:r>
          </w:p>
        </w:tc>
      </w:tr>
      <w:tr w:rsidR="004F0ADA" w:rsidRPr="004B66F7" w14:paraId="6AFAAC7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BDB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CD244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C64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B55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0.36</w:t>
            </w:r>
          </w:p>
        </w:tc>
      </w:tr>
      <w:tr w:rsidR="004F0ADA" w:rsidRPr="004B66F7" w14:paraId="6CFC9A5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491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IL7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A87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833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0.56</w:t>
            </w:r>
          </w:p>
        </w:tc>
      </w:tr>
      <w:tr w:rsidR="004F0ADA" w:rsidRPr="004B66F7" w14:paraId="4495C1EF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F34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OPG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8DC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2B4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0.33</w:t>
            </w:r>
          </w:p>
        </w:tc>
      </w:tr>
      <w:tr w:rsidR="004F0ADA" w:rsidRPr="004B66F7" w14:paraId="7F7FAB72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981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LAP TGF-beta-1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ECF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CF0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0.40</w:t>
            </w:r>
          </w:p>
        </w:tc>
      </w:tr>
      <w:tr w:rsidR="004F0ADA" w:rsidRPr="004B66F7" w14:paraId="78127DD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DC0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proofErr w:type="spellStart"/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uPA</w:t>
            </w:r>
            <w:proofErr w:type="spellEnd"/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776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6E7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0.39</w:t>
            </w:r>
          </w:p>
        </w:tc>
      </w:tr>
      <w:tr w:rsidR="004F0ADA" w:rsidRPr="004B66F7" w14:paraId="64C8A7C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C60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IL6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013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48B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0.89</w:t>
            </w:r>
          </w:p>
        </w:tc>
      </w:tr>
      <w:tr w:rsidR="004F0ADA" w:rsidRPr="004B66F7" w14:paraId="760C07A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128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IL-17C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911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53A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0.87</w:t>
            </w:r>
          </w:p>
        </w:tc>
      </w:tr>
      <w:tr w:rsidR="004F0ADA" w:rsidRPr="004B66F7" w14:paraId="7410E51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C58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MCP-1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EA2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712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0.34</w:t>
            </w:r>
          </w:p>
        </w:tc>
      </w:tr>
      <w:tr w:rsidR="004F0ADA" w:rsidRPr="004B66F7" w14:paraId="6D442D2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607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CXCL11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0F6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79A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0.86</w:t>
            </w:r>
          </w:p>
        </w:tc>
      </w:tr>
      <w:tr w:rsidR="004F0ADA" w:rsidRPr="004B66F7" w14:paraId="46B4B789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C24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AXIN1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797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536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1.24</w:t>
            </w:r>
          </w:p>
        </w:tc>
      </w:tr>
      <w:tr w:rsidR="004F0ADA" w:rsidRPr="004B66F7" w14:paraId="27B0346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912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TRAIL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9A6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1AD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0.37</w:t>
            </w:r>
          </w:p>
        </w:tc>
      </w:tr>
      <w:tr w:rsidR="004F0ADA" w:rsidRPr="004B66F7" w14:paraId="78A2336F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F74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CXCL9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3AD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F2D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0.73</w:t>
            </w:r>
          </w:p>
        </w:tc>
      </w:tr>
      <w:tr w:rsidR="004F0ADA" w:rsidRPr="004B66F7" w14:paraId="4768ACA8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817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CST5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D8E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E1D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0.53</w:t>
            </w:r>
          </w:p>
        </w:tc>
      </w:tr>
      <w:tr w:rsidR="004F0ADA" w:rsidRPr="004B66F7" w14:paraId="6CBDD7C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168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OSM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34A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9F7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1.03</w:t>
            </w:r>
          </w:p>
        </w:tc>
      </w:tr>
      <w:tr w:rsidR="004F0ADA" w:rsidRPr="004B66F7" w14:paraId="6E2BA495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757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12A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470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0.76</w:t>
            </w:r>
          </w:p>
        </w:tc>
      </w:tr>
      <w:tr w:rsidR="004F0ADA" w:rsidRPr="004B66F7" w14:paraId="22335D6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1C4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CCL4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2B6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F77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0.54</w:t>
            </w:r>
          </w:p>
        </w:tc>
      </w:tr>
      <w:tr w:rsidR="004F0ADA" w:rsidRPr="004B66F7" w14:paraId="46034C2D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15F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D31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E6D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0.58</w:t>
            </w:r>
          </w:p>
        </w:tc>
      </w:tr>
      <w:tr w:rsidR="004F0ADA" w:rsidRPr="004B66F7" w14:paraId="7377B2BA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292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SCF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5A1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28A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0.38</w:t>
            </w:r>
          </w:p>
        </w:tc>
      </w:tr>
      <w:tr w:rsidR="004F0ADA" w:rsidRPr="004B66F7" w14:paraId="08B4F9A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8EA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IL18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1A3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8.88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CA3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0.56</w:t>
            </w:r>
          </w:p>
        </w:tc>
      </w:tr>
      <w:tr w:rsidR="004F0ADA" w:rsidRPr="004B66F7" w14:paraId="57CA7CA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225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SLAMF1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E63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269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0.38</w:t>
            </w:r>
          </w:p>
        </w:tc>
      </w:tr>
      <w:tr w:rsidR="004F0ADA" w:rsidRPr="004B66F7" w14:paraId="5169F498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D2C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TGF-alpha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154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587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0.51</w:t>
            </w:r>
          </w:p>
        </w:tc>
      </w:tr>
      <w:tr w:rsidR="004F0ADA" w:rsidRPr="004B66F7" w14:paraId="67ED36E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3A4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MCP-4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06B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57C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0.70</w:t>
            </w:r>
          </w:p>
        </w:tc>
      </w:tr>
      <w:tr w:rsidR="004F0ADA" w:rsidRPr="004B66F7" w14:paraId="089D2C3F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172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CCL11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22B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B81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0.68</w:t>
            </w:r>
          </w:p>
        </w:tc>
      </w:tr>
      <w:tr w:rsidR="004F0ADA" w:rsidRPr="004B66F7" w14:paraId="07B2A9DD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1C1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TNFSF14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88D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0B2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0.71</w:t>
            </w:r>
          </w:p>
        </w:tc>
      </w:tr>
      <w:tr w:rsidR="004F0ADA" w:rsidRPr="004B66F7" w14:paraId="18F7E74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319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FGF-23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516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F89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0.69</w:t>
            </w:r>
          </w:p>
        </w:tc>
      </w:tr>
      <w:tr w:rsidR="004F0ADA" w:rsidRPr="004B66F7" w14:paraId="390E7FB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D65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MMP-1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33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DE0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1.13</w:t>
            </w:r>
          </w:p>
        </w:tc>
      </w:tr>
      <w:tr w:rsidR="004F0ADA" w:rsidRPr="004B66F7" w14:paraId="0BBB5F5D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6D0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LIF-R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D3E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127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0.29</w:t>
            </w:r>
          </w:p>
        </w:tc>
      </w:tr>
      <w:tr w:rsidR="004F0ADA" w:rsidRPr="004B66F7" w14:paraId="1E7209F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172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FGF-21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042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809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1.49</w:t>
            </w:r>
          </w:p>
        </w:tc>
      </w:tr>
      <w:tr w:rsidR="004F0ADA" w:rsidRPr="004B66F7" w14:paraId="6DA18B6F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8FD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CCL19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C9E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959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1.04</w:t>
            </w:r>
          </w:p>
        </w:tc>
      </w:tr>
      <w:tr w:rsidR="004F0ADA" w:rsidRPr="004B66F7" w14:paraId="7618E3D5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096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IL-10RB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736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39F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0.30</w:t>
            </w:r>
          </w:p>
        </w:tc>
      </w:tr>
      <w:tr w:rsidR="004F0ADA" w:rsidRPr="004B66F7" w14:paraId="3F43D565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6A4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IL-18R1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D27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8F9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0.41</w:t>
            </w:r>
          </w:p>
        </w:tc>
      </w:tr>
      <w:tr w:rsidR="004F0ADA" w:rsidRPr="004B66F7" w14:paraId="7C4FD1B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645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PD-L1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904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08B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0.32</w:t>
            </w:r>
          </w:p>
        </w:tc>
      </w:tr>
      <w:tr w:rsidR="004F0ADA" w:rsidRPr="004B66F7" w14:paraId="031D4992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F14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CXCL5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346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11.97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F89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1.20</w:t>
            </w:r>
          </w:p>
        </w:tc>
      </w:tr>
      <w:tr w:rsidR="004F0ADA" w:rsidRPr="004B66F7" w14:paraId="474F9DCC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069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TRANCE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7AD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885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0.65</w:t>
            </w:r>
          </w:p>
        </w:tc>
      </w:tr>
      <w:tr w:rsidR="004F0ADA" w:rsidRPr="004B66F7" w14:paraId="34924C1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81C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HGF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59C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26D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0.51</w:t>
            </w:r>
          </w:p>
        </w:tc>
      </w:tr>
      <w:tr w:rsidR="004F0ADA" w:rsidRPr="004B66F7" w14:paraId="40647AB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FDF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IL-12B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EC1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BFE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0.61</w:t>
            </w:r>
          </w:p>
        </w:tc>
      </w:tr>
      <w:tr w:rsidR="004F0ADA" w:rsidRPr="004B66F7" w14:paraId="0F8219E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220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MMP-10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A5C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F24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0.70</w:t>
            </w:r>
          </w:p>
        </w:tc>
      </w:tr>
      <w:tr w:rsidR="004F0ADA" w:rsidRPr="004B66F7" w14:paraId="260E7F3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EFD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IL10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A5F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9C7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0.63</w:t>
            </w:r>
          </w:p>
        </w:tc>
      </w:tr>
      <w:tr w:rsidR="004F0ADA" w:rsidRPr="004B66F7" w14:paraId="045D91C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CEA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TNF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BCC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E00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0.58</w:t>
            </w:r>
          </w:p>
        </w:tc>
      </w:tr>
      <w:tr w:rsidR="004F0ADA" w:rsidRPr="004B66F7" w14:paraId="711A87EA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AD2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CCL23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47D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11.81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577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0.39</w:t>
            </w:r>
          </w:p>
        </w:tc>
      </w:tr>
      <w:tr w:rsidR="004F0ADA" w:rsidRPr="004B66F7" w14:paraId="7337C0AC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019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CD5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A33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BA1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0.32</w:t>
            </w:r>
          </w:p>
        </w:tc>
      </w:tr>
      <w:tr w:rsidR="004F0ADA" w:rsidRPr="004B66F7" w14:paraId="070B5C23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68C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CCL3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F33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32B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0.64</w:t>
            </w:r>
          </w:p>
        </w:tc>
      </w:tr>
      <w:tr w:rsidR="004F0ADA" w:rsidRPr="004B66F7" w14:paraId="5610058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682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Flt3L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9E4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B1C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0.46</w:t>
            </w:r>
          </w:p>
        </w:tc>
      </w:tr>
      <w:tr w:rsidR="004F0ADA" w:rsidRPr="004B66F7" w14:paraId="0C8FDD3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FC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CXCL6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E6E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DF9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0.70</w:t>
            </w:r>
          </w:p>
        </w:tc>
      </w:tr>
      <w:tr w:rsidR="004F0ADA" w:rsidRPr="004B66F7" w14:paraId="4E5382A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BC5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CXCL10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A5D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7.99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ADC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0.71</w:t>
            </w:r>
          </w:p>
        </w:tc>
      </w:tr>
      <w:tr w:rsidR="004F0ADA" w:rsidRPr="004B66F7" w14:paraId="26921E4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393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4E-BP1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23C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89C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2.35</w:t>
            </w:r>
          </w:p>
        </w:tc>
      </w:tr>
      <w:tr w:rsidR="004F0ADA" w:rsidRPr="004B66F7" w14:paraId="5CCE8F3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EC2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SIRT2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63E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05D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1.42</w:t>
            </w:r>
          </w:p>
        </w:tc>
      </w:tr>
      <w:tr w:rsidR="004F0ADA" w:rsidRPr="004B66F7" w14:paraId="4868119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A64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CCL28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598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FC7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0.83</w:t>
            </w:r>
          </w:p>
        </w:tc>
      </w:tr>
      <w:tr w:rsidR="004F0ADA" w:rsidRPr="004B66F7" w14:paraId="3FD95C43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A0F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DNER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8BF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8.68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DFC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0.24</w:t>
            </w:r>
          </w:p>
        </w:tc>
      </w:tr>
      <w:tr w:rsidR="004F0ADA" w:rsidRPr="004B66F7" w14:paraId="58E08158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4C1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EN-RAGE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AD8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B70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1.05</w:t>
            </w:r>
          </w:p>
        </w:tc>
      </w:tr>
      <w:tr w:rsidR="004F0ADA" w:rsidRPr="004B66F7" w14:paraId="012FCC6A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00F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CD40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97B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F43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0.42</w:t>
            </w:r>
          </w:p>
        </w:tc>
      </w:tr>
      <w:tr w:rsidR="004F0ADA" w:rsidRPr="004B66F7" w14:paraId="2F0747E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A28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IFN-gamma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BCD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2DC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0.78</w:t>
            </w:r>
          </w:p>
        </w:tc>
      </w:tr>
      <w:tr w:rsidR="004F0ADA" w:rsidRPr="004B66F7" w14:paraId="031AAB2A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31AC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FGF-19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7BA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E21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0.89</w:t>
            </w:r>
          </w:p>
        </w:tc>
      </w:tr>
      <w:tr w:rsidR="004F0ADA" w:rsidRPr="004B66F7" w14:paraId="3DC1FB2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0CF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MCP-2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A3F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20F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0.65</w:t>
            </w:r>
          </w:p>
        </w:tc>
      </w:tr>
      <w:tr w:rsidR="004F0ADA" w:rsidRPr="004B66F7" w14:paraId="75138F54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C2F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CASP-8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2F4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D34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0.86</w:t>
            </w:r>
          </w:p>
        </w:tc>
      </w:tr>
      <w:tr w:rsidR="004F0ADA" w:rsidRPr="004B66F7" w14:paraId="5CA0626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745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CCL25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E6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A38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0.58</w:t>
            </w:r>
          </w:p>
        </w:tc>
      </w:tr>
      <w:tr w:rsidR="004F0ADA" w:rsidRPr="004B66F7" w14:paraId="150DBE6B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01C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CX3CL1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180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0F3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0.70</w:t>
            </w:r>
          </w:p>
        </w:tc>
      </w:tr>
      <w:tr w:rsidR="004F0ADA" w:rsidRPr="004B66F7" w14:paraId="7C571B85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CCC3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TNFRSF9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300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588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0.42</w:t>
            </w:r>
          </w:p>
        </w:tc>
      </w:tr>
      <w:tr w:rsidR="004F0ADA" w:rsidRPr="004B66F7" w14:paraId="04627A0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B8A6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NT-3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916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A86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0.42</w:t>
            </w:r>
          </w:p>
        </w:tc>
      </w:tr>
      <w:tr w:rsidR="004F0ADA" w:rsidRPr="004B66F7" w14:paraId="5253DC50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DC4B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lastRenderedPageBreak/>
              <w:t>TWEAK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1838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D032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0.37</w:t>
            </w:r>
          </w:p>
        </w:tc>
      </w:tr>
      <w:tr w:rsidR="004F0ADA" w:rsidRPr="004B66F7" w14:paraId="27CCC0D3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D43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CCL20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EBB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C10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0.93</w:t>
            </w:r>
          </w:p>
        </w:tc>
      </w:tr>
      <w:tr w:rsidR="004F0ADA" w:rsidRPr="004B66F7" w14:paraId="37B3BF80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1E6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ST1A1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B874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FBD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1.07</w:t>
            </w:r>
          </w:p>
        </w:tc>
      </w:tr>
      <w:tr w:rsidR="004F0ADA" w:rsidRPr="004B66F7" w14:paraId="3B3AA081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5B2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STAMBP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D637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B6CD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0.89</w:t>
            </w:r>
          </w:p>
        </w:tc>
      </w:tr>
      <w:tr w:rsidR="004F0ADA" w:rsidRPr="004B66F7" w14:paraId="539CED27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3A05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C4C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5.60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126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0.38</w:t>
            </w:r>
          </w:p>
        </w:tc>
      </w:tr>
      <w:tr w:rsidR="004F0ADA" w:rsidRPr="004B66F7" w14:paraId="19F5BF66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C9CF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TNFB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DF7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CD31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0.96</w:t>
            </w:r>
          </w:p>
        </w:tc>
      </w:tr>
      <w:tr w:rsidR="004F0ADA" w:rsidRPr="004B66F7" w14:paraId="5C15A3E0" w14:textId="77777777" w:rsidTr="00C452E8">
        <w:trPr>
          <w:trHeight w:val="24"/>
        </w:trPr>
        <w:tc>
          <w:tcPr>
            <w:tcW w:w="213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636E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CSF-1</w:t>
            </w:r>
          </w:p>
        </w:tc>
        <w:tc>
          <w:tcPr>
            <w:tcW w:w="29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2F5A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78F9" w14:textId="77777777" w:rsidR="004F0ADA" w:rsidRPr="004B66F7" w:rsidRDefault="004F0ADA" w:rsidP="001F4F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contextualSpacing/>
              <w:jc w:val="right"/>
              <w:rPr>
                <w:sz w:val="16"/>
                <w:szCs w:val="16"/>
              </w:rPr>
            </w:pPr>
            <w:r w:rsidRPr="004B66F7">
              <w:rPr>
                <w:rFonts w:eastAsia="Helvetica" w:cs="Helvetica"/>
                <w:color w:val="000000"/>
                <w:sz w:val="16"/>
                <w:szCs w:val="16"/>
              </w:rPr>
              <w:t>0.21</w:t>
            </w:r>
          </w:p>
        </w:tc>
      </w:tr>
    </w:tbl>
    <w:p w14:paraId="505C8683" w14:textId="56C0E7DB" w:rsidR="00C45BAC" w:rsidRPr="000666A3" w:rsidRDefault="00C45BAC" w:rsidP="000666A3">
      <w:pPr>
        <w:ind w:right="1710"/>
        <w:rPr>
          <w:color w:val="000000" w:themeColor="text1"/>
          <w:sz w:val="18"/>
          <w:szCs w:val="18"/>
        </w:rPr>
      </w:pPr>
      <w:r w:rsidRPr="000666A3">
        <w:rPr>
          <w:rStyle w:val="Strong"/>
          <w:sz w:val="18"/>
          <w:szCs w:val="18"/>
        </w:rPr>
        <w:t>Note.</w:t>
      </w:r>
      <w:r w:rsidRPr="000666A3">
        <w:rPr>
          <w:sz w:val="18"/>
          <w:szCs w:val="18"/>
        </w:rPr>
        <w:t xml:space="preserve"> See Supplementary List of Abbreviations for full protein names.</w:t>
      </w:r>
    </w:p>
    <w:p w14:paraId="60B1A566" w14:textId="77777777" w:rsidR="00C45BAC" w:rsidRDefault="00C45BAC" w:rsidP="001F4F0F">
      <w:pPr>
        <w:rPr>
          <w:color w:val="000000" w:themeColor="text1"/>
        </w:rPr>
      </w:pPr>
    </w:p>
    <w:p w14:paraId="656A3B11" w14:textId="77777777" w:rsidR="00C45BAC" w:rsidRDefault="00C45BAC" w:rsidP="001F4F0F">
      <w:pPr>
        <w:rPr>
          <w:color w:val="000000" w:themeColor="text1"/>
        </w:rPr>
      </w:pPr>
    </w:p>
    <w:p w14:paraId="583244B6" w14:textId="38D835FE" w:rsidR="00527E45" w:rsidRDefault="00527E45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27E45" w:rsidRPr="00527E45" w14:paraId="38556B89" w14:textId="77777777" w:rsidTr="000666A3">
        <w:trPr>
          <w:trHeight w:val="2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828F" w14:textId="4E7CAEF0" w:rsidR="00527E45" w:rsidRPr="00527E45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527E4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Supplementary Table 2. Loadings of immune proteins in the first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five</w:t>
            </w:r>
            <w:r w:rsidRPr="00527E4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principal components.</w:t>
            </w:r>
          </w:p>
        </w:tc>
      </w:tr>
      <w:tr w:rsidR="00527E45" w:rsidRPr="00527E45" w14:paraId="407FE719" w14:textId="77777777" w:rsidTr="000666A3">
        <w:trPr>
          <w:trHeight w:val="260"/>
        </w:trPr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3A77" w14:textId="77777777" w:rsidR="00527E45" w:rsidRPr="000666A3" w:rsidRDefault="00527E45" w:rsidP="00527E4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PC1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BCF4" w14:textId="77777777" w:rsidR="00527E45" w:rsidRPr="000666A3" w:rsidRDefault="00527E45" w:rsidP="00527E4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PC2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8853" w14:textId="77777777" w:rsidR="00527E45" w:rsidRPr="000666A3" w:rsidRDefault="00527E45" w:rsidP="00527E4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PC3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AE05" w14:textId="77777777" w:rsidR="00527E45" w:rsidRPr="000666A3" w:rsidRDefault="00527E45" w:rsidP="00527E4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PC4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D5CC" w14:textId="77777777" w:rsidR="00527E45" w:rsidRPr="000666A3" w:rsidRDefault="00527E45" w:rsidP="00527E45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PC5</w:t>
            </w:r>
          </w:p>
        </w:tc>
      </w:tr>
      <w:tr w:rsidR="00527E45" w:rsidRPr="00527E45" w14:paraId="3E5F673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18AD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Immune Protein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73A82" w14:textId="77777777" w:rsidR="00527E45" w:rsidRPr="000666A3" w:rsidRDefault="00527E45" w:rsidP="000666A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Loading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C6B1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Immune Protein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601DE" w14:textId="77777777" w:rsidR="00527E45" w:rsidRPr="000666A3" w:rsidRDefault="00527E45" w:rsidP="000666A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Loading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25C5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Immune Protein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71E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Loading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9B88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Immune Protein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7F8B1" w14:textId="77777777" w:rsidR="00527E45" w:rsidRPr="000666A3" w:rsidRDefault="00527E45" w:rsidP="000666A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 xml:space="preserve">Loading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C714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Immune Protein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15AA5" w14:textId="77777777" w:rsidR="00527E45" w:rsidRPr="000666A3" w:rsidRDefault="00527E45" w:rsidP="000666A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Loading</w:t>
            </w:r>
          </w:p>
        </w:tc>
      </w:tr>
      <w:tr w:rsidR="00527E45" w:rsidRPr="00527E45" w14:paraId="77FEE102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E1B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LAP TGF-beta-1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5A0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FCD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4E-BP1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45C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6C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ST1A1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609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A2A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DF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0.247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602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CD8A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BB5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-0.267</w:t>
            </w:r>
          </w:p>
        </w:tc>
      </w:tr>
      <w:tr w:rsidR="00527E45" w:rsidRPr="00527E45" w14:paraId="1D1224F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FE1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TNFSF14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95A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93E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471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8FE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TWEAK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7A7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0AF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uPA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763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ABF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DNER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309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0.263</w:t>
            </w:r>
          </w:p>
        </w:tc>
      </w:tr>
      <w:tr w:rsidR="00527E45" w:rsidRPr="00527E45" w14:paraId="7DD23DE2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B5A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A72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19F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AXIN1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615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1DA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SIRT2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5C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7E0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CD8A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17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DD4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FFB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-0.235</w:t>
            </w:r>
          </w:p>
        </w:tc>
      </w:tr>
      <w:tr w:rsidR="00527E45" w:rsidRPr="00527E45" w14:paraId="23FFBAC9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F3D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VEGFA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AEB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336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SIRT2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454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3BA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EN-RAGE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E3E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99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ST1A1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F8F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75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CX3CL1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6FF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0.233</w:t>
            </w:r>
          </w:p>
        </w:tc>
      </w:tr>
      <w:tr w:rsidR="00527E45" w:rsidRPr="00527E45" w14:paraId="54A0D39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E1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1D4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299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CX3CL1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840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229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AXIN1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B6A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FC4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7CD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569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OSM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E2E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-0.232</w:t>
            </w:r>
          </w:p>
        </w:tc>
      </w:tr>
      <w:tr w:rsidR="00527E45" w:rsidRPr="00527E45" w14:paraId="288D97ED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3F7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CE1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069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STAMBP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D96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23E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TGF-alpha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580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72E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66F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551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157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0.216</w:t>
            </w:r>
          </w:p>
        </w:tc>
      </w:tr>
      <w:tr w:rsidR="00527E45" w:rsidRPr="00527E45" w14:paraId="41AB4B6A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383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622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4E6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CASP-8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B64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F0F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STAMBP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4E2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162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27E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F94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0F0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-0.209</w:t>
            </w:r>
          </w:p>
        </w:tc>
      </w:tr>
      <w:tr w:rsidR="00527E45" w:rsidRPr="00527E45" w14:paraId="322FAA6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083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0C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BFF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8F3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04D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F64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FE8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717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54A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48E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0.201</w:t>
            </w:r>
          </w:p>
        </w:tc>
      </w:tr>
      <w:tr w:rsidR="00527E45" w:rsidRPr="00527E45" w14:paraId="3306CB7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D4C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PD-L1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F2A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672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407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705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D82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116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4E-BP1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64B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F1E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564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0.196</w:t>
            </w:r>
          </w:p>
        </w:tc>
      </w:tr>
      <w:tr w:rsidR="00527E45" w:rsidRPr="00527E45" w14:paraId="00E99DB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8C3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BFF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908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IL-12B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2ED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73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LIF-R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5BA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167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DCA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AB1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629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0.165</w:t>
            </w:r>
          </w:p>
        </w:tc>
      </w:tr>
      <w:tr w:rsidR="00527E45" w:rsidRPr="00527E45" w14:paraId="3DE623AA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1B3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986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BAC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2F5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6FB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ED9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EF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CF4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BE5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TWEAK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EAC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0.162</w:t>
            </w:r>
          </w:p>
        </w:tc>
      </w:tr>
      <w:tr w:rsidR="00527E45" w:rsidRPr="00527E45" w14:paraId="6CB03952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0F0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F9A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3B8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LIF-R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748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276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SCF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8C2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AA6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SCF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FD4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E69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CD244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C9A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0.159</w:t>
            </w:r>
          </w:p>
        </w:tc>
      </w:tr>
      <w:tr w:rsidR="00527E45" w:rsidRPr="00527E45" w14:paraId="5645378A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E72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CASP-8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112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9EF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IL-10RB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6FF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76E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IL-12B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494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-0.161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E0D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6CD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AB6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4E-BP1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8D5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-0.152</w:t>
            </w:r>
          </w:p>
        </w:tc>
      </w:tr>
      <w:tr w:rsidR="00527E45" w:rsidRPr="00527E45" w14:paraId="451D1D9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7E2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46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BE6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457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935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578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18A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87C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C7F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HGF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1D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-0.152</w:t>
            </w:r>
          </w:p>
        </w:tc>
      </w:tr>
      <w:tr w:rsidR="00527E45" w:rsidRPr="00527E45" w14:paraId="6C72FBED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580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HGF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1DA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A1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NT-3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9D8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8EB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360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CCA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326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9BE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05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0.147</w:t>
            </w:r>
          </w:p>
        </w:tc>
      </w:tr>
      <w:tr w:rsidR="00527E45" w:rsidRPr="00527E45" w14:paraId="2956918A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A52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CSF-1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297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E72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CSF-1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18C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D1C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DNER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A0D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6B9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IL-17C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18E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894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SCF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FC9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0.145</w:t>
            </w:r>
          </w:p>
        </w:tc>
      </w:tr>
      <w:tr w:rsidR="00527E45" w:rsidRPr="00527E45" w14:paraId="77DCD0C9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CB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B00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F4C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4AD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094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97B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A2B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TNFSF14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591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998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OPG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E03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-0.144</w:t>
            </w:r>
          </w:p>
        </w:tc>
      </w:tr>
      <w:tr w:rsidR="00527E45" w:rsidRPr="00527E45" w14:paraId="19BCFCB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B18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TGF-alpha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0B5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0.151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085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HGF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C5E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C99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731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-0.151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90F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STAMBP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579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A32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CST5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2B2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0.143</w:t>
            </w:r>
          </w:p>
        </w:tc>
      </w:tr>
      <w:tr w:rsidR="00527E45" w:rsidRPr="00527E45" w14:paraId="28062D4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731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CD244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E9D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E3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4C7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33F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CD244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B14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5C3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TNFRSF9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793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6D1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5FC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0.139</w:t>
            </w:r>
          </w:p>
        </w:tc>
      </w:tr>
      <w:tr w:rsidR="00527E45" w:rsidRPr="00527E45" w14:paraId="1AF0B83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204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CDCP1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514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E23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6F3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06D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7EB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A61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A7D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906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CSF-1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34B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-0.139</w:t>
            </w:r>
          </w:p>
        </w:tc>
      </w:tr>
      <w:tr w:rsidR="00527E45" w:rsidRPr="00527E45" w14:paraId="56B1610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826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59C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FA6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92A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506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HGF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9F0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323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73E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36A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F81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0.136</w:t>
            </w:r>
          </w:p>
        </w:tc>
      </w:tr>
      <w:tr w:rsidR="00527E45" w:rsidRPr="00527E45" w14:paraId="377806D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2F7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SLAMF1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D3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4CC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986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A78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4A7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BD6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E4A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9D4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IL-10RB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98F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-0.136</w:t>
            </w:r>
          </w:p>
        </w:tc>
      </w:tr>
      <w:tr w:rsidR="00527E45" w:rsidRPr="00527E45" w14:paraId="15A3E2F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334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2E7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845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IL-17C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990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B3E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B4D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0CC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F24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77D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215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0.134</w:t>
            </w:r>
          </w:p>
        </w:tc>
      </w:tr>
      <w:tr w:rsidR="00527E45" w:rsidRPr="00527E45" w14:paraId="7429644A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48E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FB2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895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D8C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21C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IFN-gamma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284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2D7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FEA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3C9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VEGFA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EEA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-0.124</w:t>
            </w:r>
          </w:p>
        </w:tc>
      </w:tr>
      <w:tr w:rsidR="00527E45" w:rsidRPr="00527E45" w14:paraId="0F7C123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731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8ED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218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E89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040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TNFRSF9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879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854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OSM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49E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79C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LIF-R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D24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0.122</w:t>
            </w:r>
          </w:p>
        </w:tc>
      </w:tr>
      <w:tr w:rsidR="00527E45" w:rsidRPr="00527E45" w14:paraId="7C1B9878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82D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8D4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E3D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IFN-gamma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888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F82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CDCP1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470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E27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NT-3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999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1B3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ST1A1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775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0.120</w:t>
            </w:r>
          </w:p>
        </w:tc>
      </w:tr>
      <w:tr w:rsidR="00527E45" w:rsidRPr="00527E45" w14:paraId="2DF0E65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345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09E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B94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D00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8FD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D3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183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VEGFA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1B9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C06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368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0.114</w:t>
            </w:r>
          </w:p>
        </w:tc>
      </w:tr>
      <w:tr w:rsidR="00527E45" w:rsidRPr="00527E45" w14:paraId="428060C4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672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TNFRSF9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FFB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B9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CD8A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123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DD5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DA0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177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010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0FA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TGF-alpha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B7B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-0.109</w:t>
            </w:r>
          </w:p>
        </w:tc>
      </w:tr>
      <w:tr w:rsidR="00527E45" w:rsidRPr="00527E45" w14:paraId="1248173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254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179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C1B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TNFRSF9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61D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4ED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uPA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D1F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C37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BAC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1D7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TNFSF14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286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-0.108</w:t>
            </w:r>
          </w:p>
        </w:tc>
      </w:tr>
      <w:tr w:rsidR="00527E45" w:rsidRPr="00527E45" w14:paraId="7B00990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69D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OSM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E99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7F5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562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8B7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E20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C39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LIF-R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906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B8F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EDB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0.101</w:t>
            </w:r>
          </w:p>
        </w:tc>
      </w:tr>
      <w:tr w:rsidR="00527E45" w:rsidRPr="00527E45" w14:paraId="0D19A68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FAE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6E1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45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IL-18R1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E8C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A9E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EE3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BE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CX3CL1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175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95C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F03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0.098</w:t>
            </w:r>
          </w:p>
        </w:tc>
      </w:tr>
      <w:tr w:rsidR="00527E45" w:rsidRPr="00527E45" w14:paraId="4BB786A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4B6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6C2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2E2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ST1A1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5B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F8D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CX3CL1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9F3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903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7CC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6AA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87B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0.097</w:t>
            </w:r>
          </w:p>
        </w:tc>
      </w:tr>
      <w:tr w:rsidR="00527E45" w:rsidRPr="00527E45" w14:paraId="2DDD11A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729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STAMBP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6CE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273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TGF-alpha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83D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53B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16D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89B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IFN-gamma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966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E44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TRANCE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94C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-0.094</w:t>
            </w:r>
          </w:p>
        </w:tc>
      </w:tr>
      <w:tr w:rsidR="00527E45" w:rsidRPr="00527E45" w14:paraId="64CD7C2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D1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IL-10RB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197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EC9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CDCP1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AC3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0B5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LAP TGF-beta-1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911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4D8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CST5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4D1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BA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690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0.093</w:t>
            </w:r>
          </w:p>
        </w:tc>
      </w:tr>
      <w:tr w:rsidR="00527E45" w:rsidRPr="00527E45" w14:paraId="60F6ED0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9DA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5C4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85A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2A0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CCE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6D4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F3B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DNER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92C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2B0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SLAMF1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3E4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0.093</w:t>
            </w:r>
          </w:p>
        </w:tc>
      </w:tr>
      <w:tr w:rsidR="00527E45" w:rsidRPr="00527E45" w14:paraId="05D8B7C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169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IL-18R1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161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409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PD-L1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26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C62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A4A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504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SIRT2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E94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D35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EN-RAGE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3B5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-0.091</w:t>
            </w:r>
          </w:p>
        </w:tc>
      </w:tr>
      <w:tr w:rsidR="00527E45" w:rsidRPr="00527E45" w14:paraId="18C2602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23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AE8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79F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OSM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E6A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5A0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863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ED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HGF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4CA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-0.104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92F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NT-3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B21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0.091</w:t>
            </w:r>
          </w:p>
        </w:tc>
      </w:tr>
      <w:tr w:rsidR="00527E45" w:rsidRPr="00527E45" w14:paraId="7C578AFD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36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A58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95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uPA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DF2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90E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5DB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C62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SLAMF1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52E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637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Flt3L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06F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0.086</w:t>
            </w:r>
          </w:p>
        </w:tc>
      </w:tr>
      <w:tr w:rsidR="00527E45" w:rsidRPr="00527E45" w14:paraId="3AA92118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0FA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SIRT2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A02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E98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D9B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67B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C07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0E5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DE2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0B2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IL-12B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012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-0.084</w:t>
            </w:r>
          </w:p>
        </w:tc>
      </w:tr>
      <w:tr w:rsidR="00527E45" w:rsidRPr="00527E45" w14:paraId="2354773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785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IL-17C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37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1C5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OPG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C91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599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OSM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D47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EF4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TWEAK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7D2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9BB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291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0.082</w:t>
            </w:r>
          </w:p>
        </w:tc>
      </w:tr>
      <w:tr w:rsidR="00527E45" w:rsidRPr="00527E45" w14:paraId="0EA15904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0A2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AXIN1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D16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63C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050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5E3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562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8E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Flt3L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F3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529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B01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0.082</w:t>
            </w:r>
          </w:p>
        </w:tc>
      </w:tr>
      <w:tr w:rsidR="00527E45" w:rsidRPr="00527E45" w14:paraId="6A35029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A3F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95A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91C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AB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FA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B4D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7CA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24D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A7A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TNFRSF9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46B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-0.074</w:t>
            </w:r>
          </w:p>
        </w:tc>
      </w:tr>
      <w:tr w:rsidR="00527E45" w:rsidRPr="00527E45" w14:paraId="63BBB6AB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585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TWEAK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EAF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351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TWEAK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A85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1A0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VEGFA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0F8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76F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AXIN1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3E1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006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2A0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0.070</w:t>
            </w:r>
          </w:p>
        </w:tc>
      </w:tr>
      <w:tr w:rsidR="00527E45" w:rsidRPr="00527E45" w14:paraId="516671C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B3A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lastRenderedPageBreak/>
              <w:t>IFN-gamma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1A3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869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LAP TGF-beta-1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4E6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9F1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CASP-8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FF3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584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E60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579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D6E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-0.069</w:t>
            </w:r>
          </w:p>
        </w:tc>
      </w:tr>
      <w:tr w:rsidR="00527E45" w:rsidRPr="00527E45" w14:paraId="28939C8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C3A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CD8A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B30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4FA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CD244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CA8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94F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F3B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A1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8AA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0.072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D1C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uPA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E12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-0.060</w:t>
            </w:r>
          </w:p>
        </w:tc>
      </w:tr>
      <w:tr w:rsidR="00527E45" w:rsidRPr="00527E45" w14:paraId="1435F3C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68F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uPA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A77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69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122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E17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CSF-1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CCE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2F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IL-18R1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011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632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IL-18R1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33D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-0.055</w:t>
            </w:r>
          </w:p>
        </w:tc>
      </w:tr>
      <w:tr w:rsidR="00527E45" w:rsidRPr="00527E45" w14:paraId="11A4868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30D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A05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FE2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0D5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718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SLAMF1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A34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ED6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5A7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833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CASP-8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CC8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-0.055</w:t>
            </w:r>
          </w:p>
        </w:tc>
      </w:tr>
      <w:tr w:rsidR="00527E45" w:rsidRPr="00527E45" w14:paraId="6B969EA2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ABF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EN-RAGE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915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D7C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EN-RAGE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BBF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E84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CD8A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5EE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E0E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CD244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9F5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A69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1AE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-0.051</w:t>
            </w:r>
          </w:p>
        </w:tc>
      </w:tr>
      <w:tr w:rsidR="00527E45" w:rsidRPr="00527E45" w14:paraId="4F2BEE6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90F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D44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5D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10D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BDD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TNFSF14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50E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3E9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OPG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B39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A36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LAP TGF-beta-1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E12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-0.050</w:t>
            </w:r>
          </w:p>
        </w:tc>
      </w:tr>
      <w:tr w:rsidR="00527E45" w:rsidRPr="00527E45" w14:paraId="7B06A79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CF5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IL-12B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631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5AB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182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B66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PD-L1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766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C69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C77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82B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6A5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0.048</w:t>
            </w:r>
          </w:p>
        </w:tc>
      </w:tr>
      <w:tr w:rsidR="00527E45" w:rsidRPr="00527E45" w14:paraId="23C1908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9FC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4E-BP1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367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650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2DB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529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88F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2B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FD5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DA6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IL-17C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D11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-0.046</w:t>
            </w:r>
          </w:p>
        </w:tc>
      </w:tr>
      <w:tr w:rsidR="00527E45" w:rsidRPr="00527E45" w14:paraId="689CFA4E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F45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860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548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SCF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337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FCF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C4C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1A5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CDCP1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9F7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A23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IFN-gamma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14F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0.034</w:t>
            </w:r>
          </w:p>
        </w:tc>
      </w:tr>
      <w:tr w:rsidR="00527E45" w:rsidRPr="00527E45" w14:paraId="0AC74A3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738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LIF-R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D3A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331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EFB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259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E17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C8D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EN-RAGE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01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C5A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42F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0.033</w:t>
            </w:r>
          </w:p>
        </w:tc>
      </w:tr>
      <w:tr w:rsidR="00527E45" w:rsidRPr="00527E45" w14:paraId="767930DF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C7D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753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D7B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VEGFA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357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9E0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CST5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21D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66B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EDE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565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3F1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0.033</w:t>
            </w:r>
          </w:p>
        </w:tc>
      </w:tr>
      <w:tr w:rsidR="00527E45" w:rsidRPr="00527E45" w14:paraId="6C7A2A36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C61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033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0.062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80C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8C6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79B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NT-3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6EA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B7F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CASP-8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65C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3F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STAMBP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E4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0.032</w:t>
            </w:r>
          </w:p>
        </w:tc>
      </w:tr>
      <w:tr w:rsidR="00527E45" w:rsidRPr="00527E45" w14:paraId="199EED0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4CC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OPG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758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03A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F34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0F2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B21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15D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711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375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856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-0.031</w:t>
            </w:r>
          </w:p>
        </w:tc>
      </w:tr>
      <w:tr w:rsidR="00527E45" w:rsidRPr="00527E45" w14:paraId="0241856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D2A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CST5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117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7A1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CAE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C8A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9CE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-0.043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4B7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IL-12B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3CB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78B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PD-L1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EE9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0.030</w:t>
            </w:r>
          </w:p>
        </w:tc>
      </w:tr>
      <w:tr w:rsidR="00527E45" w:rsidRPr="00527E45" w14:paraId="724BECF9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678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NT-3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9F3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73B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2DF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1C1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IL-10RB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E49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26A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D96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DF0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CDCP1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88C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0.030</w:t>
            </w:r>
          </w:p>
        </w:tc>
      </w:tr>
      <w:tr w:rsidR="00527E45" w:rsidRPr="00527E45" w14:paraId="303C5055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F7C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852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DB1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DNER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1A5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BB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DE91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29A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E8B9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E13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E26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0.028</w:t>
            </w:r>
          </w:p>
        </w:tc>
      </w:tr>
      <w:tr w:rsidR="00527E45" w:rsidRPr="00527E45" w14:paraId="3E310434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937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F3C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FD7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SLAMF1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B91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3D1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Flt3L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426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E88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TGF-alpha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094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39C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96D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-0.026</w:t>
            </w:r>
          </w:p>
        </w:tc>
      </w:tr>
      <w:tr w:rsidR="00527E45" w:rsidRPr="00527E45" w14:paraId="23533E0B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19C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Flt3L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CDC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D12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321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9A8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4F1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E11A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8CE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F17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DAE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-0.020</w:t>
            </w:r>
          </w:p>
        </w:tc>
      </w:tr>
      <w:tr w:rsidR="00527E45" w:rsidRPr="00527E45" w14:paraId="4C210143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E93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A5D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DAB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TNFSF14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DB5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CD7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4E-BP1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ADD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BF2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95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193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208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0.017</w:t>
            </w:r>
          </w:p>
        </w:tc>
      </w:tr>
      <w:tr w:rsidR="00527E45" w:rsidRPr="00527E45" w14:paraId="5AC4517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561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TRANCE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4F4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177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DA1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BF4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IL-18R1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DF5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9AB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CSF-1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7DE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DB5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93C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0.016</w:t>
            </w:r>
          </w:p>
        </w:tc>
      </w:tr>
      <w:tr w:rsidR="00527E45" w:rsidRPr="00527E45" w14:paraId="0D83A02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3F5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ST1A1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6D3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4F1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E29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0A5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374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1EF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IL-10RB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116C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235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CD5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A8E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-0.011</w:t>
            </w:r>
          </w:p>
        </w:tc>
      </w:tr>
      <w:tr w:rsidR="00527E45" w:rsidRPr="00527E45" w14:paraId="7BF82274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CF5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DNER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A6D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0BE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CST5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69B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728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A7D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154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TRANCE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430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D99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SIRT2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D68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0.009</w:t>
            </w:r>
          </w:p>
        </w:tc>
      </w:tr>
      <w:tr w:rsidR="00527E45" w:rsidRPr="00527E45" w14:paraId="566EB0C0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B06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423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A16D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TRANCE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B8F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20C4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OPG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48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6BA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CCL4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A4C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7E1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38FB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0.009</w:t>
            </w:r>
          </w:p>
        </w:tc>
      </w:tr>
      <w:tr w:rsidR="00527E45" w:rsidRPr="00527E45" w14:paraId="2ACB62D7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9F19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CX3CL1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6AC3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4E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BB6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D940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TRANCE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31A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F556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PD-L1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A3C8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0AB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1CB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0.008</w:t>
            </w:r>
          </w:p>
        </w:tc>
      </w:tr>
      <w:tr w:rsidR="00527E45" w:rsidRPr="00527E45" w14:paraId="2FF94B01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A65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9E4A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321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281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F497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IL-17C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420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275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LAP TGF-beta-1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2CE5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2EAC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MCP-1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6264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0.003</w:t>
            </w:r>
          </w:p>
        </w:tc>
      </w:tr>
      <w:tr w:rsidR="00527E45" w:rsidRPr="00527E45" w14:paraId="0D74FD34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337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TNFB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33D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9FD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FGF-19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E7C7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BF38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CXCL1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9FD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9C13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5BB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5D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AXIN1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AA6E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0.001</w:t>
            </w:r>
          </w:p>
        </w:tc>
      </w:tr>
      <w:tr w:rsidR="00527E45" w:rsidRPr="00527E45" w14:paraId="18B58F4B" w14:textId="77777777" w:rsidTr="000666A3">
        <w:trPr>
          <w:trHeight w:val="260"/>
        </w:trPr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2730E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SCF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4BEA6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2A29F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Flt3L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59012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4C201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3746F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0.003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69885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60A20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F1F02" w14:textId="77777777" w:rsidR="00527E45" w:rsidRPr="000666A3" w:rsidRDefault="00527E45" w:rsidP="00527E4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MMP-1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537BD" w14:textId="77777777" w:rsidR="00527E45" w:rsidRPr="000666A3" w:rsidRDefault="00527E45" w:rsidP="00527E4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666A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  <w:t>-0.001</w:t>
            </w:r>
          </w:p>
        </w:tc>
      </w:tr>
    </w:tbl>
    <w:p w14:paraId="5E7A4A0A" w14:textId="69BFB16D" w:rsidR="00527E45" w:rsidRPr="00903470" w:rsidRDefault="00527E45" w:rsidP="00527E45">
      <w:pPr>
        <w:rPr>
          <w:sz w:val="18"/>
          <w:szCs w:val="18"/>
        </w:rPr>
      </w:pPr>
      <w:r w:rsidRPr="00903470">
        <w:rPr>
          <w:b/>
          <w:bCs/>
          <w:sz w:val="18"/>
          <w:szCs w:val="18"/>
        </w:rPr>
        <w:t>Note.</w:t>
      </w:r>
      <w:r w:rsidRPr="00903470">
        <w:rPr>
          <w:sz w:val="18"/>
          <w:szCs w:val="18"/>
        </w:rPr>
        <w:t xml:space="preserve"> Proteins are listed in descending order of their</w:t>
      </w:r>
      <w:r w:rsidR="00714D83">
        <w:rPr>
          <w:sz w:val="18"/>
          <w:szCs w:val="18"/>
        </w:rPr>
        <w:t xml:space="preserve"> absolute</w:t>
      </w:r>
      <w:r w:rsidRPr="00903470">
        <w:rPr>
          <w:sz w:val="18"/>
          <w:szCs w:val="18"/>
        </w:rPr>
        <w:t xml:space="preserve"> loading values for the corresponding principal component (i.e., highest loading first). See Supplementary List of Abbreviations for full protein names.</w:t>
      </w:r>
    </w:p>
    <w:p w14:paraId="599C2FFB" w14:textId="77777777" w:rsidR="00C45BAC" w:rsidRDefault="00C45BAC" w:rsidP="001F4F0F">
      <w:pPr>
        <w:rPr>
          <w:color w:val="000000" w:themeColor="text1"/>
        </w:rPr>
      </w:pPr>
    </w:p>
    <w:p w14:paraId="5C968181" w14:textId="0D494B28" w:rsidR="00956461" w:rsidRPr="000666A3" w:rsidRDefault="004F0ADA" w:rsidP="00F40D17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4B66F7">
        <w:rPr>
          <w:color w:val="000000" w:themeColor="text1"/>
        </w:rPr>
        <w:br w:type="page"/>
      </w:r>
    </w:p>
    <w:p w14:paraId="2D7F8113" w14:textId="77777777" w:rsidR="00F40D17" w:rsidRPr="002472A1" w:rsidRDefault="00F40D17" w:rsidP="009E7D91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lang w:eastAsia="zh-CN"/>
          <w14:ligatures w14:val="none"/>
        </w:rPr>
      </w:pPr>
      <w:r w:rsidRPr="002472A1">
        <w:rPr>
          <w:rFonts w:eastAsia="Times New Roman" w:cs="Times New Roman"/>
          <w:b/>
          <w:bCs/>
          <w:kern w:val="0"/>
          <w:lang w:eastAsia="zh-CN"/>
          <w14:ligatures w14:val="none"/>
        </w:rPr>
        <w:lastRenderedPageBreak/>
        <w:t>List of Abbreviations</w:t>
      </w:r>
    </w:p>
    <w:p w14:paraId="0F8773F2" w14:textId="77777777" w:rsidR="00F40D17" w:rsidRPr="00903470" w:rsidRDefault="00F40D17" w:rsidP="00F40D17">
      <w:pPr>
        <w:spacing w:before="100" w:beforeAutospacing="1" w:after="100" w:afterAutospacing="1"/>
        <w:rPr>
          <w:rFonts w:eastAsia="Times New Roman" w:cs="Times New Roman"/>
          <w:kern w:val="0"/>
          <w:lang w:eastAsia="zh-CN"/>
          <w14:ligatures w14:val="none"/>
        </w:rPr>
      </w:pPr>
      <w:r w:rsidRPr="00903470">
        <w:rPr>
          <w:rFonts w:eastAsia="Times New Roman" w:cs="Times New Roman"/>
          <w:kern w:val="0"/>
          <w:lang w:eastAsia="zh-CN"/>
          <w14:ligatures w14:val="none"/>
        </w:rPr>
        <w:t>Abbreviations for immune proteins included in Supplementary Tables 1–2 are listed below (in alphabetical order).</w:t>
      </w:r>
    </w:p>
    <w:p w14:paraId="5A77CDAD" w14:textId="126DB509" w:rsidR="00F40D17" w:rsidRPr="00903470" w:rsidRDefault="00F40D17" w:rsidP="00F40D17">
      <w:pPr>
        <w:spacing w:before="100" w:beforeAutospacing="1" w:after="100" w:afterAutospacing="1"/>
        <w:rPr>
          <w:rFonts w:eastAsia="Times New Roman" w:cs="Times New Roman"/>
          <w:kern w:val="0"/>
          <w:lang w:eastAsia="zh-CN"/>
          <w14:ligatures w14:val="none"/>
        </w:rPr>
      </w:pPr>
      <w:r w:rsidRPr="00903470">
        <w:rPr>
          <w:rFonts w:eastAsia="Times New Roman" w:cs="Times New Roman"/>
          <w:kern w:val="0"/>
          <w:lang w:eastAsia="zh-CN"/>
          <w14:ligatures w14:val="none"/>
        </w:rPr>
        <w:t>4E-BP1, eukaryotic translation initiation factor 4E–binding protein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ADA, adenosine deaminase;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AXIN1, axis inhibition protein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CASP-8, caspase-8;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CCL, C-C motif chemokine ligand;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CD, cluster of differentiation;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CD5, cluster of differentiation 5;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CD6, cluster of differentiation 6;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CD8A, cluster of differentiation 8 alpha chain;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CD40, cluster of differentiation 40;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CD244, cluster of differentiation 244;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CDCP1, CUB domain–containing protein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CSF-1, colony-stimulating factor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CST5, cystatin D;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CX3CL1, C-X3-C motif chemokine ligand 1 (fractalkine);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CXCL, C-X-C motif chemokine ligand;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DNER, delta/notch-like EGF-related receptor;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EN-RAGE, extracellular newly identified receptor for advanced glycation end products binding protein (S100A12);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FGF, fibroblast growth factor;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FGF-19, fibroblast growth factor 19;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FGF-21, fibroblast growth factor 21;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FGF-23, fibroblast growth factor 23;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 xml:space="preserve">Flt3L, </w:t>
      </w:r>
      <w:proofErr w:type="spellStart"/>
      <w:r w:rsidRPr="00903470">
        <w:rPr>
          <w:rFonts w:eastAsia="Times New Roman" w:cs="Times New Roman"/>
          <w:kern w:val="0"/>
          <w:lang w:eastAsia="zh-CN"/>
          <w14:ligatures w14:val="none"/>
        </w:rPr>
        <w:t>Fms</w:t>
      </w:r>
      <w:proofErr w:type="spellEnd"/>
      <w:r w:rsidRPr="00903470">
        <w:rPr>
          <w:rFonts w:eastAsia="Times New Roman" w:cs="Times New Roman"/>
          <w:kern w:val="0"/>
          <w:lang w:eastAsia="zh-CN"/>
          <w14:ligatures w14:val="none"/>
        </w:rPr>
        <w:t>-like tyrosine kinase 3 ligand;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HGF, hepatocyte growth factor;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IFN-γ, interferon gamma;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IL, interleukin;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LAP TGF-β-1, latency-associated peptide transforming growth factor beta-1;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LIF-R, leukemia inhibitory factor receptor;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MCP, monocyte chemoattractant protein;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MMP, matrix metalloproteinase;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MMP-1, matrix metalloproteinase-1;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MMP-10, matrix metalloproteinase-10;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NT-3, neurotrophin-3;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 xml:space="preserve">OPG, </w:t>
      </w:r>
      <w:proofErr w:type="spellStart"/>
      <w:r w:rsidRPr="00903470">
        <w:rPr>
          <w:rFonts w:eastAsia="Times New Roman" w:cs="Times New Roman"/>
          <w:kern w:val="0"/>
          <w:lang w:eastAsia="zh-CN"/>
          <w14:ligatures w14:val="none"/>
        </w:rPr>
        <w:t>osteoprotegerin</w:t>
      </w:r>
      <w:proofErr w:type="spellEnd"/>
      <w:r w:rsidRPr="00903470">
        <w:rPr>
          <w:rFonts w:eastAsia="Times New Roman" w:cs="Times New Roman"/>
          <w:kern w:val="0"/>
          <w:lang w:eastAsia="zh-CN"/>
          <w14:ligatures w14:val="none"/>
        </w:rPr>
        <w:t>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 xml:space="preserve">OSM, </w:t>
      </w:r>
      <w:proofErr w:type="spellStart"/>
      <w:r w:rsidRPr="00903470">
        <w:rPr>
          <w:rFonts w:eastAsia="Times New Roman" w:cs="Times New Roman"/>
          <w:kern w:val="0"/>
          <w:lang w:eastAsia="zh-CN"/>
          <w14:ligatures w14:val="none"/>
        </w:rPr>
        <w:t>oncostatin</w:t>
      </w:r>
      <w:proofErr w:type="spellEnd"/>
      <w:r w:rsidRPr="00903470">
        <w:rPr>
          <w:rFonts w:eastAsia="Times New Roman" w:cs="Times New Roman"/>
          <w:kern w:val="0"/>
          <w:lang w:eastAsia="zh-CN"/>
          <w14:ligatures w14:val="none"/>
        </w:rPr>
        <w:t xml:space="preserve"> M;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PD-L1, programmed death-ligand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SCF, stem cell factor;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SIRT2, sirtuin 2;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</w:r>
      <w:r w:rsidRPr="00903470">
        <w:rPr>
          <w:rFonts w:eastAsia="Times New Roman" w:cs="Times New Roman"/>
          <w:kern w:val="0"/>
          <w:lang w:eastAsia="zh-CN"/>
          <w14:ligatures w14:val="none"/>
        </w:rPr>
        <w:lastRenderedPageBreak/>
        <w:t>SLAMF1, signaling lymphocytic activation molecule family member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ST1A1, sulfotransferase family 1A member 1;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STAMBP, signal transducing adaptor molecule binding protein;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TGF-α, transforming growth factor alpha;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TNF, tumor necrosis factor;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TNFB, tumor necrosis factor beta;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TNFRSF9, tumor necrosis factor receptor superfamily member 9;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TNFSF14, tumor necrosis factor superfamily member 14;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TRAIL, TNF-related apoptosis-inducing ligand;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TRANCE, TNF-related activation-induced cytokine (RANKL);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TWEAK, TNF-like weak inducer of apoptosis;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</w:r>
      <w:proofErr w:type="spellStart"/>
      <w:r w:rsidRPr="00903470">
        <w:rPr>
          <w:rFonts w:eastAsia="Times New Roman" w:cs="Times New Roman"/>
          <w:kern w:val="0"/>
          <w:lang w:eastAsia="zh-CN"/>
          <w14:ligatures w14:val="none"/>
        </w:rPr>
        <w:t>uPA</w:t>
      </w:r>
      <w:proofErr w:type="spellEnd"/>
      <w:r w:rsidRPr="00903470">
        <w:rPr>
          <w:rFonts w:eastAsia="Times New Roman" w:cs="Times New Roman"/>
          <w:kern w:val="0"/>
          <w:lang w:eastAsia="zh-CN"/>
          <w14:ligatures w14:val="none"/>
        </w:rPr>
        <w:t>, urokinase-type plasminogen activator;</w:t>
      </w:r>
      <w:r w:rsidRPr="00903470">
        <w:rPr>
          <w:rFonts w:eastAsia="Times New Roman" w:cs="Times New Roman"/>
          <w:kern w:val="0"/>
          <w:lang w:eastAsia="zh-CN"/>
          <w14:ligatures w14:val="none"/>
        </w:rPr>
        <w:br/>
        <w:t>VEGFA, vascular endothelial growth factor A.</w:t>
      </w:r>
    </w:p>
    <w:p w14:paraId="72ED301F" w14:textId="77777777" w:rsidR="00F40D17" w:rsidRPr="004B66F7" w:rsidRDefault="00F40D17" w:rsidP="001F4F0F"/>
    <w:sectPr w:rsidR="00F40D17" w:rsidRPr="004B66F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D923" w14:textId="77777777" w:rsidR="003A3234" w:rsidRDefault="003A3234" w:rsidP="00EE27A3">
      <w:r>
        <w:separator/>
      </w:r>
    </w:p>
  </w:endnote>
  <w:endnote w:type="continuationSeparator" w:id="0">
    <w:p w14:paraId="71021346" w14:textId="77777777" w:rsidR="003A3234" w:rsidRDefault="003A3234" w:rsidP="00EE27A3">
      <w:r>
        <w:continuationSeparator/>
      </w:r>
    </w:p>
  </w:endnote>
  <w:endnote w:type="continuationNotice" w:id="1">
    <w:p w14:paraId="5D03621F" w14:textId="77777777" w:rsidR="003A3234" w:rsidRDefault="003A3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B945" w14:textId="77777777" w:rsidR="003A3234" w:rsidRDefault="003A3234" w:rsidP="00EE27A3">
      <w:r>
        <w:separator/>
      </w:r>
    </w:p>
  </w:footnote>
  <w:footnote w:type="continuationSeparator" w:id="0">
    <w:p w14:paraId="5BCE4A00" w14:textId="77777777" w:rsidR="003A3234" w:rsidRDefault="003A3234" w:rsidP="00EE27A3">
      <w:r>
        <w:continuationSeparator/>
      </w:r>
    </w:p>
  </w:footnote>
  <w:footnote w:type="continuationNotice" w:id="1">
    <w:p w14:paraId="6F3A922E" w14:textId="77777777" w:rsidR="003A3234" w:rsidRDefault="003A3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189610"/>
      <w:docPartObj>
        <w:docPartGallery w:val="Page Numbers (Top of Page)"/>
        <w:docPartUnique/>
      </w:docPartObj>
    </w:sdtPr>
    <w:sdtContent>
      <w:p w14:paraId="672E9EC3" w14:textId="0BA5B6FE" w:rsidR="001C6B97" w:rsidRDefault="001C6B97" w:rsidP="00241E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46B1D1" w14:textId="77777777" w:rsidR="001C6B97" w:rsidRDefault="001C6B97" w:rsidP="009703C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5827747"/>
      <w:docPartObj>
        <w:docPartGallery w:val="Page Numbers (Top of Page)"/>
        <w:docPartUnique/>
      </w:docPartObj>
    </w:sdtPr>
    <w:sdtContent>
      <w:p w14:paraId="1793E35B" w14:textId="2B54F053" w:rsidR="001C6B97" w:rsidRDefault="001C6B97" w:rsidP="00241E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2756325A" w14:textId="5B346F11" w:rsidR="001C6B97" w:rsidRDefault="001C6B97" w:rsidP="009703C3">
    <w:pPr>
      <w:pStyle w:val="Header"/>
      <w:ind w:right="360"/>
    </w:pPr>
    <w:r>
      <w:t>INFLAMMATION</w:t>
    </w:r>
    <w:r w:rsidR="00B556EA">
      <w:t xml:space="preserve"> AND</w:t>
    </w:r>
    <w:r>
      <w:t xml:space="preserve"> DOPAMINE</w:t>
    </w:r>
    <w:r w:rsidR="00B556EA">
      <w:t xml:space="preserve"> IN</w:t>
    </w:r>
    <w:r>
      <w:t xml:space="preserve"> ANHEDONIA</w:t>
    </w:r>
    <w:r w:rsidR="00B556EA"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7716241"/>
      <w:docPartObj>
        <w:docPartGallery w:val="Page Numbers (Top of Page)"/>
        <w:docPartUnique/>
      </w:docPartObj>
    </w:sdtPr>
    <w:sdtContent>
      <w:p w14:paraId="008E422A" w14:textId="3D4E0D24" w:rsidR="001C6B97" w:rsidRDefault="001C6B97" w:rsidP="00241E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9FFFB1" w14:textId="167DEE2B" w:rsidR="001C6B97" w:rsidRDefault="001C6B97" w:rsidP="009703C3">
    <w:pPr>
      <w:pStyle w:val="Header"/>
      <w:ind w:right="360"/>
    </w:pPr>
    <w:r>
      <w:t>RUNNING HEAD: INFLAMMATION</w:t>
    </w:r>
    <w:r w:rsidR="00B556EA">
      <w:t xml:space="preserve"> AND</w:t>
    </w:r>
    <w:r>
      <w:t xml:space="preserve"> DOPAMINE</w:t>
    </w:r>
    <w:r w:rsidR="00B556EA">
      <w:t xml:space="preserve"> IN</w:t>
    </w:r>
    <w:r>
      <w:t xml:space="preserve"> ANHEDONIA</w:t>
    </w:r>
  </w:p>
  <w:p w14:paraId="3E130860" w14:textId="16212B61" w:rsidR="001C6B97" w:rsidRDefault="001C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B7A"/>
    <w:multiLevelType w:val="hybridMultilevel"/>
    <w:tmpl w:val="E3609B78"/>
    <w:lvl w:ilvl="0" w:tplc="A992B9FE">
      <w:start w:val="14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C2406"/>
    <w:multiLevelType w:val="multilevel"/>
    <w:tmpl w:val="583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C76AE"/>
    <w:multiLevelType w:val="hybridMultilevel"/>
    <w:tmpl w:val="722CA6A6"/>
    <w:lvl w:ilvl="0" w:tplc="CF58F4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541EC"/>
    <w:multiLevelType w:val="hybridMultilevel"/>
    <w:tmpl w:val="5382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7117"/>
    <w:multiLevelType w:val="hybridMultilevel"/>
    <w:tmpl w:val="82E0447C"/>
    <w:lvl w:ilvl="0" w:tplc="CF58F4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D669D"/>
    <w:multiLevelType w:val="multilevel"/>
    <w:tmpl w:val="B7B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A7032"/>
    <w:multiLevelType w:val="hybridMultilevel"/>
    <w:tmpl w:val="E2A08FC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7D7F3A66"/>
    <w:multiLevelType w:val="hybridMultilevel"/>
    <w:tmpl w:val="3A8C8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407978">
    <w:abstractNumId w:val="5"/>
  </w:num>
  <w:num w:numId="2" w16cid:durableId="1692562786">
    <w:abstractNumId w:val="1"/>
  </w:num>
  <w:num w:numId="3" w16cid:durableId="2111505985">
    <w:abstractNumId w:val="3"/>
  </w:num>
  <w:num w:numId="4" w16cid:durableId="688027933">
    <w:abstractNumId w:val="7"/>
  </w:num>
  <w:num w:numId="5" w16cid:durableId="204683202">
    <w:abstractNumId w:val="2"/>
  </w:num>
  <w:num w:numId="6" w16cid:durableId="1310358127">
    <w:abstractNumId w:val="4"/>
  </w:num>
  <w:num w:numId="7" w16cid:durableId="632949641">
    <w:abstractNumId w:val="6"/>
  </w:num>
  <w:num w:numId="8" w16cid:durableId="14701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72"/>
    <w:rsid w:val="00001E6B"/>
    <w:rsid w:val="000054ED"/>
    <w:rsid w:val="0000606D"/>
    <w:rsid w:val="0000747F"/>
    <w:rsid w:val="00007A05"/>
    <w:rsid w:val="0001228F"/>
    <w:rsid w:val="000122A2"/>
    <w:rsid w:val="00012450"/>
    <w:rsid w:val="00013BA1"/>
    <w:rsid w:val="00015B3B"/>
    <w:rsid w:val="00016C58"/>
    <w:rsid w:val="0001740A"/>
    <w:rsid w:val="00024156"/>
    <w:rsid w:val="000243CD"/>
    <w:rsid w:val="00025159"/>
    <w:rsid w:val="00026013"/>
    <w:rsid w:val="000263E2"/>
    <w:rsid w:val="00030206"/>
    <w:rsid w:val="0003074F"/>
    <w:rsid w:val="00030B75"/>
    <w:rsid w:val="00030F2D"/>
    <w:rsid w:val="00034C10"/>
    <w:rsid w:val="00035645"/>
    <w:rsid w:val="000357AD"/>
    <w:rsid w:val="0003607C"/>
    <w:rsid w:val="00036F53"/>
    <w:rsid w:val="0003714A"/>
    <w:rsid w:val="00037FEF"/>
    <w:rsid w:val="00040412"/>
    <w:rsid w:val="0004150B"/>
    <w:rsid w:val="00041BB3"/>
    <w:rsid w:val="00043B60"/>
    <w:rsid w:val="00044658"/>
    <w:rsid w:val="00046A51"/>
    <w:rsid w:val="00046ACA"/>
    <w:rsid w:val="0004707A"/>
    <w:rsid w:val="000538A4"/>
    <w:rsid w:val="000542A2"/>
    <w:rsid w:val="0005547E"/>
    <w:rsid w:val="00055E42"/>
    <w:rsid w:val="00055E57"/>
    <w:rsid w:val="00056A9E"/>
    <w:rsid w:val="00063059"/>
    <w:rsid w:val="00065AB7"/>
    <w:rsid w:val="00066670"/>
    <w:rsid w:val="000666A3"/>
    <w:rsid w:val="00067168"/>
    <w:rsid w:val="00067BC8"/>
    <w:rsid w:val="00071AD8"/>
    <w:rsid w:val="00080FC6"/>
    <w:rsid w:val="0008122B"/>
    <w:rsid w:val="00083D86"/>
    <w:rsid w:val="00084733"/>
    <w:rsid w:val="00084ACB"/>
    <w:rsid w:val="00084C47"/>
    <w:rsid w:val="00087991"/>
    <w:rsid w:val="00090DE1"/>
    <w:rsid w:val="00091DFD"/>
    <w:rsid w:val="00092F8F"/>
    <w:rsid w:val="00093412"/>
    <w:rsid w:val="00094A9D"/>
    <w:rsid w:val="00095C5E"/>
    <w:rsid w:val="00097601"/>
    <w:rsid w:val="00097FC3"/>
    <w:rsid w:val="000A0739"/>
    <w:rsid w:val="000A0E3A"/>
    <w:rsid w:val="000A1064"/>
    <w:rsid w:val="000A119E"/>
    <w:rsid w:val="000A1445"/>
    <w:rsid w:val="000A150D"/>
    <w:rsid w:val="000A421C"/>
    <w:rsid w:val="000A4915"/>
    <w:rsid w:val="000A4D15"/>
    <w:rsid w:val="000A5747"/>
    <w:rsid w:val="000A6ECC"/>
    <w:rsid w:val="000A7F35"/>
    <w:rsid w:val="000B1A78"/>
    <w:rsid w:val="000B2275"/>
    <w:rsid w:val="000B2889"/>
    <w:rsid w:val="000B29E6"/>
    <w:rsid w:val="000B2EEB"/>
    <w:rsid w:val="000B3650"/>
    <w:rsid w:val="000B39D8"/>
    <w:rsid w:val="000B4110"/>
    <w:rsid w:val="000B6C12"/>
    <w:rsid w:val="000B74BD"/>
    <w:rsid w:val="000C03C5"/>
    <w:rsid w:val="000C33C2"/>
    <w:rsid w:val="000C4042"/>
    <w:rsid w:val="000C547A"/>
    <w:rsid w:val="000C61B0"/>
    <w:rsid w:val="000C75E5"/>
    <w:rsid w:val="000C7D80"/>
    <w:rsid w:val="000D091E"/>
    <w:rsid w:val="000D1547"/>
    <w:rsid w:val="000D1F30"/>
    <w:rsid w:val="000D3009"/>
    <w:rsid w:val="000D40EB"/>
    <w:rsid w:val="000D6843"/>
    <w:rsid w:val="000D6F40"/>
    <w:rsid w:val="000D704B"/>
    <w:rsid w:val="000E3BD3"/>
    <w:rsid w:val="000E3F6F"/>
    <w:rsid w:val="000E40BE"/>
    <w:rsid w:val="000E583B"/>
    <w:rsid w:val="000F012F"/>
    <w:rsid w:val="000F0D53"/>
    <w:rsid w:val="000F0F74"/>
    <w:rsid w:val="000F16D0"/>
    <w:rsid w:val="000F2108"/>
    <w:rsid w:val="000F3488"/>
    <w:rsid w:val="000F399E"/>
    <w:rsid w:val="000F5A94"/>
    <w:rsid w:val="000F5AD9"/>
    <w:rsid w:val="000F67D8"/>
    <w:rsid w:val="000F72CF"/>
    <w:rsid w:val="000F73AD"/>
    <w:rsid w:val="00100591"/>
    <w:rsid w:val="00100C2E"/>
    <w:rsid w:val="0010114E"/>
    <w:rsid w:val="00101DEC"/>
    <w:rsid w:val="00102627"/>
    <w:rsid w:val="00103A8A"/>
    <w:rsid w:val="00103F33"/>
    <w:rsid w:val="0010428F"/>
    <w:rsid w:val="001054DE"/>
    <w:rsid w:val="001071EE"/>
    <w:rsid w:val="00107743"/>
    <w:rsid w:val="00107982"/>
    <w:rsid w:val="00107B61"/>
    <w:rsid w:val="001111BD"/>
    <w:rsid w:val="00111808"/>
    <w:rsid w:val="00113F6C"/>
    <w:rsid w:val="0011730B"/>
    <w:rsid w:val="00117732"/>
    <w:rsid w:val="001213A0"/>
    <w:rsid w:val="001230B6"/>
    <w:rsid w:val="00123170"/>
    <w:rsid w:val="00123BCB"/>
    <w:rsid w:val="0012444F"/>
    <w:rsid w:val="001244F6"/>
    <w:rsid w:val="00124E49"/>
    <w:rsid w:val="00125093"/>
    <w:rsid w:val="001269AC"/>
    <w:rsid w:val="00131B8E"/>
    <w:rsid w:val="00134D3A"/>
    <w:rsid w:val="00136128"/>
    <w:rsid w:val="00136FE6"/>
    <w:rsid w:val="001370FD"/>
    <w:rsid w:val="00141AEF"/>
    <w:rsid w:val="00142D10"/>
    <w:rsid w:val="00143645"/>
    <w:rsid w:val="00145582"/>
    <w:rsid w:val="00145DDA"/>
    <w:rsid w:val="0014727E"/>
    <w:rsid w:val="0014729B"/>
    <w:rsid w:val="00151FB0"/>
    <w:rsid w:val="00152355"/>
    <w:rsid w:val="001531FE"/>
    <w:rsid w:val="001532FE"/>
    <w:rsid w:val="00153C5D"/>
    <w:rsid w:val="001541BA"/>
    <w:rsid w:val="00154214"/>
    <w:rsid w:val="00154CC1"/>
    <w:rsid w:val="001552BC"/>
    <w:rsid w:val="00155692"/>
    <w:rsid w:val="00160351"/>
    <w:rsid w:val="00160DB6"/>
    <w:rsid w:val="00161A4C"/>
    <w:rsid w:val="00162531"/>
    <w:rsid w:val="00162C64"/>
    <w:rsid w:val="001677C5"/>
    <w:rsid w:val="001679C7"/>
    <w:rsid w:val="001679D3"/>
    <w:rsid w:val="001703D7"/>
    <w:rsid w:val="00171DF9"/>
    <w:rsid w:val="00171E0E"/>
    <w:rsid w:val="001727CD"/>
    <w:rsid w:val="00172DC5"/>
    <w:rsid w:val="0017341A"/>
    <w:rsid w:val="00173443"/>
    <w:rsid w:val="00174447"/>
    <w:rsid w:val="00176ECF"/>
    <w:rsid w:val="0017718A"/>
    <w:rsid w:val="00177AEE"/>
    <w:rsid w:val="00180F46"/>
    <w:rsid w:val="0018179B"/>
    <w:rsid w:val="001817BF"/>
    <w:rsid w:val="00182D8E"/>
    <w:rsid w:val="00182FC2"/>
    <w:rsid w:val="00184243"/>
    <w:rsid w:val="001862DC"/>
    <w:rsid w:val="001862EE"/>
    <w:rsid w:val="00190CD6"/>
    <w:rsid w:val="00190DD3"/>
    <w:rsid w:val="001910A8"/>
    <w:rsid w:val="00191F7E"/>
    <w:rsid w:val="001940D9"/>
    <w:rsid w:val="001948FF"/>
    <w:rsid w:val="001977CF"/>
    <w:rsid w:val="00197D54"/>
    <w:rsid w:val="00197E2D"/>
    <w:rsid w:val="00197F24"/>
    <w:rsid w:val="001A14A1"/>
    <w:rsid w:val="001A1579"/>
    <w:rsid w:val="001A1CF3"/>
    <w:rsid w:val="001A2CF3"/>
    <w:rsid w:val="001A331C"/>
    <w:rsid w:val="001A6118"/>
    <w:rsid w:val="001A62E5"/>
    <w:rsid w:val="001A6B30"/>
    <w:rsid w:val="001A6D65"/>
    <w:rsid w:val="001A7E66"/>
    <w:rsid w:val="001B0DEC"/>
    <w:rsid w:val="001B1868"/>
    <w:rsid w:val="001B1F62"/>
    <w:rsid w:val="001B3A36"/>
    <w:rsid w:val="001B3DF0"/>
    <w:rsid w:val="001B5B98"/>
    <w:rsid w:val="001B7C7D"/>
    <w:rsid w:val="001C036E"/>
    <w:rsid w:val="001C041A"/>
    <w:rsid w:val="001C1B9A"/>
    <w:rsid w:val="001C1F9C"/>
    <w:rsid w:val="001C21C3"/>
    <w:rsid w:val="001C2EF2"/>
    <w:rsid w:val="001C30BD"/>
    <w:rsid w:val="001C361F"/>
    <w:rsid w:val="001C3633"/>
    <w:rsid w:val="001C46CA"/>
    <w:rsid w:val="001C6B97"/>
    <w:rsid w:val="001C720E"/>
    <w:rsid w:val="001C7F75"/>
    <w:rsid w:val="001D0572"/>
    <w:rsid w:val="001D3286"/>
    <w:rsid w:val="001D4240"/>
    <w:rsid w:val="001D47BF"/>
    <w:rsid w:val="001D4963"/>
    <w:rsid w:val="001D5682"/>
    <w:rsid w:val="001D6C7C"/>
    <w:rsid w:val="001D71F7"/>
    <w:rsid w:val="001D767A"/>
    <w:rsid w:val="001D78AB"/>
    <w:rsid w:val="001E0980"/>
    <w:rsid w:val="001E0C72"/>
    <w:rsid w:val="001E1D24"/>
    <w:rsid w:val="001E1D3B"/>
    <w:rsid w:val="001E3737"/>
    <w:rsid w:val="001E432C"/>
    <w:rsid w:val="001E6633"/>
    <w:rsid w:val="001E6C4E"/>
    <w:rsid w:val="001E7942"/>
    <w:rsid w:val="001F2C42"/>
    <w:rsid w:val="001F36D8"/>
    <w:rsid w:val="001F493C"/>
    <w:rsid w:val="001F4F0F"/>
    <w:rsid w:val="001F56E2"/>
    <w:rsid w:val="001F7A0B"/>
    <w:rsid w:val="002001A6"/>
    <w:rsid w:val="00203784"/>
    <w:rsid w:val="00203D25"/>
    <w:rsid w:val="0020576D"/>
    <w:rsid w:val="002065A4"/>
    <w:rsid w:val="00210216"/>
    <w:rsid w:val="00210D27"/>
    <w:rsid w:val="00210EBC"/>
    <w:rsid w:val="00211BB6"/>
    <w:rsid w:val="002122A3"/>
    <w:rsid w:val="002125C3"/>
    <w:rsid w:val="00212EF7"/>
    <w:rsid w:val="0021391E"/>
    <w:rsid w:val="0021448D"/>
    <w:rsid w:val="002145A1"/>
    <w:rsid w:val="00214CAA"/>
    <w:rsid w:val="00215342"/>
    <w:rsid w:val="002154A1"/>
    <w:rsid w:val="0021642B"/>
    <w:rsid w:val="002164E8"/>
    <w:rsid w:val="00216F2A"/>
    <w:rsid w:val="00217028"/>
    <w:rsid w:val="002170A3"/>
    <w:rsid w:val="00220B99"/>
    <w:rsid w:val="002214A3"/>
    <w:rsid w:val="002222DB"/>
    <w:rsid w:val="00222431"/>
    <w:rsid w:val="00223867"/>
    <w:rsid w:val="002244B6"/>
    <w:rsid w:val="0022461E"/>
    <w:rsid w:val="00224EB6"/>
    <w:rsid w:val="002259F7"/>
    <w:rsid w:val="00226203"/>
    <w:rsid w:val="00230DE4"/>
    <w:rsid w:val="002310F7"/>
    <w:rsid w:val="00233564"/>
    <w:rsid w:val="00233879"/>
    <w:rsid w:val="00233CD6"/>
    <w:rsid w:val="002350AC"/>
    <w:rsid w:val="00235639"/>
    <w:rsid w:val="00236894"/>
    <w:rsid w:val="00237B22"/>
    <w:rsid w:val="00240E39"/>
    <w:rsid w:val="00241ED9"/>
    <w:rsid w:val="0024458A"/>
    <w:rsid w:val="002469D6"/>
    <w:rsid w:val="002472A1"/>
    <w:rsid w:val="00250376"/>
    <w:rsid w:val="0025040D"/>
    <w:rsid w:val="00251523"/>
    <w:rsid w:val="0025444E"/>
    <w:rsid w:val="002552E5"/>
    <w:rsid w:val="00255BF8"/>
    <w:rsid w:val="002569D8"/>
    <w:rsid w:val="00257B59"/>
    <w:rsid w:val="002622BC"/>
    <w:rsid w:val="0026447D"/>
    <w:rsid w:val="00266E6D"/>
    <w:rsid w:val="00266FD7"/>
    <w:rsid w:val="00270157"/>
    <w:rsid w:val="00270AE1"/>
    <w:rsid w:val="002716C0"/>
    <w:rsid w:val="00272998"/>
    <w:rsid w:val="00276A11"/>
    <w:rsid w:val="00276FAB"/>
    <w:rsid w:val="002800F0"/>
    <w:rsid w:val="00280469"/>
    <w:rsid w:val="00282931"/>
    <w:rsid w:val="00282F1C"/>
    <w:rsid w:val="00283C62"/>
    <w:rsid w:val="002842FD"/>
    <w:rsid w:val="0028502A"/>
    <w:rsid w:val="00286C15"/>
    <w:rsid w:val="0028714B"/>
    <w:rsid w:val="00293498"/>
    <w:rsid w:val="002947F2"/>
    <w:rsid w:val="00294B58"/>
    <w:rsid w:val="00294F1F"/>
    <w:rsid w:val="00296C82"/>
    <w:rsid w:val="002970C3"/>
    <w:rsid w:val="00297F3D"/>
    <w:rsid w:val="002A0482"/>
    <w:rsid w:val="002A1BAC"/>
    <w:rsid w:val="002A2C01"/>
    <w:rsid w:val="002A2DAA"/>
    <w:rsid w:val="002A3054"/>
    <w:rsid w:val="002A3D44"/>
    <w:rsid w:val="002A5CC7"/>
    <w:rsid w:val="002A604E"/>
    <w:rsid w:val="002A6C0D"/>
    <w:rsid w:val="002A7031"/>
    <w:rsid w:val="002A7707"/>
    <w:rsid w:val="002A7A39"/>
    <w:rsid w:val="002A7F2D"/>
    <w:rsid w:val="002B27ED"/>
    <w:rsid w:val="002B39EC"/>
    <w:rsid w:val="002B46BD"/>
    <w:rsid w:val="002B540D"/>
    <w:rsid w:val="002B6012"/>
    <w:rsid w:val="002C00C9"/>
    <w:rsid w:val="002C0882"/>
    <w:rsid w:val="002C0CF9"/>
    <w:rsid w:val="002C248A"/>
    <w:rsid w:val="002C47AD"/>
    <w:rsid w:val="002C4E1D"/>
    <w:rsid w:val="002C6D16"/>
    <w:rsid w:val="002C76E9"/>
    <w:rsid w:val="002C7934"/>
    <w:rsid w:val="002D067E"/>
    <w:rsid w:val="002D1233"/>
    <w:rsid w:val="002D1355"/>
    <w:rsid w:val="002D2338"/>
    <w:rsid w:val="002D2D55"/>
    <w:rsid w:val="002D2DBE"/>
    <w:rsid w:val="002D305A"/>
    <w:rsid w:val="002D59F9"/>
    <w:rsid w:val="002D6A68"/>
    <w:rsid w:val="002D77CE"/>
    <w:rsid w:val="002E09AC"/>
    <w:rsid w:val="002E68E8"/>
    <w:rsid w:val="002E7A48"/>
    <w:rsid w:val="002F0E3E"/>
    <w:rsid w:val="002F3400"/>
    <w:rsid w:val="002F4D32"/>
    <w:rsid w:val="002F5390"/>
    <w:rsid w:val="002F5C5D"/>
    <w:rsid w:val="002F61EA"/>
    <w:rsid w:val="002F6424"/>
    <w:rsid w:val="002F7B35"/>
    <w:rsid w:val="002F7C87"/>
    <w:rsid w:val="0030046D"/>
    <w:rsid w:val="003005B6"/>
    <w:rsid w:val="00300BBC"/>
    <w:rsid w:val="003013C2"/>
    <w:rsid w:val="003045E7"/>
    <w:rsid w:val="003063A5"/>
    <w:rsid w:val="00307606"/>
    <w:rsid w:val="00310699"/>
    <w:rsid w:val="00311224"/>
    <w:rsid w:val="00312E91"/>
    <w:rsid w:val="003132ED"/>
    <w:rsid w:val="00313693"/>
    <w:rsid w:val="00313B6B"/>
    <w:rsid w:val="003147C6"/>
    <w:rsid w:val="003168CE"/>
    <w:rsid w:val="00317B85"/>
    <w:rsid w:val="00317FA8"/>
    <w:rsid w:val="00321463"/>
    <w:rsid w:val="00321D84"/>
    <w:rsid w:val="003226CD"/>
    <w:rsid w:val="0032443C"/>
    <w:rsid w:val="00324E4E"/>
    <w:rsid w:val="00325CC7"/>
    <w:rsid w:val="00325EAA"/>
    <w:rsid w:val="0032787B"/>
    <w:rsid w:val="003278D6"/>
    <w:rsid w:val="00327ED9"/>
    <w:rsid w:val="00327FE8"/>
    <w:rsid w:val="00331A91"/>
    <w:rsid w:val="00332028"/>
    <w:rsid w:val="003324A3"/>
    <w:rsid w:val="00332FF9"/>
    <w:rsid w:val="00334A33"/>
    <w:rsid w:val="00334DCA"/>
    <w:rsid w:val="00335825"/>
    <w:rsid w:val="00335A1B"/>
    <w:rsid w:val="00336ABA"/>
    <w:rsid w:val="00337CFE"/>
    <w:rsid w:val="00340FAF"/>
    <w:rsid w:val="003423F3"/>
    <w:rsid w:val="00343778"/>
    <w:rsid w:val="003440C7"/>
    <w:rsid w:val="00344A50"/>
    <w:rsid w:val="00344B35"/>
    <w:rsid w:val="00347035"/>
    <w:rsid w:val="003474F6"/>
    <w:rsid w:val="00350A4D"/>
    <w:rsid w:val="003516D9"/>
    <w:rsid w:val="00351912"/>
    <w:rsid w:val="00351EAE"/>
    <w:rsid w:val="0035300D"/>
    <w:rsid w:val="00353573"/>
    <w:rsid w:val="00353805"/>
    <w:rsid w:val="00354827"/>
    <w:rsid w:val="003558C5"/>
    <w:rsid w:val="00355962"/>
    <w:rsid w:val="0035775B"/>
    <w:rsid w:val="00357D5F"/>
    <w:rsid w:val="003608A4"/>
    <w:rsid w:val="00361DA6"/>
    <w:rsid w:val="00362FD7"/>
    <w:rsid w:val="00364494"/>
    <w:rsid w:val="0036525B"/>
    <w:rsid w:val="003654D0"/>
    <w:rsid w:val="0037088E"/>
    <w:rsid w:val="00370B6E"/>
    <w:rsid w:val="0037124E"/>
    <w:rsid w:val="00371792"/>
    <w:rsid w:val="00371D6F"/>
    <w:rsid w:val="00373215"/>
    <w:rsid w:val="00373FF1"/>
    <w:rsid w:val="003746E7"/>
    <w:rsid w:val="00376C69"/>
    <w:rsid w:val="00377203"/>
    <w:rsid w:val="00377B66"/>
    <w:rsid w:val="00377D5D"/>
    <w:rsid w:val="00380006"/>
    <w:rsid w:val="00380B86"/>
    <w:rsid w:val="00380FAF"/>
    <w:rsid w:val="00381041"/>
    <w:rsid w:val="00384C10"/>
    <w:rsid w:val="00384CC8"/>
    <w:rsid w:val="00385E33"/>
    <w:rsid w:val="00386181"/>
    <w:rsid w:val="003869E7"/>
    <w:rsid w:val="0038708B"/>
    <w:rsid w:val="00387C52"/>
    <w:rsid w:val="003902B6"/>
    <w:rsid w:val="00391306"/>
    <w:rsid w:val="00392108"/>
    <w:rsid w:val="00392F90"/>
    <w:rsid w:val="003931AB"/>
    <w:rsid w:val="00393FD0"/>
    <w:rsid w:val="003953B8"/>
    <w:rsid w:val="00396A5F"/>
    <w:rsid w:val="00396B71"/>
    <w:rsid w:val="003972E2"/>
    <w:rsid w:val="00397A58"/>
    <w:rsid w:val="003A0956"/>
    <w:rsid w:val="003A0DDB"/>
    <w:rsid w:val="003A3234"/>
    <w:rsid w:val="003A3410"/>
    <w:rsid w:val="003A45DB"/>
    <w:rsid w:val="003A5DFF"/>
    <w:rsid w:val="003A7A27"/>
    <w:rsid w:val="003A7D1F"/>
    <w:rsid w:val="003B00A9"/>
    <w:rsid w:val="003B00FD"/>
    <w:rsid w:val="003B06C0"/>
    <w:rsid w:val="003B0853"/>
    <w:rsid w:val="003B397E"/>
    <w:rsid w:val="003B444C"/>
    <w:rsid w:val="003B4F96"/>
    <w:rsid w:val="003B5031"/>
    <w:rsid w:val="003B6FE4"/>
    <w:rsid w:val="003B7C7B"/>
    <w:rsid w:val="003C010F"/>
    <w:rsid w:val="003C1B33"/>
    <w:rsid w:val="003C5846"/>
    <w:rsid w:val="003C60D6"/>
    <w:rsid w:val="003C7FA4"/>
    <w:rsid w:val="003D038E"/>
    <w:rsid w:val="003D0DD3"/>
    <w:rsid w:val="003D26E4"/>
    <w:rsid w:val="003D28E0"/>
    <w:rsid w:val="003D33E8"/>
    <w:rsid w:val="003D43D0"/>
    <w:rsid w:val="003D64A6"/>
    <w:rsid w:val="003D66E6"/>
    <w:rsid w:val="003E08B3"/>
    <w:rsid w:val="003E0942"/>
    <w:rsid w:val="003E0AAE"/>
    <w:rsid w:val="003E1474"/>
    <w:rsid w:val="003E21DE"/>
    <w:rsid w:val="003E22A4"/>
    <w:rsid w:val="003E22B9"/>
    <w:rsid w:val="003E2986"/>
    <w:rsid w:val="003E2A3E"/>
    <w:rsid w:val="003E2DD1"/>
    <w:rsid w:val="003E31B3"/>
    <w:rsid w:val="003E4429"/>
    <w:rsid w:val="003E7BAB"/>
    <w:rsid w:val="003E7CA2"/>
    <w:rsid w:val="003F367F"/>
    <w:rsid w:val="003F46D8"/>
    <w:rsid w:val="003F4A1C"/>
    <w:rsid w:val="003F4C21"/>
    <w:rsid w:val="003F4D0E"/>
    <w:rsid w:val="003F4FC0"/>
    <w:rsid w:val="003F5927"/>
    <w:rsid w:val="0040075C"/>
    <w:rsid w:val="00401358"/>
    <w:rsid w:val="0040227D"/>
    <w:rsid w:val="00405F9D"/>
    <w:rsid w:val="00406C7F"/>
    <w:rsid w:val="00406CEE"/>
    <w:rsid w:val="00406DC0"/>
    <w:rsid w:val="00407CC9"/>
    <w:rsid w:val="00412EF3"/>
    <w:rsid w:val="0041317E"/>
    <w:rsid w:val="00414B77"/>
    <w:rsid w:val="00416737"/>
    <w:rsid w:val="004167AB"/>
    <w:rsid w:val="00417F39"/>
    <w:rsid w:val="00420D51"/>
    <w:rsid w:val="0042109D"/>
    <w:rsid w:val="004226B9"/>
    <w:rsid w:val="00422E1F"/>
    <w:rsid w:val="00425549"/>
    <w:rsid w:val="00426A53"/>
    <w:rsid w:val="0042734E"/>
    <w:rsid w:val="004304D6"/>
    <w:rsid w:val="004310AB"/>
    <w:rsid w:val="004311C7"/>
    <w:rsid w:val="00431677"/>
    <w:rsid w:val="004322DA"/>
    <w:rsid w:val="004347B0"/>
    <w:rsid w:val="00435338"/>
    <w:rsid w:val="00435428"/>
    <w:rsid w:val="004357AD"/>
    <w:rsid w:val="00440DC4"/>
    <w:rsid w:val="00443480"/>
    <w:rsid w:val="00443F5B"/>
    <w:rsid w:val="004443E2"/>
    <w:rsid w:val="00445505"/>
    <w:rsid w:val="004474C4"/>
    <w:rsid w:val="00447872"/>
    <w:rsid w:val="004507F2"/>
    <w:rsid w:val="00452572"/>
    <w:rsid w:val="004528E9"/>
    <w:rsid w:val="00454A7E"/>
    <w:rsid w:val="00455197"/>
    <w:rsid w:val="00455698"/>
    <w:rsid w:val="004562CA"/>
    <w:rsid w:val="0045663B"/>
    <w:rsid w:val="00456F87"/>
    <w:rsid w:val="00457C43"/>
    <w:rsid w:val="00457C93"/>
    <w:rsid w:val="00460C45"/>
    <w:rsid w:val="00461B69"/>
    <w:rsid w:val="004631FE"/>
    <w:rsid w:val="00464B26"/>
    <w:rsid w:val="0046598F"/>
    <w:rsid w:val="00465DDA"/>
    <w:rsid w:val="00465E8F"/>
    <w:rsid w:val="00467235"/>
    <w:rsid w:val="00471D63"/>
    <w:rsid w:val="00472A38"/>
    <w:rsid w:val="00473CEF"/>
    <w:rsid w:val="00474998"/>
    <w:rsid w:val="00475973"/>
    <w:rsid w:val="00476951"/>
    <w:rsid w:val="004803DD"/>
    <w:rsid w:val="004807B9"/>
    <w:rsid w:val="0048088B"/>
    <w:rsid w:val="00481094"/>
    <w:rsid w:val="0048373C"/>
    <w:rsid w:val="00484B4A"/>
    <w:rsid w:val="004853F2"/>
    <w:rsid w:val="00491AC7"/>
    <w:rsid w:val="00494326"/>
    <w:rsid w:val="00494D8F"/>
    <w:rsid w:val="00495E9D"/>
    <w:rsid w:val="004A03DC"/>
    <w:rsid w:val="004A07FE"/>
    <w:rsid w:val="004A0FBC"/>
    <w:rsid w:val="004A1018"/>
    <w:rsid w:val="004A5259"/>
    <w:rsid w:val="004A67AF"/>
    <w:rsid w:val="004A7049"/>
    <w:rsid w:val="004A7249"/>
    <w:rsid w:val="004A7BD6"/>
    <w:rsid w:val="004B03F3"/>
    <w:rsid w:val="004B0518"/>
    <w:rsid w:val="004B06B6"/>
    <w:rsid w:val="004B07F1"/>
    <w:rsid w:val="004B11C6"/>
    <w:rsid w:val="004B18A4"/>
    <w:rsid w:val="004B66F7"/>
    <w:rsid w:val="004B7DE9"/>
    <w:rsid w:val="004C0623"/>
    <w:rsid w:val="004C0B15"/>
    <w:rsid w:val="004C1F1D"/>
    <w:rsid w:val="004C2285"/>
    <w:rsid w:val="004C43A9"/>
    <w:rsid w:val="004C4E99"/>
    <w:rsid w:val="004C4FD4"/>
    <w:rsid w:val="004C59F6"/>
    <w:rsid w:val="004C62C1"/>
    <w:rsid w:val="004C7405"/>
    <w:rsid w:val="004C7ED6"/>
    <w:rsid w:val="004C7EE8"/>
    <w:rsid w:val="004D1234"/>
    <w:rsid w:val="004D20F3"/>
    <w:rsid w:val="004D2481"/>
    <w:rsid w:val="004D2A12"/>
    <w:rsid w:val="004D351A"/>
    <w:rsid w:val="004D372A"/>
    <w:rsid w:val="004D52C8"/>
    <w:rsid w:val="004E23E4"/>
    <w:rsid w:val="004E4CF9"/>
    <w:rsid w:val="004E4F86"/>
    <w:rsid w:val="004E5471"/>
    <w:rsid w:val="004E5A52"/>
    <w:rsid w:val="004E5B46"/>
    <w:rsid w:val="004E608B"/>
    <w:rsid w:val="004E6198"/>
    <w:rsid w:val="004E6392"/>
    <w:rsid w:val="004E63C1"/>
    <w:rsid w:val="004E6EE4"/>
    <w:rsid w:val="004F0A99"/>
    <w:rsid w:val="004F0ADA"/>
    <w:rsid w:val="004F3CD8"/>
    <w:rsid w:val="004F4D0A"/>
    <w:rsid w:val="004F7004"/>
    <w:rsid w:val="004F71A8"/>
    <w:rsid w:val="00500309"/>
    <w:rsid w:val="00501B4F"/>
    <w:rsid w:val="00502508"/>
    <w:rsid w:val="005061B3"/>
    <w:rsid w:val="005074E5"/>
    <w:rsid w:val="005106B2"/>
    <w:rsid w:val="00510A88"/>
    <w:rsid w:val="00510BC9"/>
    <w:rsid w:val="00510F1D"/>
    <w:rsid w:val="00511815"/>
    <w:rsid w:val="00512D15"/>
    <w:rsid w:val="00513046"/>
    <w:rsid w:val="005130DF"/>
    <w:rsid w:val="00515305"/>
    <w:rsid w:val="0051578C"/>
    <w:rsid w:val="005158B2"/>
    <w:rsid w:val="00515A01"/>
    <w:rsid w:val="005168AF"/>
    <w:rsid w:val="00517E6E"/>
    <w:rsid w:val="00523240"/>
    <w:rsid w:val="00523C47"/>
    <w:rsid w:val="00524A28"/>
    <w:rsid w:val="005261B2"/>
    <w:rsid w:val="00526E42"/>
    <w:rsid w:val="00527E45"/>
    <w:rsid w:val="0053294F"/>
    <w:rsid w:val="005331D0"/>
    <w:rsid w:val="005333D3"/>
    <w:rsid w:val="0053571C"/>
    <w:rsid w:val="00535E54"/>
    <w:rsid w:val="00535EE5"/>
    <w:rsid w:val="00536C86"/>
    <w:rsid w:val="00537158"/>
    <w:rsid w:val="0054029D"/>
    <w:rsid w:val="005407FE"/>
    <w:rsid w:val="00540C3F"/>
    <w:rsid w:val="00540F91"/>
    <w:rsid w:val="00540FC9"/>
    <w:rsid w:val="00541F4F"/>
    <w:rsid w:val="0054394D"/>
    <w:rsid w:val="0054468A"/>
    <w:rsid w:val="00544E0F"/>
    <w:rsid w:val="00544F5B"/>
    <w:rsid w:val="00545A11"/>
    <w:rsid w:val="00546CDC"/>
    <w:rsid w:val="005473EC"/>
    <w:rsid w:val="00547D94"/>
    <w:rsid w:val="00550631"/>
    <w:rsid w:val="00550A95"/>
    <w:rsid w:val="00551A6A"/>
    <w:rsid w:val="0055220D"/>
    <w:rsid w:val="00552CB1"/>
    <w:rsid w:val="00554493"/>
    <w:rsid w:val="005552FD"/>
    <w:rsid w:val="0055552F"/>
    <w:rsid w:val="0055666A"/>
    <w:rsid w:val="005600D2"/>
    <w:rsid w:val="00563284"/>
    <w:rsid w:val="00563CE5"/>
    <w:rsid w:val="00563E08"/>
    <w:rsid w:val="005641AD"/>
    <w:rsid w:val="00565BD7"/>
    <w:rsid w:val="005664F0"/>
    <w:rsid w:val="00566B97"/>
    <w:rsid w:val="00566E92"/>
    <w:rsid w:val="005678E6"/>
    <w:rsid w:val="00567CCA"/>
    <w:rsid w:val="005700C9"/>
    <w:rsid w:val="00572D98"/>
    <w:rsid w:val="005739BE"/>
    <w:rsid w:val="0057419A"/>
    <w:rsid w:val="005742AB"/>
    <w:rsid w:val="0057580B"/>
    <w:rsid w:val="00576C24"/>
    <w:rsid w:val="00581405"/>
    <w:rsid w:val="00581DD4"/>
    <w:rsid w:val="005828F4"/>
    <w:rsid w:val="00582B11"/>
    <w:rsid w:val="0058362F"/>
    <w:rsid w:val="005838C9"/>
    <w:rsid w:val="0058457C"/>
    <w:rsid w:val="00584593"/>
    <w:rsid w:val="0058609B"/>
    <w:rsid w:val="005918F7"/>
    <w:rsid w:val="005960DB"/>
    <w:rsid w:val="005A00F5"/>
    <w:rsid w:val="005A0837"/>
    <w:rsid w:val="005A12F7"/>
    <w:rsid w:val="005A2964"/>
    <w:rsid w:val="005A4330"/>
    <w:rsid w:val="005A51CE"/>
    <w:rsid w:val="005A54E7"/>
    <w:rsid w:val="005A5902"/>
    <w:rsid w:val="005A6B38"/>
    <w:rsid w:val="005A702E"/>
    <w:rsid w:val="005A7129"/>
    <w:rsid w:val="005B0108"/>
    <w:rsid w:val="005B043B"/>
    <w:rsid w:val="005B0AB8"/>
    <w:rsid w:val="005B1530"/>
    <w:rsid w:val="005B1906"/>
    <w:rsid w:val="005B20BE"/>
    <w:rsid w:val="005B4B66"/>
    <w:rsid w:val="005B524E"/>
    <w:rsid w:val="005B6CF8"/>
    <w:rsid w:val="005B7317"/>
    <w:rsid w:val="005C23DA"/>
    <w:rsid w:val="005C3396"/>
    <w:rsid w:val="005C38C7"/>
    <w:rsid w:val="005C3F12"/>
    <w:rsid w:val="005C4925"/>
    <w:rsid w:val="005C4B8C"/>
    <w:rsid w:val="005C5538"/>
    <w:rsid w:val="005C58D0"/>
    <w:rsid w:val="005C5CB3"/>
    <w:rsid w:val="005C63C2"/>
    <w:rsid w:val="005D023A"/>
    <w:rsid w:val="005D0CF6"/>
    <w:rsid w:val="005D144F"/>
    <w:rsid w:val="005D185D"/>
    <w:rsid w:val="005D1DC6"/>
    <w:rsid w:val="005D261E"/>
    <w:rsid w:val="005D2721"/>
    <w:rsid w:val="005D3DA6"/>
    <w:rsid w:val="005D4246"/>
    <w:rsid w:val="005D5C56"/>
    <w:rsid w:val="005D60B3"/>
    <w:rsid w:val="005D7712"/>
    <w:rsid w:val="005D7C59"/>
    <w:rsid w:val="005D7ED7"/>
    <w:rsid w:val="005D7F5E"/>
    <w:rsid w:val="005E04DE"/>
    <w:rsid w:val="005E1B08"/>
    <w:rsid w:val="005E1DD8"/>
    <w:rsid w:val="005E332F"/>
    <w:rsid w:val="005E4F06"/>
    <w:rsid w:val="005E5F3A"/>
    <w:rsid w:val="005E7E84"/>
    <w:rsid w:val="005F33E2"/>
    <w:rsid w:val="005F38D2"/>
    <w:rsid w:val="005F3B41"/>
    <w:rsid w:val="005F535B"/>
    <w:rsid w:val="005F5549"/>
    <w:rsid w:val="005F66DC"/>
    <w:rsid w:val="006003E7"/>
    <w:rsid w:val="00600A1B"/>
    <w:rsid w:val="00600BA9"/>
    <w:rsid w:val="00601E4C"/>
    <w:rsid w:val="00602320"/>
    <w:rsid w:val="00602F6B"/>
    <w:rsid w:val="00603F3B"/>
    <w:rsid w:val="00605049"/>
    <w:rsid w:val="0060588E"/>
    <w:rsid w:val="00606BAC"/>
    <w:rsid w:val="00607711"/>
    <w:rsid w:val="006108AE"/>
    <w:rsid w:val="00610CB0"/>
    <w:rsid w:val="00612037"/>
    <w:rsid w:val="006128EC"/>
    <w:rsid w:val="0061301E"/>
    <w:rsid w:val="00613558"/>
    <w:rsid w:val="006147FE"/>
    <w:rsid w:val="00616664"/>
    <w:rsid w:val="006203A5"/>
    <w:rsid w:val="00620A85"/>
    <w:rsid w:val="006218FD"/>
    <w:rsid w:val="006229ED"/>
    <w:rsid w:val="006249FE"/>
    <w:rsid w:val="00625493"/>
    <w:rsid w:val="006270B9"/>
    <w:rsid w:val="006271B3"/>
    <w:rsid w:val="00630548"/>
    <w:rsid w:val="00631F72"/>
    <w:rsid w:val="006337BF"/>
    <w:rsid w:val="00634254"/>
    <w:rsid w:val="00634B16"/>
    <w:rsid w:val="00634C59"/>
    <w:rsid w:val="006360F6"/>
    <w:rsid w:val="006410A4"/>
    <w:rsid w:val="006417AD"/>
    <w:rsid w:val="00641944"/>
    <w:rsid w:val="00642901"/>
    <w:rsid w:val="00643B2D"/>
    <w:rsid w:val="00645F8B"/>
    <w:rsid w:val="006501F9"/>
    <w:rsid w:val="0065030A"/>
    <w:rsid w:val="006503AA"/>
    <w:rsid w:val="006515BA"/>
    <w:rsid w:val="006530FE"/>
    <w:rsid w:val="006532B6"/>
    <w:rsid w:val="006532FC"/>
    <w:rsid w:val="00653C11"/>
    <w:rsid w:val="00653DBD"/>
    <w:rsid w:val="00655BD8"/>
    <w:rsid w:val="00655D1C"/>
    <w:rsid w:val="006566F0"/>
    <w:rsid w:val="0066040F"/>
    <w:rsid w:val="00660560"/>
    <w:rsid w:val="0066077F"/>
    <w:rsid w:val="0066137F"/>
    <w:rsid w:val="006613EC"/>
    <w:rsid w:val="00661BCA"/>
    <w:rsid w:val="00663674"/>
    <w:rsid w:val="006636DA"/>
    <w:rsid w:val="00664E01"/>
    <w:rsid w:val="00664E62"/>
    <w:rsid w:val="00665EA4"/>
    <w:rsid w:val="006703E8"/>
    <w:rsid w:val="00671105"/>
    <w:rsid w:val="006718A0"/>
    <w:rsid w:val="00672A18"/>
    <w:rsid w:val="00673490"/>
    <w:rsid w:val="00676729"/>
    <w:rsid w:val="006767D9"/>
    <w:rsid w:val="006769CF"/>
    <w:rsid w:val="00676D8F"/>
    <w:rsid w:val="00676E21"/>
    <w:rsid w:val="00680B4A"/>
    <w:rsid w:val="00681654"/>
    <w:rsid w:val="00682E6A"/>
    <w:rsid w:val="00686939"/>
    <w:rsid w:val="00687AC9"/>
    <w:rsid w:val="00690825"/>
    <w:rsid w:val="00690DDC"/>
    <w:rsid w:val="00690ED2"/>
    <w:rsid w:val="006935FE"/>
    <w:rsid w:val="006936B7"/>
    <w:rsid w:val="0069478F"/>
    <w:rsid w:val="00694858"/>
    <w:rsid w:val="00694C2D"/>
    <w:rsid w:val="006962C4"/>
    <w:rsid w:val="006970DF"/>
    <w:rsid w:val="00697D4E"/>
    <w:rsid w:val="006A0968"/>
    <w:rsid w:val="006A172B"/>
    <w:rsid w:val="006A189A"/>
    <w:rsid w:val="006A32CA"/>
    <w:rsid w:val="006A3DBC"/>
    <w:rsid w:val="006A66A2"/>
    <w:rsid w:val="006A6A18"/>
    <w:rsid w:val="006A7315"/>
    <w:rsid w:val="006A7EC4"/>
    <w:rsid w:val="006B10C4"/>
    <w:rsid w:val="006B131F"/>
    <w:rsid w:val="006B2095"/>
    <w:rsid w:val="006B2CFE"/>
    <w:rsid w:val="006B5068"/>
    <w:rsid w:val="006B7586"/>
    <w:rsid w:val="006C02E4"/>
    <w:rsid w:val="006C188D"/>
    <w:rsid w:val="006C1D97"/>
    <w:rsid w:val="006C1E15"/>
    <w:rsid w:val="006C5B2E"/>
    <w:rsid w:val="006C5F32"/>
    <w:rsid w:val="006C5F6D"/>
    <w:rsid w:val="006C642C"/>
    <w:rsid w:val="006C6842"/>
    <w:rsid w:val="006C74CB"/>
    <w:rsid w:val="006D0652"/>
    <w:rsid w:val="006D0717"/>
    <w:rsid w:val="006D0C04"/>
    <w:rsid w:val="006D1C8B"/>
    <w:rsid w:val="006D1E8E"/>
    <w:rsid w:val="006D3BAA"/>
    <w:rsid w:val="006D477C"/>
    <w:rsid w:val="006D4918"/>
    <w:rsid w:val="006D49C8"/>
    <w:rsid w:val="006D5307"/>
    <w:rsid w:val="006D63F2"/>
    <w:rsid w:val="006D6734"/>
    <w:rsid w:val="006D7638"/>
    <w:rsid w:val="006E0404"/>
    <w:rsid w:val="006E0BEC"/>
    <w:rsid w:val="006E3328"/>
    <w:rsid w:val="006E5D0C"/>
    <w:rsid w:val="006F05F9"/>
    <w:rsid w:val="006F0C48"/>
    <w:rsid w:val="006F0EE7"/>
    <w:rsid w:val="006F2CE2"/>
    <w:rsid w:val="006F2DF4"/>
    <w:rsid w:val="006F4F86"/>
    <w:rsid w:val="006F5D0D"/>
    <w:rsid w:val="006F6A63"/>
    <w:rsid w:val="00700818"/>
    <w:rsid w:val="00701959"/>
    <w:rsid w:val="00701E41"/>
    <w:rsid w:val="00702250"/>
    <w:rsid w:val="00702FD4"/>
    <w:rsid w:val="0070344D"/>
    <w:rsid w:val="007040AB"/>
    <w:rsid w:val="00707D06"/>
    <w:rsid w:val="00707DB8"/>
    <w:rsid w:val="00710248"/>
    <w:rsid w:val="0071068A"/>
    <w:rsid w:val="00711C9F"/>
    <w:rsid w:val="00711D30"/>
    <w:rsid w:val="00714D83"/>
    <w:rsid w:val="00715203"/>
    <w:rsid w:val="00716433"/>
    <w:rsid w:val="00716500"/>
    <w:rsid w:val="00716EBD"/>
    <w:rsid w:val="007212C0"/>
    <w:rsid w:val="007226AE"/>
    <w:rsid w:val="00723335"/>
    <w:rsid w:val="0072435A"/>
    <w:rsid w:val="00725727"/>
    <w:rsid w:val="00726E4B"/>
    <w:rsid w:val="007274AC"/>
    <w:rsid w:val="00727B07"/>
    <w:rsid w:val="00727B47"/>
    <w:rsid w:val="00731421"/>
    <w:rsid w:val="007316C7"/>
    <w:rsid w:val="00731A56"/>
    <w:rsid w:val="00732110"/>
    <w:rsid w:val="00734805"/>
    <w:rsid w:val="00736C53"/>
    <w:rsid w:val="00737020"/>
    <w:rsid w:val="00737302"/>
    <w:rsid w:val="00737FC2"/>
    <w:rsid w:val="007417EF"/>
    <w:rsid w:val="0074226B"/>
    <w:rsid w:val="00745467"/>
    <w:rsid w:val="00746D77"/>
    <w:rsid w:val="007476F0"/>
    <w:rsid w:val="00750A39"/>
    <w:rsid w:val="0075227B"/>
    <w:rsid w:val="00753C76"/>
    <w:rsid w:val="0075668C"/>
    <w:rsid w:val="00756D9D"/>
    <w:rsid w:val="00760883"/>
    <w:rsid w:val="00761FF7"/>
    <w:rsid w:val="0076432A"/>
    <w:rsid w:val="0076608B"/>
    <w:rsid w:val="007665B7"/>
    <w:rsid w:val="00766EC3"/>
    <w:rsid w:val="00767C0D"/>
    <w:rsid w:val="00770F89"/>
    <w:rsid w:val="00771031"/>
    <w:rsid w:val="00771072"/>
    <w:rsid w:val="00771561"/>
    <w:rsid w:val="00773BA9"/>
    <w:rsid w:val="00774C5C"/>
    <w:rsid w:val="007750D3"/>
    <w:rsid w:val="0077518E"/>
    <w:rsid w:val="0078091F"/>
    <w:rsid w:val="007813CC"/>
    <w:rsid w:val="00781B88"/>
    <w:rsid w:val="00781CB0"/>
    <w:rsid w:val="00781FC8"/>
    <w:rsid w:val="00782859"/>
    <w:rsid w:val="00782F40"/>
    <w:rsid w:val="00784651"/>
    <w:rsid w:val="00786B24"/>
    <w:rsid w:val="00787500"/>
    <w:rsid w:val="00787B05"/>
    <w:rsid w:val="00790687"/>
    <w:rsid w:val="007906BC"/>
    <w:rsid w:val="00790CCD"/>
    <w:rsid w:val="0079104E"/>
    <w:rsid w:val="007922B1"/>
    <w:rsid w:val="007935F9"/>
    <w:rsid w:val="007938B3"/>
    <w:rsid w:val="00794809"/>
    <w:rsid w:val="00796037"/>
    <w:rsid w:val="007965C2"/>
    <w:rsid w:val="007A0C05"/>
    <w:rsid w:val="007A12A4"/>
    <w:rsid w:val="007A1731"/>
    <w:rsid w:val="007A2A6A"/>
    <w:rsid w:val="007A417D"/>
    <w:rsid w:val="007A4E35"/>
    <w:rsid w:val="007A697F"/>
    <w:rsid w:val="007A7077"/>
    <w:rsid w:val="007A7391"/>
    <w:rsid w:val="007A7D1F"/>
    <w:rsid w:val="007A7D71"/>
    <w:rsid w:val="007B0D9E"/>
    <w:rsid w:val="007B13AD"/>
    <w:rsid w:val="007B146C"/>
    <w:rsid w:val="007B3E64"/>
    <w:rsid w:val="007B49DB"/>
    <w:rsid w:val="007B505E"/>
    <w:rsid w:val="007B6B74"/>
    <w:rsid w:val="007B7458"/>
    <w:rsid w:val="007B7896"/>
    <w:rsid w:val="007B7EF0"/>
    <w:rsid w:val="007C139C"/>
    <w:rsid w:val="007C1CBD"/>
    <w:rsid w:val="007C20F6"/>
    <w:rsid w:val="007C3170"/>
    <w:rsid w:val="007C3A8E"/>
    <w:rsid w:val="007C4424"/>
    <w:rsid w:val="007D0569"/>
    <w:rsid w:val="007D0E71"/>
    <w:rsid w:val="007D2F37"/>
    <w:rsid w:val="007D456B"/>
    <w:rsid w:val="007D4AA9"/>
    <w:rsid w:val="007D4CA1"/>
    <w:rsid w:val="007D4ED3"/>
    <w:rsid w:val="007D739C"/>
    <w:rsid w:val="007E0A83"/>
    <w:rsid w:val="007E0FBD"/>
    <w:rsid w:val="007E139B"/>
    <w:rsid w:val="007E1D89"/>
    <w:rsid w:val="007E222B"/>
    <w:rsid w:val="007E276A"/>
    <w:rsid w:val="007E3309"/>
    <w:rsid w:val="007E33BA"/>
    <w:rsid w:val="007E46F1"/>
    <w:rsid w:val="007E4748"/>
    <w:rsid w:val="007E4966"/>
    <w:rsid w:val="007E4B61"/>
    <w:rsid w:val="007E4F0B"/>
    <w:rsid w:val="007E5D9C"/>
    <w:rsid w:val="007E6119"/>
    <w:rsid w:val="007E6A13"/>
    <w:rsid w:val="007F06E9"/>
    <w:rsid w:val="007F40EF"/>
    <w:rsid w:val="007F4903"/>
    <w:rsid w:val="007F69BE"/>
    <w:rsid w:val="007F7FB7"/>
    <w:rsid w:val="00801255"/>
    <w:rsid w:val="008013D7"/>
    <w:rsid w:val="00801C46"/>
    <w:rsid w:val="0080207A"/>
    <w:rsid w:val="00805E25"/>
    <w:rsid w:val="008068CE"/>
    <w:rsid w:val="00806996"/>
    <w:rsid w:val="00806B82"/>
    <w:rsid w:val="00807298"/>
    <w:rsid w:val="00807F57"/>
    <w:rsid w:val="008104E4"/>
    <w:rsid w:val="00810A25"/>
    <w:rsid w:val="008142A5"/>
    <w:rsid w:val="00814A31"/>
    <w:rsid w:val="00814CD9"/>
    <w:rsid w:val="00814FD3"/>
    <w:rsid w:val="008151A1"/>
    <w:rsid w:val="008151E8"/>
    <w:rsid w:val="008202CC"/>
    <w:rsid w:val="008217D2"/>
    <w:rsid w:val="00821E79"/>
    <w:rsid w:val="0082223B"/>
    <w:rsid w:val="0082287B"/>
    <w:rsid w:val="00823900"/>
    <w:rsid w:val="00824DAB"/>
    <w:rsid w:val="00825483"/>
    <w:rsid w:val="00825779"/>
    <w:rsid w:val="0082687E"/>
    <w:rsid w:val="008270A8"/>
    <w:rsid w:val="008305F6"/>
    <w:rsid w:val="0083211A"/>
    <w:rsid w:val="008329E1"/>
    <w:rsid w:val="0083359C"/>
    <w:rsid w:val="0083378A"/>
    <w:rsid w:val="0083710B"/>
    <w:rsid w:val="00840599"/>
    <w:rsid w:val="008433C5"/>
    <w:rsid w:val="00844E33"/>
    <w:rsid w:val="0084504B"/>
    <w:rsid w:val="008454FB"/>
    <w:rsid w:val="00850099"/>
    <w:rsid w:val="008500B8"/>
    <w:rsid w:val="00851889"/>
    <w:rsid w:val="00853313"/>
    <w:rsid w:val="00854D1B"/>
    <w:rsid w:val="008552C6"/>
    <w:rsid w:val="00855553"/>
    <w:rsid w:val="00855C76"/>
    <w:rsid w:val="0085640E"/>
    <w:rsid w:val="00856665"/>
    <w:rsid w:val="0085694C"/>
    <w:rsid w:val="0085720A"/>
    <w:rsid w:val="00857579"/>
    <w:rsid w:val="00861F83"/>
    <w:rsid w:val="008627BF"/>
    <w:rsid w:val="00863B18"/>
    <w:rsid w:val="008645FC"/>
    <w:rsid w:val="008648A9"/>
    <w:rsid w:val="00864BBD"/>
    <w:rsid w:val="00864BF1"/>
    <w:rsid w:val="00864D2A"/>
    <w:rsid w:val="00864F32"/>
    <w:rsid w:val="00866B13"/>
    <w:rsid w:val="00866F9D"/>
    <w:rsid w:val="00867B0A"/>
    <w:rsid w:val="00870B29"/>
    <w:rsid w:val="00872B57"/>
    <w:rsid w:val="00872FB4"/>
    <w:rsid w:val="00873087"/>
    <w:rsid w:val="00874228"/>
    <w:rsid w:val="00874A99"/>
    <w:rsid w:val="008754BC"/>
    <w:rsid w:val="008757E3"/>
    <w:rsid w:val="00876424"/>
    <w:rsid w:val="0087745D"/>
    <w:rsid w:val="00880489"/>
    <w:rsid w:val="008829B8"/>
    <w:rsid w:val="00883594"/>
    <w:rsid w:val="0088464F"/>
    <w:rsid w:val="00884CE5"/>
    <w:rsid w:val="0088568C"/>
    <w:rsid w:val="00886EB2"/>
    <w:rsid w:val="00887423"/>
    <w:rsid w:val="00887543"/>
    <w:rsid w:val="00887D36"/>
    <w:rsid w:val="0089232A"/>
    <w:rsid w:val="008927AD"/>
    <w:rsid w:val="008963D1"/>
    <w:rsid w:val="00896B01"/>
    <w:rsid w:val="00897092"/>
    <w:rsid w:val="008970BD"/>
    <w:rsid w:val="008A1183"/>
    <w:rsid w:val="008A2DCA"/>
    <w:rsid w:val="008A36B9"/>
    <w:rsid w:val="008A3C0B"/>
    <w:rsid w:val="008A6CFE"/>
    <w:rsid w:val="008A6EFD"/>
    <w:rsid w:val="008A7383"/>
    <w:rsid w:val="008B0134"/>
    <w:rsid w:val="008B0F37"/>
    <w:rsid w:val="008B23CE"/>
    <w:rsid w:val="008B3EE8"/>
    <w:rsid w:val="008B4E3D"/>
    <w:rsid w:val="008B50BA"/>
    <w:rsid w:val="008B7FFD"/>
    <w:rsid w:val="008C0792"/>
    <w:rsid w:val="008C3F45"/>
    <w:rsid w:val="008C455B"/>
    <w:rsid w:val="008C48F9"/>
    <w:rsid w:val="008C4C73"/>
    <w:rsid w:val="008C4E19"/>
    <w:rsid w:val="008D1660"/>
    <w:rsid w:val="008D2BB9"/>
    <w:rsid w:val="008D43B2"/>
    <w:rsid w:val="008D4540"/>
    <w:rsid w:val="008D4B3A"/>
    <w:rsid w:val="008D4D12"/>
    <w:rsid w:val="008D6DB1"/>
    <w:rsid w:val="008D7A21"/>
    <w:rsid w:val="008D7FAC"/>
    <w:rsid w:val="008E12E0"/>
    <w:rsid w:val="008E1B34"/>
    <w:rsid w:val="008E33F0"/>
    <w:rsid w:val="008E6303"/>
    <w:rsid w:val="008F0EEA"/>
    <w:rsid w:val="008F376C"/>
    <w:rsid w:val="008F7FC5"/>
    <w:rsid w:val="00901168"/>
    <w:rsid w:val="00901275"/>
    <w:rsid w:val="00903256"/>
    <w:rsid w:val="0090442D"/>
    <w:rsid w:val="00904CAD"/>
    <w:rsid w:val="00906A0C"/>
    <w:rsid w:val="00906A28"/>
    <w:rsid w:val="00910FF6"/>
    <w:rsid w:val="00911029"/>
    <w:rsid w:val="00911657"/>
    <w:rsid w:val="0091201E"/>
    <w:rsid w:val="00913119"/>
    <w:rsid w:val="00913954"/>
    <w:rsid w:val="009140A5"/>
    <w:rsid w:val="0091460B"/>
    <w:rsid w:val="0091473E"/>
    <w:rsid w:val="00915411"/>
    <w:rsid w:val="009158C7"/>
    <w:rsid w:val="00916073"/>
    <w:rsid w:val="009209EF"/>
    <w:rsid w:val="00921922"/>
    <w:rsid w:val="00921988"/>
    <w:rsid w:val="00922D1A"/>
    <w:rsid w:val="00923600"/>
    <w:rsid w:val="00924C87"/>
    <w:rsid w:val="009302FE"/>
    <w:rsid w:val="009308E9"/>
    <w:rsid w:val="009317FB"/>
    <w:rsid w:val="00931CD2"/>
    <w:rsid w:val="0093248D"/>
    <w:rsid w:val="009328BC"/>
    <w:rsid w:val="00932F3E"/>
    <w:rsid w:val="00934FDA"/>
    <w:rsid w:val="009372D2"/>
    <w:rsid w:val="009403AE"/>
    <w:rsid w:val="00940C1A"/>
    <w:rsid w:val="00942C79"/>
    <w:rsid w:val="0094605F"/>
    <w:rsid w:val="009465F3"/>
    <w:rsid w:val="00947048"/>
    <w:rsid w:val="00947C0F"/>
    <w:rsid w:val="00947E11"/>
    <w:rsid w:val="009525CB"/>
    <w:rsid w:val="00953B49"/>
    <w:rsid w:val="00954898"/>
    <w:rsid w:val="00955B35"/>
    <w:rsid w:val="00956461"/>
    <w:rsid w:val="00956548"/>
    <w:rsid w:val="00960F98"/>
    <w:rsid w:val="00962602"/>
    <w:rsid w:val="00963B2C"/>
    <w:rsid w:val="00964761"/>
    <w:rsid w:val="00964A94"/>
    <w:rsid w:val="00967A1C"/>
    <w:rsid w:val="00967A86"/>
    <w:rsid w:val="00967F19"/>
    <w:rsid w:val="009703C3"/>
    <w:rsid w:val="00970965"/>
    <w:rsid w:val="00971292"/>
    <w:rsid w:val="00971417"/>
    <w:rsid w:val="00971D4D"/>
    <w:rsid w:val="00972062"/>
    <w:rsid w:val="00972876"/>
    <w:rsid w:val="00973E31"/>
    <w:rsid w:val="009743DA"/>
    <w:rsid w:val="009754A7"/>
    <w:rsid w:val="00975E8B"/>
    <w:rsid w:val="00975F50"/>
    <w:rsid w:val="00976C04"/>
    <w:rsid w:val="009806AD"/>
    <w:rsid w:val="00980B0F"/>
    <w:rsid w:val="009829BA"/>
    <w:rsid w:val="00982D93"/>
    <w:rsid w:val="0098308C"/>
    <w:rsid w:val="00983EE3"/>
    <w:rsid w:val="00984883"/>
    <w:rsid w:val="00984969"/>
    <w:rsid w:val="0098748C"/>
    <w:rsid w:val="0099026D"/>
    <w:rsid w:val="009907EE"/>
    <w:rsid w:val="009916BA"/>
    <w:rsid w:val="0099183D"/>
    <w:rsid w:val="009922D7"/>
    <w:rsid w:val="00992377"/>
    <w:rsid w:val="0099257F"/>
    <w:rsid w:val="009936EB"/>
    <w:rsid w:val="00993C0D"/>
    <w:rsid w:val="0099421E"/>
    <w:rsid w:val="00994C7F"/>
    <w:rsid w:val="00995310"/>
    <w:rsid w:val="0099676A"/>
    <w:rsid w:val="00996A45"/>
    <w:rsid w:val="009973CC"/>
    <w:rsid w:val="009A12EC"/>
    <w:rsid w:val="009A1749"/>
    <w:rsid w:val="009A1892"/>
    <w:rsid w:val="009A1A7F"/>
    <w:rsid w:val="009A1D09"/>
    <w:rsid w:val="009A20D0"/>
    <w:rsid w:val="009A41A8"/>
    <w:rsid w:val="009A4AE1"/>
    <w:rsid w:val="009A53D3"/>
    <w:rsid w:val="009A5630"/>
    <w:rsid w:val="009A5A03"/>
    <w:rsid w:val="009A6362"/>
    <w:rsid w:val="009A72A8"/>
    <w:rsid w:val="009B0970"/>
    <w:rsid w:val="009B2081"/>
    <w:rsid w:val="009B2C46"/>
    <w:rsid w:val="009B39F8"/>
    <w:rsid w:val="009B4E30"/>
    <w:rsid w:val="009B5E18"/>
    <w:rsid w:val="009B6EE7"/>
    <w:rsid w:val="009C1584"/>
    <w:rsid w:val="009C158F"/>
    <w:rsid w:val="009C22B7"/>
    <w:rsid w:val="009C2F6F"/>
    <w:rsid w:val="009C30C5"/>
    <w:rsid w:val="009C3129"/>
    <w:rsid w:val="009C3231"/>
    <w:rsid w:val="009C3F4B"/>
    <w:rsid w:val="009C41F5"/>
    <w:rsid w:val="009C52AF"/>
    <w:rsid w:val="009D01AA"/>
    <w:rsid w:val="009D15D3"/>
    <w:rsid w:val="009D24DF"/>
    <w:rsid w:val="009D2B3A"/>
    <w:rsid w:val="009D2FD7"/>
    <w:rsid w:val="009D323C"/>
    <w:rsid w:val="009D32A9"/>
    <w:rsid w:val="009D33A6"/>
    <w:rsid w:val="009D36FF"/>
    <w:rsid w:val="009D5E3C"/>
    <w:rsid w:val="009D6C11"/>
    <w:rsid w:val="009E0CFD"/>
    <w:rsid w:val="009E0DE6"/>
    <w:rsid w:val="009E203B"/>
    <w:rsid w:val="009E3352"/>
    <w:rsid w:val="009E6592"/>
    <w:rsid w:val="009E694D"/>
    <w:rsid w:val="009E6BCC"/>
    <w:rsid w:val="009E7769"/>
    <w:rsid w:val="009E7D91"/>
    <w:rsid w:val="009F0DCE"/>
    <w:rsid w:val="009F1082"/>
    <w:rsid w:val="009F1369"/>
    <w:rsid w:val="009F2649"/>
    <w:rsid w:val="009F2DC3"/>
    <w:rsid w:val="009F39D0"/>
    <w:rsid w:val="009F4106"/>
    <w:rsid w:val="009F419C"/>
    <w:rsid w:val="009F4414"/>
    <w:rsid w:val="009F6016"/>
    <w:rsid w:val="00A0012D"/>
    <w:rsid w:val="00A01C5A"/>
    <w:rsid w:val="00A02A8A"/>
    <w:rsid w:val="00A03E07"/>
    <w:rsid w:val="00A05ADC"/>
    <w:rsid w:val="00A06FD0"/>
    <w:rsid w:val="00A07B88"/>
    <w:rsid w:val="00A11810"/>
    <w:rsid w:val="00A1359B"/>
    <w:rsid w:val="00A13B7A"/>
    <w:rsid w:val="00A14942"/>
    <w:rsid w:val="00A165CB"/>
    <w:rsid w:val="00A205B5"/>
    <w:rsid w:val="00A206A6"/>
    <w:rsid w:val="00A206D8"/>
    <w:rsid w:val="00A20703"/>
    <w:rsid w:val="00A221BF"/>
    <w:rsid w:val="00A22D4B"/>
    <w:rsid w:val="00A24EB7"/>
    <w:rsid w:val="00A26A0C"/>
    <w:rsid w:val="00A30960"/>
    <w:rsid w:val="00A31278"/>
    <w:rsid w:val="00A3261C"/>
    <w:rsid w:val="00A3440C"/>
    <w:rsid w:val="00A3626D"/>
    <w:rsid w:val="00A36B49"/>
    <w:rsid w:val="00A37C82"/>
    <w:rsid w:val="00A37D37"/>
    <w:rsid w:val="00A429B1"/>
    <w:rsid w:val="00A435BC"/>
    <w:rsid w:val="00A44029"/>
    <w:rsid w:val="00A4540A"/>
    <w:rsid w:val="00A45A55"/>
    <w:rsid w:val="00A47BA6"/>
    <w:rsid w:val="00A47D70"/>
    <w:rsid w:val="00A502F0"/>
    <w:rsid w:val="00A52326"/>
    <w:rsid w:val="00A5277A"/>
    <w:rsid w:val="00A5425F"/>
    <w:rsid w:val="00A54839"/>
    <w:rsid w:val="00A55948"/>
    <w:rsid w:val="00A55F29"/>
    <w:rsid w:val="00A60D0D"/>
    <w:rsid w:val="00A61F9A"/>
    <w:rsid w:val="00A6548B"/>
    <w:rsid w:val="00A66441"/>
    <w:rsid w:val="00A70011"/>
    <w:rsid w:val="00A70C84"/>
    <w:rsid w:val="00A71525"/>
    <w:rsid w:val="00A744B4"/>
    <w:rsid w:val="00A74DA2"/>
    <w:rsid w:val="00A8189B"/>
    <w:rsid w:val="00A84CCC"/>
    <w:rsid w:val="00A84DEC"/>
    <w:rsid w:val="00A854D6"/>
    <w:rsid w:val="00A8656E"/>
    <w:rsid w:val="00A868D7"/>
    <w:rsid w:val="00A86A6D"/>
    <w:rsid w:val="00A871B3"/>
    <w:rsid w:val="00A87858"/>
    <w:rsid w:val="00A90664"/>
    <w:rsid w:val="00A908EF"/>
    <w:rsid w:val="00A95CC0"/>
    <w:rsid w:val="00A95E65"/>
    <w:rsid w:val="00A9621F"/>
    <w:rsid w:val="00AA594F"/>
    <w:rsid w:val="00AA684A"/>
    <w:rsid w:val="00AA6C28"/>
    <w:rsid w:val="00AA6E45"/>
    <w:rsid w:val="00AA7EAF"/>
    <w:rsid w:val="00AB0144"/>
    <w:rsid w:val="00AB0397"/>
    <w:rsid w:val="00AB1394"/>
    <w:rsid w:val="00AB48C5"/>
    <w:rsid w:val="00AB4C29"/>
    <w:rsid w:val="00AB4CDF"/>
    <w:rsid w:val="00AB5EEC"/>
    <w:rsid w:val="00AB60FA"/>
    <w:rsid w:val="00AB70CB"/>
    <w:rsid w:val="00AC06BC"/>
    <w:rsid w:val="00AC0C6A"/>
    <w:rsid w:val="00AC1FD5"/>
    <w:rsid w:val="00AC2D5A"/>
    <w:rsid w:val="00AC3B71"/>
    <w:rsid w:val="00AC47AA"/>
    <w:rsid w:val="00AC5170"/>
    <w:rsid w:val="00AC5270"/>
    <w:rsid w:val="00AC5564"/>
    <w:rsid w:val="00AC6237"/>
    <w:rsid w:val="00AD1295"/>
    <w:rsid w:val="00AD1300"/>
    <w:rsid w:val="00AD2D2F"/>
    <w:rsid w:val="00AD31E2"/>
    <w:rsid w:val="00AD4854"/>
    <w:rsid w:val="00AD4DEC"/>
    <w:rsid w:val="00AD519B"/>
    <w:rsid w:val="00AD65BB"/>
    <w:rsid w:val="00AE150F"/>
    <w:rsid w:val="00AE1B4D"/>
    <w:rsid w:val="00AE2D6C"/>
    <w:rsid w:val="00AE2FDC"/>
    <w:rsid w:val="00AE440B"/>
    <w:rsid w:val="00AE4DE2"/>
    <w:rsid w:val="00AE548D"/>
    <w:rsid w:val="00AE5B9C"/>
    <w:rsid w:val="00AE7E2B"/>
    <w:rsid w:val="00AF1452"/>
    <w:rsid w:val="00AF1E24"/>
    <w:rsid w:val="00AF21D8"/>
    <w:rsid w:val="00AF220D"/>
    <w:rsid w:val="00AF2403"/>
    <w:rsid w:val="00AF370E"/>
    <w:rsid w:val="00AF43DA"/>
    <w:rsid w:val="00AF4AEC"/>
    <w:rsid w:val="00AF4F70"/>
    <w:rsid w:val="00AF6091"/>
    <w:rsid w:val="00AF6BEC"/>
    <w:rsid w:val="00B00AD7"/>
    <w:rsid w:val="00B015F2"/>
    <w:rsid w:val="00B03D7A"/>
    <w:rsid w:val="00B043A2"/>
    <w:rsid w:val="00B04A4F"/>
    <w:rsid w:val="00B04D3F"/>
    <w:rsid w:val="00B04D8C"/>
    <w:rsid w:val="00B12FD1"/>
    <w:rsid w:val="00B1523F"/>
    <w:rsid w:val="00B1766B"/>
    <w:rsid w:val="00B17FE1"/>
    <w:rsid w:val="00B203E1"/>
    <w:rsid w:val="00B22200"/>
    <w:rsid w:val="00B248A2"/>
    <w:rsid w:val="00B24C0F"/>
    <w:rsid w:val="00B251EF"/>
    <w:rsid w:val="00B26BA7"/>
    <w:rsid w:val="00B30B76"/>
    <w:rsid w:val="00B3167A"/>
    <w:rsid w:val="00B33119"/>
    <w:rsid w:val="00B35064"/>
    <w:rsid w:val="00B35246"/>
    <w:rsid w:val="00B35E5E"/>
    <w:rsid w:val="00B37CE7"/>
    <w:rsid w:val="00B41045"/>
    <w:rsid w:val="00B42780"/>
    <w:rsid w:val="00B42DF1"/>
    <w:rsid w:val="00B433F5"/>
    <w:rsid w:val="00B43963"/>
    <w:rsid w:val="00B45FAC"/>
    <w:rsid w:val="00B467C4"/>
    <w:rsid w:val="00B468E9"/>
    <w:rsid w:val="00B46E8E"/>
    <w:rsid w:val="00B50A76"/>
    <w:rsid w:val="00B51DB2"/>
    <w:rsid w:val="00B5237B"/>
    <w:rsid w:val="00B5318F"/>
    <w:rsid w:val="00B538B3"/>
    <w:rsid w:val="00B544EB"/>
    <w:rsid w:val="00B54829"/>
    <w:rsid w:val="00B556EA"/>
    <w:rsid w:val="00B5645A"/>
    <w:rsid w:val="00B57837"/>
    <w:rsid w:val="00B604BC"/>
    <w:rsid w:val="00B60CCD"/>
    <w:rsid w:val="00B61F8A"/>
    <w:rsid w:val="00B65492"/>
    <w:rsid w:val="00B65EAC"/>
    <w:rsid w:val="00B673E3"/>
    <w:rsid w:val="00B67AA1"/>
    <w:rsid w:val="00B67C57"/>
    <w:rsid w:val="00B67DA6"/>
    <w:rsid w:val="00B67FE8"/>
    <w:rsid w:val="00B706E2"/>
    <w:rsid w:val="00B71065"/>
    <w:rsid w:val="00B71A6F"/>
    <w:rsid w:val="00B73718"/>
    <w:rsid w:val="00B738EC"/>
    <w:rsid w:val="00B7431D"/>
    <w:rsid w:val="00B74682"/>
    <w:rsid w:val="00B75C89"/>
    <w:rsid w:val="00B77CEF"/>
    <w:rsid w:val="00B77EEA"/>
    <w:rsid w:val="00B77FD4"/>
    <w:rsid w:val="00B80907"/>
    <w:rsid w:val="00B81054"/>
    <w:rsid w:val="00B8535F"/>
    <w:rsid w:val="00B86E4A"/>
    <w:rsid w:val="00B909F7"/>
    <w:rsid w:val="00B91F57"/>
    <w:rsid w:val="00B921AE"/>
    <w:rsid w:val="00B92981"/>
    <w:rsid w:val="00B92CD7"/>
    <w:rsid w:val="00B935F3"/>
    <w:rsid w:val="00B93676"/>
    <w:rsid w:val="00B95BCB"/>
    <w:rsid w:val="00B97132"/>
    <w:rsid w:val="00B97B01"/>
    <w:rsid w:val="00BA0AFA"/>
    <w:rsid w:val="00BA2B50"/>
    <w:rsid w:val="00BA4B32"/>
    <w:rsid w:val="00BB0A8F"/>
    <w:rsid w:val="00BB2425"/>
    <w:rsid w:val="00BB251A"/>
    <w:rsid w:val="00BB3DE3"/>
    <w:rsid w:val="00BB4E20"/>
    <w:rsid w:val="00BB4EA4"/>
    <w:rsid w:val="00BB4F46"/>
    <w:rsid w:val="00BB68BE"/>
    <w:rsid w:val="00BB6BFF"/>
    <w:rsid w:val="00BB6E20"/>
    <w:rsid w:val="00BC0E75"/>
    <w:rsid w:val="00BC15F4"/>
    <w:rsid w:val="00BC1805"/>
    <w:rsid w:val="00BC1B1A"/>
    <w:rsid w:val="00BD0C85"/>
    <w:rsid w:val="00BD0FD1"/>
    <w:rsid w:val="00BD11AB"/>
    <w:rsid w:val="00BD12B4"/>
    <w:rsid w:val="00BD2092"/>
    <w:rsid w:val="00BD2914"/>
    <w:rsid w:val="00BD2C52"/>
    <w:rsid w:val="00BD3CD6"/>
    <w:rsid w:val="00BD5889"/>
    <w:rsid w:val="00BD5ABC"/>
    <w:rsid w:val="00BD6640"/>
    <w:rsid w:val="00BD66F5"/>
    <w:rsid w:val="00BE3022"/>
    <w:rsid w:val="00BE3287"/>
    <w:rsid w:val="00BF06AC"/>
    <w:rsid w:val="00BF4581"/>
    <w:rsid w:val="00BF49B5"/>
    <w:rsid w:val="00BF5DE6"/>
    <w:rsid w:val="00BF62F0"/>
    <w:rsid w:val="00BF64A0"/>
    <w:rsid w:val="00C01F5E"/>
    <w:rsid w:val="00C047BF"/>
    <w:rsid w:val="00C04A5C"/>
    <w:rsid w:val="00C05D1F"/>
    <w:rsid w:val="00C067E1"/>
    <w:rsid w:val="00C06866"/>
    <w:rsid w:val="00C06A43"/>
    <w:rsid w:val="00C06B13"/>
    <w:rsid w:val="00C07316"/>
    <w:rsid w:val="00C074C3"/>
    <w:rsid w:val="00C07B3D"/>
    <w:rsid w:val="00C07C07"/>
    <w:rsid w:val="00C07FC2"/>
    <w:rsid w:val="00C11457"/>
    <w:rsid w:val="00C11C48"/>
    <w:rsid w:val="00C127A8"/>
    <w:rsid w:val="00C12EEB"/>
    <w:rsid w:val="00C13692"/>
    <w:rsid w:val="00C14527"/>
    <w:rsid w:val="00C14EDA"/>
    <w:rsid w:val="00C15823"/>
    <w:rsid w:val="00C16558"/>
    <w:rsid w:val="00C16B5B"/>
    <w:rsid w:val="00C17836"/>
    <w:rsid w:val="00C20153"/>
    <w:rsid w:val="00C233DE"/>
    <w:rsid w:val="00C237AB"/>
    <w:rsid w:val="00C23D0F"/>
    <w:rsid w:val="00C2455D"/>
    <w:rsid w:val="00C25A92"/>
    <w:rsid w:val="00C27DAF"/>
    <w:rsid w:val="00C30B03"/>
    <w:rsid w:val="00C34C75"/>
    <w:rsid w:val="00C36D41"/>
    <w:rsid w:val="00C40D1C"/>
    <w:rsid w:val="00C40D73"/>
    <w:rsid w:val="00C4153E"/>
    <w:rsid w:val="00C41FAB"/>
    <w:rsid w:val="00C44A96"/>
    <w:rsid w:val="00C452AC"/>
    <w:rsid w:val="00C452E8"/>
    <w:rsid w:val="00C45BAC"/>
    <w:rsid w:val="00C47BEB"/>
    <w:rsid w:val="00C47E8B"/>
    <w:rsid w:val="00C502B7"/>
    <w:rsid w:val="00C5411A"/>
    <w:rsid w:val="00C557C1"/>
    <w:rsid w:val="00C5712B"/>
    <w:rsid w:val="00C577C6"/>
    <w:rsid w:val="00C6134E"/>
    <w:rsid w:val="00C619C7"/>
    <w:rsid w:val="00C61DB5"/>
    <w:rsid w:val="00C6230F"/>
    <w:rsid w:val="00C632A6"/>
    <w:rsid w:val="00C63A6C"/>
    <w:rsid w:val="00C67A82"/>
    <w:rsid w:val="00C701F3"/>
    <w:rsid w:val="00C709B2"/>
    <w:rsid w:val="00C7470B"/>
    <w:rsid w:val="00C7507E"/>
    <w:rsid w:val="00C754DF"/>
    <w:rsid w:val="00C756A6"/>
    <w:rsid w:val="00C75FE7"/>
    <w:rsid w:val="00C76148"/>
    <w:rsid w:val="00C80255"/>
    <w:rsid w:val="00C8439B"/>
    <w:rsid w:val="00C85C8C"/>
    <w:rsid w:val="00C86012"/>
    <w:rsid w:val="00C86E5F"/>
    <w:rsid w:val="00C87476"/>
    <w:rsid w:val="00C90121"/>
    <w:rsid w:val="00C90681"/>
    <w:rsid w:val="00C916D6"/>
    <w:rsid w:val="00C92137"/>
    <w:rsid w:val="00C9512A"/>
    <w:rsid w:val="00C955E4"/>
    <w:rsid w:val="00C97610"/>
    <w:rsid w:val="00C9769A"/>
    <w:rsid w:val="00CA1C03"/>
    <w:rsid w:val="00CA319D"/>
    <w:rsid w:val="00CA31F5"/>
    <w:rsid w:val="00CA637F"/>
    <w:rsid w:val="00CA6FD6"/>
    <w:rsid w:val="00CA7DA1"/>
    <w:rsid w:val="00CA7F26"/>
    <w:rsid w:val="00CB0761"/>
    <w:rsid w:val="00CB1428"/>
    <w:rsid w:val="00CB2AAF"/>
    <w:rsid w:val="00CB2BFE"/>
    <w:rsid w:val="00CB338C"/>
    <w:rsid w:val="00CB3F8C"/>
    <w:rsid w:val="00CB4D90"/>
    <w:rsid w:val="00CB6AF9"/>
    <w:rsid w:val="00CC095D"/>
    <w:rsid w:val="00CC0D16"/>
    <w:rsid w:val="00CC17B2"/>
    <w:rsid w:val="00CC47D9"/>
    <w:rsid w:val="00CC4A92"/>
    <w:rsid w:val="00CC6EA5"/>
    <w:rsid w:val="00CC7419"/>
    <w:rsid w:val="00CD0352"/>
    <w:rsid w:val="00CD29EE"/>
    <w:rsid w:val="00CD2FD0"/>
    <w:rsid w:val="00CD33FA"/>
    <w:rsid w:val="00CD70F0"/>
    <w:rsid w:val="00CD7C71"/>
    <w:rsid w:val="00CE0317"/>
    <w:rsid w:val="00CE0A21"/>
    <w:rsid w:val="00CE1248"/>
    <w:rsid w:val="00CE221D"/>
    <w:rsid w:val="00CE2BCC"/>
    <w:rsid w:val="00CE4A88"/>
    <w:rsid w:val="00CE4FB2"/>
    <w:rsid w:val="00CE51D4"/>
    <w:rsid w:val="00CE63E1"/>
    <w:rsid w:val="00CE6557"/>
    <w:rsid w:val="00CF130C"/>
    <w:rsid w:val="00CF30D3"/>
    <w:rsid w:val="00CF3642"/>
    <w:rsid w:val="00CF61EC"/>
    <w:rsid w:val="00CF7A8D"/>
    <w:rsid w:val="00D00183"/>
    <w:rsid w:val="00D0066E"/>
    <w:rsid w:val="00D01EAE"/>
    <w:rsid w:val="00D02249"/>
    <w:rsid w:val="00D02BF0"/>
    <w:rsid w:val="00D033DF"/>
    <w:rsid w:val="00D035F5"/>
    <w:rsid w:val="00D03752"/>
    <w:rsid w:val="00D04AF3"/>
    <w:rsid w:val="00D062EB"/>
    <w:rsid w:val="00D10438"/>
    <w:rsid w:val="00D112DE"/>
    <w:rsid w:val="00D121E8"/>
    <w:rsid w:val="00D12A52"/>
    <w:rsid w:val="00D13859"/>
    <w:rsid w:val="00D14904"/>
    <w:rsid w:val="00D1651C"/>
    <w:rsid w:val="00D17E9B"/>
    <w:rsid w:val="00D2091E"/>
    <w:rsid w:val="00D21C82"/>
    <w:rsid w:val="00D23812"/>
    <w:rsid w:val="00D25210"/>
    <w:rsid w:val="00D25B4A"/>
    <w:rsid w:val="00D26274"/>
    <w:rsid w:val="00D31727"/>
    <w:rsid w:val="00D33751"/>
    <w:rsid w:val="00D3377E"/>
    <w:rsid w:val="00D347A9"/>
    <w:rsid w:val="00D34E92"/>
    <w:rsid w:val="00D35B1F"/>
    <w:rsid w:val="00D36FE7"/>
    <w:rsid w:val="00D37F3E"/>
    <w:rsid w:val="00D37F4B"/>
    <w:rsid w:val="00D40223"/>
    <w:rsid w:val="00D402C2"/>
    <w:rsid w:val="00D41393"/>
    <w:rsid w:val="00D42178"/>
    <w:rsid w:val="00D4264F"/>
    <w:rsid w:val="00D437BF"/>
    <w:rsid w:val="00D43D0E"/>
    <w:rsid w:val="00D4423C"/>
    <w:rsid w:val="00D455B4"/>
    <w:rsid w:val="00D458F7"/>
    <w:rsid w:val="00D46655"/>
    <w:rsid w:val="00D46B9D"/>
    <w:rsid w:val="00D47810"/>
    <w:rsid w:val="00D47C59"/>
    <w:rsid w:val="00D47E53"/>
    <w:rsid w:val="00D559CC"/>
    <w:rsid w:val="00D55F73"/>
    <w:rsid w:val="00D56C22"/>
    <w:rsid w:val="00D56F9D"/>
    <w:rsid w:val="00D5727B"/>
    <w:rsid w:val="00D6098A"/>
    <w:rsid w:val="00D61950"/>
    <w:rsid w:val="00D6365E"/>
    <w:rsid w:val="00D6467B"/>
    <w:rsid w:val="00D674A4"/>
    <w:rsid w:val="00D70BBA"/>
    <w:rsid w:val="00D72D27"/>
    <w:rsid w:val="00D73EA5"/>
    <w:rsid w:val="00D74F4B"/>
    <w:rsid w:val="00D7580D"/>
    <w:rsid w:val="00D77861"/>
    <w:rsid w:val="00D83140"/>
    <w:rsid w:val="00D84C9C"/>
    <w:rsid w:val="00D850EC"/>
    <w:rsid w:val="00D8541B"/>
    <w:rsid w:val="00D854C1"/>
    <w:rsid w:val="00D86F1E"/>
    <w:rsid w:val="00D90065"/>
    <w:rsid w:val="00D9020D"/>
    <w:rsid w:val="00D90EA8"/>
    <w:rsid w:val="00D9251E"/>
    <w:rsid w:val="00D93F72"/>
    <w:rsid w:val="00D95505"/>
    <w:rsid w:val="00D955FA"/>
    <w:rsid w:val="00D95AC2"/>
    <w:rsid w:val="00D9638A"/>
    <w:rsid w:val="00D96C16"/>
    <w:rsid w:val="00DA19BF"/>
    <w:rsid w:val="00DA1AE3"/>
    <w:rsid w:val="00DA2081"/>
    <w:rsid w:val="00DA229E"/>
    <w:rsid w:val="00DA60A4"/>
    <w:rsid w:val="00DA61C4"/>
    <w:rsid w:val="00DA6646"/>
    <w:rsid w:val="00DA6C05"/>
    <w:rsid w:val="00DB0BCB"/>
    <w:rsid w:val="00DB17C6"/>
    <w:rsid w:val="00DB2565"/>
    <w:rsid w:val="00DB2B6A"/>
    <w:rsid w:val="00DB3D25"/>
    <w:rsid w:val="00DB4212"/>
    <w:rsid w:val="00DB5819"/>
    <w:rsid w:val="00DB60D8"/>
    <w:rsid w:val="00DB6F35"/>
    <w:rsid w:val="00DC00E2"/>
    <w:rsid w:val="00DC0354"/>
    <w:rsid w:val="00DC0C1B"/>
    <w:rsid w:val="00DC2F6C"/>
    <w:rsid w:val="00DC3A9A"/>
    <w:rsid w:val="00DC429F"/>
    <w:rsid w:val="00DC492A"/>
    <w:rsid w:val="00DC5C61"/>
    <w:rsid w:val="00DC6313"/>
    <w:rsid w:val="00DC6A4E"/>
    <w:rsid w:val="00DC7185"/>
    <w:rsid w:val="00DC77D6"/>
    <w:rsid w:val="00DC7B72"/>
    <w:rsid w:val="00DD0F5A"/>
    <w:rsid w:val="00DD25D4"/>
    <w:rsid w:val="00DD305E"/>
    <w:rsid w:val="00DD5768"/>
    <w:rsid w:val="00DD71BD"/>
    <w:rsid w:val="00DE0BAA"/>
    <w:rsid w:val="00DE1338"/>
    <w:rsid w:val="00DE281D"/>
    <w:rsid w:val="00DE2B6C"/>
    <w:rsid w:val="00DE3326"/>
    <w:rsid w:val="00DE3528"/>
    <w:rsid w:val="00DE5C26"/>
    <w:rsid w:val="00DE6119"/>
    <w:rsid w:val="00DE6577"/>
    <w:rsid w:val="00DF04CA"/>
    <w:rsid w:val="00DF2096"/>
    <w:rsid w:val="00DF347B"/>
    <w:rsid w:val="00DF3A2E"/>
    <w:rsid w:val="00DF41F5"/>
    <w:rsid w:val="00DF45F1"/>
    <w:rsid w:val="00DF4A0F"/>
    <w:rsid w:val="00DF4E7D"/>
    <w:rsid w:val="00DF508C"/>
    <w:rsid w:val="00DF5B72"/>
    <w:rsid w:val="00DF668C"/>
    <w:rsid w:val="00DF6F2F"/>
    <w:rsid w:val="00DF74D6"/>
    <w:rsid w:val="00E0006E"/>
    <w:rsid w:val="00E01866"/>
    <w:rsid w:val="00E02537"/>
    <w:rsid w:val="00E02843"/>
    <w:rsid w:val="00E03137"/>
    <w:rsid w:val="00E056E8"/>
    <w:rsid w:val="00E077CC"/>
    <w:rsid w:val="00E07AA2"/>
    <w:rsid w:val="00E07C60"/>
    <w:rsid w:val="00E1038F"/>
    <w:rsid w:val="00E10422"/>
    <w:rsid w:val="00E13739"/>
    <w:rsid w:val="00E138AC"/>
    <w:rsid w:val="00E1520D"/>
    <w:rsid w:val="00E163B1"/>
    <w:rsid w:val="00E21C1D"/>
    <w:rsid w:val="00E22AC2"/>
    <w:rsid w:val="00E240EB"/>
    <w:rsid w:val="00E255A9"/>
    <w:rsid w:val="00E27B2C"/>
    <w:rsid w:val="00E306D3"/>
    <w:rsid w:val="00E31157"/>
    <w:rsid w:val="00E321CD"/>
    <w:rsid w:val="00E33D2E"/>
    <w:rsid w:val="00E34158"/>
    <w:rsid w:val="00E34EA2"/>
    <w:rsid w:val="00E355AE"/>
    <w:rsid w:val="00E36EC4"/>
    <w:rsid w:val="00E37B04"/>
    <w:rsid w:val="00E413C8"/>
    <w:rsid w:val="00E43BD9"/>
    <w:rsid w:val="00E45553"/>
    <w:rsid w:val="00E4583B"/>
    <w:rsid w:val="00E475C6"/>
    <w:rsid w:val="00E47FC6"/>
    <w:rsid w:val="00E51460"/>
    <w:rsid w:val="00E55FB8"/>
    <w:rsid w:val="00E563D7"/>
    <w:rsid w:val="00E6133B"/>
    <w:rsid w:val="00E6152F"/>
    <w:rsid w:val="00E6204B"/>
    <w:rsid w:val="00E645C4"/>
    <w:rsid w:val="00E66D37"/>
    <w:rsid w:val="00E67814"/>
    <w:rsid w:val="00E7061C"/>
    <w:rsid w:val="00E70749"/>
    <w:rsid w:val="00E711A6"/>
    <w:rsid w:val="00E72FB5"/>
    <w:rsid w:val="00E73DF9"/>
    <w:rsid w:val="00E74543"/>
    <w:rsid w:val="00E7493F"/>
    <w:rsid w:val="00E76742"/>
    <w:rsid w:val="00E7773A"/>
    <w:rsid w:val="00E80527"/>
    <w:rsid w:val="00E80673"/>
    <w:rsid w:val="00E81CAA"/>
    <w:rsid w:val="00E81D0A"/>
    <w:rsid w:val="00E82B25"/>
    <w:rsid w:val="00E832BC"/>
    <w:rsid w:val="00E8462D"/>
    <w:rsid w:val="00E87723"/>
    <w:rsid w:val="00E87FC5"/>
    <w:rsid w:val="00E902F8"/>
    <w:rsid w:val="00E91281"/>
    <w:rsid w:val="00E915B4"/>
    <w:rsid w:val="00E91CB0"/>
    <w:rsid w:val="00E91DB4"/>
    <w:rsid w:val="00E92B52"/>
    <w:rsid w:val="00E93603"/>
    <w:rsid w:val="00E93953"/>
    <w:rsid w:val="00E93E57"/>
    <w:rsid w:val="00E94865"/>
    <w:rsid w:val="00E96084"/>
    <w:rsid w:val="00E97C81"/>
    <w:rsid w:val="00EA11C6"/>
    <w:rsid w:val="00EA17A5"/>
    <w:rsid w:val="00EA324C"/>
    <w:rsid w:val="00EA3660"/>
    <w:rsid w:val="00EA389B"/>
    <w:rsid w:val="00EA41F5"/>
    <w:rsid w:val="00EA47FC"/>
    <w:rsid w:val="00EA72EC"/>
    <w:rsid w:val="00EB0534"/>
    <w:rsid w:val="00EB348B"/>
    <w:rsid w:val="00EB5A05"/>
    <w:rsid w:val="00EB7FFA"/>
    <w:rsid w:val="00EC0037"/>
    <w:rsid w:val="00EC08A7"/>
    <w:rsid w:val="00EC0BD3"/>
    <w:rsid w:val="00EC1674"/>
    <w:rsid w:val="00EC1B97"/>
    <w:rsid w:val="00EC1E63"/>
    <w:rsid w:val="00EC2448"/>
    <w:rsid w:val="00EC2512"/>
    <w:rsid w:val="00EC316D"/>
    <w:rsid w:val="00EC3BD5"/>
    <w:rsid w:val="00EC4AE0"/>
    <w:rsid w:val="00EC5A48"/>
    <w:rsid w:val="00EC5E0C"/>
    <w:rsid w:val="00EC5E6A"/>
    <w:rsid w:val="00EC734F"/>
    <w:rsid w:val="00EC7627"/>
    <w:rsid w:val="00ED089C"/>
    <w:rsid w:val="00ED0A00"/>
    <w:rsid w:val="00ED13CE"/>
    <w:rsid w:val="00ED1FFD"/>
    <w:rsid w:val="00ED5E0B"/>
    <w:rsid w:val="00ED6F27"/>
    <w:rsid w:val="00ED7EAD"/>
    <w:rsid w:val="00EE21ED"/>
    <w:rsid w:val="00EE27A3"/>
    <w:rsid w:val="00EE28DC"/>
    <w:rsid w:val="00EE331B"/>
    <w:rsid w:val="00EE50E2"/>
    <w:rsid w:val="00EE544C"/>
    <w:rsid w:val="00EE5933"/>
    <w:rsid w:val="00EE5951"/>
    <w:rsid w:val="00EE72C8"/>
    <w:rsid w:val="00EF094F"/>
    <w:rsid w:val="00EF1187"/>
    <w:rsid w:val="00EF4F00"/>
    <w:rsid w:val="00EF5D78"/>
    <w:rsid w:val="00EF68DD"/>
    <w:rsid w:val="00EF6FA9"/>
    <w:rsid w:val="00EF7147"/>
    <w:rsid w:val="00EF79F9"/>
    <w:rsid w:val="00EF7DA1"/>
    <w:rsid w:val="00F00066"/>
    <w:rsid w:val="00F00E86"/>
    <w:rsid w:val="00F04E8E"/>
    <w:rsid w:val="00F0585A"/>
    <w:rsid w:val="00F05F48"/>
    <w:rsid w:val="00F123EB"/>
    <w:rsid w:val="00F126B4"/>
    <w:rsid w:val="00F1521F"/>
    <w:rsid w:val="00F16601"/>
    <w:rsid w:val="00F16611"/>
    <w:rsid w:val="00F20723"/>
    <w:rsid w:val="00F228DB"/>
    <w:rsid w:val="00F23C4C"/>
    <w:rsid w:val="00F2723A"/>
    <w:rsid w:val="00F302A5"/>
    <w:rsid w:val="00F3030E"/>
    <w:rsid w:val="00F32463"/>
    <w:rsid w:val="00F3267A"/>
    <w:rsid w:val="00F3277A"/>
    <w:rsid w:val="00F32AFC"/>
    <w:rsid w:val="00F32CA3"/>
    <w:rsid w:val="00F33C38"/>
    <w:rsid w:val="00F400C7"/>
    <w:rsid w:val="00F40D17"/>
    <w:rsid w:val="00F41B04"/>
    <w:rsid w:val="00F41D72"/>
    <w:rsid w:val="00F4221A"/>
    <w:rsid w:val="00F425EE"/>
    <w:rsid w:val="00F438BC"/>
    <w:rsid w:val="00F45CF2"/>
    <w:rsid w:val="00F47383"/>
    <w:rsid w:val="00F47B33"/>
    <w:rsid w:val="00F51197"/>
    <w:rsid w:val="00F51B1D"/>
    <w:rsid w:val="00F53C56"/>
    <w:rsid w:val="00F5525F"/>
    <w:rsid w:val="00F552CC"/>
    <w:rsid w:val="00F55A6D"/>
    <w:rsid w:val="00F55D73"/>
    <w:rsid w:val="00F55E90"/>
    <w:rsid w:val="00F5664B"/>
    <w:rsid w:val="00F57BCD"/>
    <w:rsid w:val="00F6079D"/>
    <w:rsid w:val="00F6169F"/>
    <w:rsid w:val="00F62540"/>
    <w:rsid w:val="00F62B9F"/>
    <w:rsid w:val="00F63503"/>
    <w:rsid w:val="00F63AC9"/>
    <w:rsid w:val="00F63D28"/>
    <w:rsid w:val="00F64038"/>
    <w:rsid w:val="00F64199"/>
    <w:rsid w:val="00F64286"/>
    <w:rsid w:val="00F64D56"/>
    <w:rsid w:val="00F65830"/>
    <w:rsid w:val="00F65A30"/>
    <w:rsid w:val="00F67C05"/>
    <w:rsid w:val="00F70076"/>
    <w:rsid w:val="00F7055E"/>
    <w:rsid w:val="00F72349"/>
    <w:rsid w:val="00F736C4"/>
    <w:rsid w:val="00F73DCF"/>
    <w:rsid w:val="00F74EE3"/>
    <w:rsid w:val="00F756A5"/>
    <w:rsid w:val="00F75E5F"/>
    <w:rsid w:val="00F761A2"/>
    <w:rsid w:val="00F77009"/>
    <w:rsid w:val="00F801CB"/>
    <w:rsid w:val="00F80401"/>
    <w:rsid w:val="00F80790"/>
    <w:rsid w:val="00F80A8A"/>
    <w:rsid w:val="00F80EA7"/>
    <w:rsid w:val="00F82C97"/>
    <w:rsid w:val="00F900AE"/>
    <w:rsid w:val="00F90C39"/>
    <w:rsid w:val="00F915B9"/>
    <w:rsid w:val="00F94479"/>
    <w:rsid w:val="00F94F77"/>
    <w:rsid w:val="00F9556A"/>
    <w:rsid w:val="00F95A0F"/>
    <w:rsid w:val="00F972EB"/>
    <w:rsid w:val="00F975BF"/>
    <w:rsid w:val="00F978BC"/>
    <w:rsid w:val="00F979C1"/>
    <w:rsid w:val="00FA30C6"/>
    <w:rsid w:val="00FA6AC2"/>
    <w:rsid w:val="00FA6B71"/>
    <w:rsid w:val="00FA6D21"/>
    <w:rsid w:val="00FA7EF9"/>
    <w:rsid w:val="00FA7F1D"/>
    <w:rsid w:val="00FB0A42"/>
    <w:rsid w:val="00FB0B33"/>
    <w:rsid w:val="00FB6194"/>
    <w:rsid w:val="00FC004B"/>
    <w:rsid w:val="00FC04F0"/>
    <w:rsid w:val="00FC103A"/>
    <w:rsid w:val="00FC217B"/>
    <w:rsid w:val="00FC21B3"/>
    <w:rsid w:val="00FC2607"/>
    <w:rsid w:val="00FC3955"/>
    <w:rsid w:val="00FC4B22"/>
    <w:rsid w:val="00FC5AF0"/>
    <w:rsid w:val="00FC69F6"/>
    <w:rsid w:val="00FC775A"/>
    <w:rsid w:val="00FC7C6D"/>
    <w:rsid w:val="00FD1CA1"/>
    <w:rsid w:val="00FD287C"/>
    <w:rsid w:val="00FD4B88"/>
    <w:rsid w:val="00FD5BBB"/>
    <w:rsid w:val="00FD6A04"/>
    <w:rsid w:val="00FE0AB7"/>
    <w:rsid w:val="00FE2EE2"/>
    <w:rsid w:val="00FE698E"/>
    <w:rsid w:val="00FE7ED7"/>
    <w:rsid w:val="00FF02CB"/>
    <w:rsid w:val="00FF0F95"/>
    <w:rsid w:val="00FF11ED"/>
    <w:rsid w:val="00FF12AD"/>
    <w:rsid w:val="00FF141B"/>
    <w:rsid w:val="00FF2132"/>
    <w:rsid w:val="00FF22E0"/>
    <w:rsid w:val="00FF2A74"/>
    <w:rsid w:val="00FF36F7"/>
    <w:rsid w:val="00FF3CCC"/>
    <w:rsid w:val="00FF49A6"/>
    <w:rsid w:val="00FF5922"/>
    <w:rsid w:val="00FF6072"/>
    <w:rsid w:val="00FF6F55"/>
    <w:rsid w:val="00FF74C0"/>
    <w:rsid w:val="00FF7556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7AC95"/>
  <w15:chartTrackingRefBased/>
  <w15:docId w15:val="{3F3213F0-E757-C54D-91A0-1261162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3D"/>
    <w:rPr>
      <w:rFonts w:eastAsiaTheme="minorEastAsia"/>
    </w:rPr>
  </w:style>
  <w:style w:type="paragraph" w:styleId="Heading1">
    <w:name w:val="heading 1"/>
    <w:aliases w:val="APA-7 LV1"/>
    <w:basedOn w:val="Normal"/>
    <w:next w:val="Normal"/>
    <w:link w:val="Heading1Char"/>
    <w:uiPriority w:val="9"/>
    <w:qFormat/>
    <w:rsid w:val="00DB0BCB"/>
    <w:pPr>
      <w:keepNext/>
      <w:keepLines/>
      <w:spacing w:before="240" w:line="480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A-7 LV1 Char"/>
    <w:basedOn w:val="DefaultParagraphFont"/>
    <w:link w:val="Heading1"/>
    <w:uiPriority w:val="9"/>
    <w:rsid w:val="00DB0BCB"/>
    <w:rPr>
      <w:rFonts w:ascii="Arial" w:eastAsiaTheme="majorEastAsia" w:hAnsi="Arial" w:cstheme="majorBidi"/>
      <w:b/>
      <w:szCs w:val="32"/>
    </w:rPr>
  </w:style>
  <w:style w:type="paragraph" w:customStyle="1" w:styleId="TableCaption">
    <w:name w:val="Table Caption"/>
    <w:basedOn w:val="Normal"/>
    <w:qFormat/>
    <w:rsid w:val="00A744B4"/>
    <w:pPr>
      <w:jc w:val="center"/>
    </w:pPr>
    <w:rPr>
      <w:rFonts w:ascii="Arial" w:hAnsi="Arial"/>
      <w:i/>
      <w:kern w:val="0"/>
      <w14:ligatures w14:val="none"/>
    </w:rPr>
  </w:style>
  <w:style w:type="paragraph" w:customStyle="1" w:styleId="ImageCaption">
    <w:name w:val="Image Caption"/>
    <w:basedOn w:val="Normal"/>
    <w:qFormat/>
    <w:rsid w:val="00A744B4"/>
    <w:rPr>
      <w:rFonts w:ascii="Arial" w:hAnsi="Arial"/>
      <w:i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3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7A3"/>
  </w:style>
  <w:style w:type="paragraph" w:styleId="Footer">
    <w:name w:val="footer"/>
    <w:basedOn w:val="Normal"/>
    <w:link w:val="FooterChar"/>
    <w:uiPriority w:val="99"/>
    <w:unhideWhenUsed/>
    <w:rsid w:val="00EE2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7A3"/>
  </w:style>
  <w:style w:type="paragraph" w:customStyle="1" w:styleId="APA-7LV3">
    <w:name w:val="APA-7 LV3"/>
    <w:basedOn w:val="Normal"/>
    <w:qFormat/>
    <w:rsid w:val="00EE27A3"/>
    <w:pPr>
      <w:adjustRightInd w:val="0"/>
      <w:spacing w:line="480" w:lineRule="auto"/>
    </w:pPr>
    <w:rPr>
      <w:rFonts w:ascii="Arial" w:eastAsia="Times New Roman" w:hAnsi="Arial" w:cs="Arial"/>
      <w:b/>
      <w:bCs/>
      <w:i/>
      <w:iCs/>
      <w:kern w:val="0"/>
      <w:shd w:val="clear" w:color="auto" w:fill="FFFFFF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46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21CD"/>
  </w:style>
  <w:style w:type="character" w:customStyle="1" w:styleId="apple-converted-space">
    <w:name w:val="apple-converted-space"/>
    <w:basedOn w:val="DefaultParagraphFont"/>
    <w:rsid w:val="007A4E35"/>
  </w:style>
  <w:style w:type="paragraph" w:styleId="Caption">
    <w:name w:val="caption"/>
    <w:basedOn w:val="Normal"/>
    <w:next w:val="Normal"/>
    <w:uiPriority w:val="35"/>
    <w:unhideWhenUsed/>
    <w:qFormat/>
    <w:rsid w:val="000B2889"/>
    <w:pPr>
      <w:spacing w:after="200"/>
    </w:pPr>
    <w:rPr>
      <w:i/>
      <w:iCs/>
      <w:color w:val="0E2841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217D2"/>
  </w:style>
  <w:style w:type="paragraph" w:styleId="Bibliography">
    <w:name w:val="Bibliography"/>
    <w:basedOn w:val="Normal"/>
    <w:next w:val="Normal"/>
    <w:uiPriority w:val="37"/>
    <w:unhideWhenUsed/>
    <w:rsid w:val="00300BBC"/>
    <w:pPr>
      <w:tabs>
        <w:tab w:val="left" w:pos="380"/>
      </w:tabs>
      <w:spacing w:after="240"/>
      <w:ind w:left="384" w:hanging="384"/>
    </w:pPr>
  </w:style>
  <w:style w:type="character" w:styleId="Strong">
    <w:name w:val="Strong"/>
    <w:basedOn w:val="DefaultParagraphFont"/>
    <w:uiPriority w:val="22"/>
    <w:qFormat/>
    <w:rsid w:val="00B35246"/>
    <w:rPr>
      <w:b/>
      <w:bCs/>
    </w:rPr>
  </w:style>
  <w:style w:type="character" w:customStyle="1" w:styleId="normaltextrun">
    <w:name w:val="normaltextrun"/>
    <w:basedOn w:val="DefaultParagraphFont"/>
    <w:rsid w:val="00123BCB"/>
  </w:style>
  <w:style w:type="character" w:customStyle="1" w:styleId="eop">
    <w:name w:val="eop"/>
    <w:basedOn w:val="DefaultParagraphFont"/>
    <w:rsid w:val="00123BCB"/>
  </w:style>
  <w:style w:type="character" w:styleId="Hyperlink">
    <w:name w:val="Hyperlink"/>
    <w:basedOn w:val="DefaultParagraphFont"/>
    <w:uiPriority w:val="99"/>
    <w:unhideWhenUsed/>
    <w:rsid w:val="00682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E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5B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7E45"/>
    <w:rPr>
      <w:color w:val="96607D"/>
      <w:u w:val="single"/>
    </w:rPr>
  </w:style>
  <w:style w:type="paragraph" w:customStyle="1" w:styleId="msonormal0">
    <w:name w:val="msonormal"/>
    <w:basedOn w:val="Normal"/>
    <w:rsid w:val="00527E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527E45"/>
    <w:pPr>
      <w:spacing w:before="100" w:beforeAutospacing="1" w:after="100" w:afterAutospacing="1"/>
    </w:pPr>
    <w:rPr>
      <w:rFonts w:ascii="Aptos" w:eastAsia="Times New Roman" w:hAnsi="Aptos" w:cs="Times New Roman"/>
      <w:kern w:val="0"/>
      <w:sz w:val="18"/>
      <w:szCs w:val="18"/>
      <w:lang w:eastAsia="zh-CN"/>
      <w14:ligatures w14:val="none"/>
    </w:rPr>
  </w:style>
  <w:style w:type="paragraph" w:customStyle="1" w:styleId="xl66">
    <w:name w:val="xl66"/>
    <w:basedOn w:val="Normal"/>
    <w:rsid w:val="00527E45"/>
    <w:pPr>
      <w:spacing w:before="100" w:beforeAutospacing="1" w:after="100" w:afterAutospacing="1"/>
    </w:pPr>
    <w:rPr>
      <w:rFonts w:ascii="Aptos" w:eastAsia="Times New Roman" w:hAnsi="Aptos" w:cs="Times New Roman"/>
      <w:kern w:val="0"/>
      <w:sz w:val="18"/>
      <w:szCs w:val="18"/>
      <w:lang w:eastAsia="zh-CN"/>
      <w14:ligatures w14:val="none"/>
    </w:rPr>
  </w:style>
  <w:style w:type="paragraph" w:customStyle="1" w:styleId="xl67">
    <w:name w:val="xl67"/>
    <w:basedOn w:val="Normal"/>
    <w:rsid w:val="00527E45"/>
    <w:pPr>
      <w:pBdr>
        <w:bottom w:val="single" w:sz="4" w:space="0" w:color="auto"/>
      </w:pBdr>
      <w:spacing w:before="100" w:beforeAutospacing="1" w:after="100" w:afterAutospacing="1"/>
    </w:pPr>
    <w:rPr>
      <w:rFonts w:ascii="Aptos" w:eastAsia="Times New Roman" w:hAnsi="Aptos" w:cs="Times New Roman"/>
      <w:kern w:val="0"/>
      <w:sz w:val="18"/>
      <w:szCs w:val="18"/>
      <w:lang w:eastAsia="zh-CN"/>
      <w14:ligatures w14:val="none"/>
    </w:rPr>
  </w:style>
  <w:style w:type="paragraph" w:customStyle="1" w:styleId="xl68">
    <w:name w:val="xl68"/>
    <w:basedOn w:val="Normal"/>
    <w:rsid w:val="00527E45"/>
    <w:pPr>
      <w:spacing w:before="100" w:beforeAutospacing="1" w:after="100" w:afterAutospacing="1"/>
    </w:pPr>
    <w:rPr>
      <w:rFonts w:ascii="Aptos" w:eastAsia="Times New Roman" w:hAnsi="Aptos" w:cs="Times New Roman"/>
      <w:color w:val="000000"/>
      <w:kern w:val="0"/>
      <w:sz w:val="18"/>
      <w:szCs w:val="18"/>
      <w:lang w:eastAsia="zh-CN"/>
      <w14:ligatures w14:val="none"/>
    </w:rPr>
  </w:style>
  <w:style w:type="paragraph" w:customStyle="1" w:styleId="xl69">
    <w:name w:val="xl69"/>
    <w:basedOn w:val="Normal"/>
    <w:rsid w:val="00527E4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ptos" w:eastAsia="Times New Roman" w:hAnsi="Aptos" w:cs="Times New Roman"/>
      <w:kern w:val="0"/>
      <w:sz w:val="18"/>
      <w:szCs w:val="18"/>
      <w:lang w:eastAsia="zh-CN"/>
      <w14:ligatures w14:val="none"/>
    </w:rPr>
  </w:style>
  <w:style w:type="character" w:styleId="Emphasis">
    <w:name w:val="Emphasis"/>
    <w:basedOn w:val="DefaultParagraphFont"/>
    <w:uiPriority w:val="20"/>
    <w:qFormat/>
    <w:rsid w:val="00015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bese@upm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2113</Words>
  <Characters>11897</Characters>
  <Application>Microsoft Office Word</Application>
  <DocSecurity>0</DocSecurity>
  <Lines>237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Chat</dc:creator>
  <cp:keywords/>
  <dc:description/>
  <cp:lastModifiedBy>Chat, Iris</cp:lastModifiedBy>
  <cp:revision>3</cp:revision>
  <dcterms:created xsi:type="dcterms:W3CDTF">2025-12-24T02:16:00Z</dcterms:created>
  <dcterms:modified xsi:type="dcterms:W3CDTF">2025-12-24T02:28:00Z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id="xpqqLtiR"/&gt;&lt;style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MSIP_Label_5e4b1be8-281e-475d-98b0-21c3457e5a46_Enabled">
    <vt:lpwstr>true</vt:lpwstr>
  </property>
  <property fmtid="{D5CDD505-2E9C-101B-9397-08002B2CF9AE}" pid="5" name="MSIP_Label_5e4b1be8-281e-475d-98b0-21c3457e5a46_SetDate">
    <vt:lpwstr>2025-08-20T21:16:32Z</vt:lpwstr>
  </property>
  <property fmtid="{D5CDD505-2E9C-101B-9397-08002B2CF9AE}" pid="6" name="MSIP_Label_5e4b1be8-281e-475d-98b0-21c3457e5a46_Method">
    <vt:lpwstr>Standard</vt:lpwstr>
  </property>
  <property fmtid="{D5CDD505-2E9C-101B-9397-08002B2CF9AE}" pid="7" name="MSIP_Label_5e4b1be8-281e-475d-98b0-21c3457e5a46_Name">
    <vt:lpwstr>Public</vt:lpwstr>
  </property>
  <property fmtid="{D5CDD505-2E9C-101B-9397-08002B2CF9AE}" pid="8" name="MSIP_Label_5e4b1be8-281e-475d-98b0-21c3457e5a46_SiteId">
    <vt:lpwstr>8b3dd73e-4e72-4679-b191-56da1588712b</vt:lpwstr>
  </property>
  <property fmtid="{D5CDD505-2E9C-101B-9397-08002B2CF9AE}" pid="9" name="MSIP_Label_5e4b1be8-281e-475d-98b0-21c3457e5a46_ActionId">
    <vt:lpwstr>2c4f25da-c6a7-4eeb-8bef-7146acb256eb</vt:lpwstr>
  </property>
  <property fmtid="{D5CDD505-2E9C-101B-9397-08002B2CF9AE}" pid="10" name="MSIP_Label_5e4b1be8-281e-475d-98b0-21c3457e5a46_ContentBits">
    <vt:lpwstr>0</vt:lpwstr>
  </property>
  <property fmtid="{D5CDD505-2E9C-101B-9397-08002B2CF9AE}" pid="11" name="MSIP_Label_5e4b1be8-281e-475d-98b0-21c3457e5a46_Tag">
    <vt:lpwstr>10, 3, 0, 1</vt:lpwstr>
  </property>
</Properties>
</file>