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CB01E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1A. Clinical and pathological characteristics and univariate Cox analysis for OS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982"/>
        <w:gridCol w:w="1661"/>
        <w:gridCol w:w="1391"/>
        <w:gridCol w:w="2132"/>
        <w:gridCol w:w="966"/>
        <w:gridCol w:w="1631"/>
      </w:tblGrid>
      <w:tr w:rsidR="00F34EA4" w:rsidRPr="009303B9" w14:paraId="25C486D7" w14:textId="77777777" w:rsidTr="00941800">
        <w:trPr>
          <w:tblHeader/>
          <w:jc w:val="center"/>
        </w:trPr>
        <w:tc>
          <w:tcPr>
            <w:tcW w:w="298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6D337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Variable</w:t>
            </w:r>
          </w:p>
        </w:tc>
        <w:tc>
          <w:tcPr>
            <w:tcW w:w="166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BF10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Level</w:t>
            </w:r>
          </w:p>
        </w:tc>
        <w:tc>
          <w:tcPr>
            <w:tcW w:w="139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BB95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No.(%)</w:t>
            </w:r>
          </w:p>
        </w:tc>
        <w:tc>
          <w:tcPr>
            <w:tcW w:w="213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155B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HR (95%CI)</w:t>
            </w:r>
          </w:p>
        </w:tc>
        <w:tc>
          <w:tcPr>
            <w:tcW w:w="96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1CF3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P</w:t>
            </w:r>
          </w:p>
        </w:tc>
        <w:tc>
          <w:tcPr>
            <w:tcW w:w="163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DE8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Overall P value</w:t>
            </w:r>
          </w:p>
        </w:tc>
      </w:tr>
      <w:tr w:rsidR="00F34EA4" w:rsidRPr="009303B9" w14:paraId="146BA8CA" w14:textId="77777777" w:rsidTr="00941800">
        <w:trPr>
          <w:jc w:val="center"/>
        </w:trPr>
        <w:tc>
          <w:tcPr>
            <w:tcW w:w="298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75A1D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Age</w:t>
            </w:r>
          </w:p>
        </w:tc>
        <w:tc>
          <w:tcPr>
            <w:tcW w:w="166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DEC9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≤6</w:t>
            </w:r>
            <w:r>
              <w:rPr>
                <w:rFonts w:ascii="Times New Roman" w:hAnsi="Times New Roman" w:cs="Times New Roman" w:hint="eastAsia"/>
                <w:color w:val="000000"/>
                <w:sz w:val="24"/>
              </w:rPr>
              <w:t>3</w:t>
            </w: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 xml:space="preserve">                       </w:t>
            </w:r>
          </w:p>
        </w:tc>
        <w:tc>
          <w:tcPr>
            <w:tcW w:w="139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9A3D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101 (33.1%)</w:t>
            </w:r>
          </w:p>
        </w:tc>
        <w:tc>
          <w:tcPr>
            <w:tcW w:w="213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F19D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E2EE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B4FA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0.195</w:t>
            </w:r>
          </w:p>
        </w:tc>
      </w:tr>
      <w:tr w:rsidR="00F34EA4" w:rsidRPr="009303B9" w14:paraId="0A482A4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70F2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4DD0E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SimSun" w:hAnsi="Times New Roman" w:cs="Times New Roman"/>
                <w:color w:val="000000"/>
                <w:sz w:val="24"/>
              </w:rPr>
              <w:t>＞</w:t>
            </w: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color w:val="000000"/>
                <w:sz w:val="24"/>
              </w:rPr>
              <w:t>3</w:t>
            </w: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 xml:space="preserve">    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3A6B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204 (66.9%)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021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1.386 (0.836–2.295)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D01F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0.205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2851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7417B0B0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89DF3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Sex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55ED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Female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4C68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98 (32.1%)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13AA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3098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2692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0.312</w:t>
            </w:r>
          </w:p>
        </w:tc>
      </w:tr>
      <w:tr w:rsidR="00F34EA4" w:rsidRPr="009303B9" w14:paraId="359AAA6F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2356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7151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Male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021E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207 (67.9%)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1E7B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1.291 (0.780–2.138)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281C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0.321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8F77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323BFC1B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9372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BMI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46F1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&lt;18.5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67C2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26 (8.5%)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4CF7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6C02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7329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0.931</w:t>
            </w:r>
          </w:p>
        </w:tc>
      </w:tr>
      <w:tr w:rsidR="00F34EA4" w:rsidRPr="009303B9" w14:paraId="52F6C906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43755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898A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18.5-23.9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49AD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186 (61.0%)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57DC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1.021 (0.436–2.391)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1A4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0.962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A8E21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09D7365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8AD36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D09A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≥24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C859C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93 (30.5%)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A23A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0.926 (0.375–2.290)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5B1A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0.869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C34A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5235BE9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0930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Smoking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63DC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BE6E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177 (58.0%)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5D63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7D75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C286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0.518</w:t>
            </w:r>
          </w:p>
        </w:tc>
      </w:tr>
      <w:tr w:rsidR="00F34EA4" w:rsidRPr="009303B9" w14:paraId="56293D17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CBCC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42308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C5AA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128 (42.0%)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D6CB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1.162 (0.738–1.832)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8071F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0.517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1B1A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66CC1DB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98B0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Alcohol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656A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7A58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204 (66.9%)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609E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7B9D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A23B5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0.213</w:t>
            </w:r>
          </w:p>
        </w:tc>
      </w:tr>
      <w:tr w:rsidR="00F34EA4" w:rsidRPr="009303B9" w14:paraId="7B2EB32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D323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CA3C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2DDE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101 (33.1%)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8E3D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1.346 (0.848–2.138)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A0DB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0.207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D186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30F2405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B1FB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Family_history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C1C1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DDD0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220 (72.1%)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4D3A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9329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5D0A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0.456</w:t>
            </w:r>
          </w:p>
        </w:tc>
      </w:tr>
      <w:tr w:rsidR="00F34EA4" w:rsidRPr="009303B9" w14:paraId="392F1063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AB00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0E53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78BC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85 (27.9%)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C9849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1.208 (0.739–1.975)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F888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0.450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501B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E2E22CD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4701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Differentiation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C2EA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Well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71E9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93 (30.5%)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CE00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BDC6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2AC7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0.002</w:t>
            </w:r>
          </w:p>
        </w:tc>
      </w:tr>
      <w:tr w:rsidR="00F34EA4" w:rsidRPr="009303B9" w14:paraId="5B6E284D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9CB5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AC3A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Moderate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027C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165 (54.1%)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73800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2.481 (1.313–4.688)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3218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0.005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9E62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101EE91F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CF82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A6E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Poorly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4832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47 (15.4%)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8081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3.173 (1.515–6.649)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C536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0.002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8242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6D22B855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209A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lastRenderedPageBreak/>
              <w:t>Length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918C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SimSun" w:hAnsi="Times New Roman" w:cs="Times New Roman"/>
                <w:color w:val="000000"/>
                <w:sz w:val="24"/>
              </w:rPr>
              <w:t>＜</w:t>
            </w: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 xml:space="preserve">4cm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813E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48 (15.7%)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FA88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144A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4371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0.178</w:t>
            </w:r>
          </w:p>
        </w:tc>
      </w:tr>
      <w:tr w:rsidR="00F34EA4" w:rsidRPr="009303B9" w14:paraId="3B2E6C65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6978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0F40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 xml:space="preserve">≥4cm 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C1C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257 (84.3%)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BE3B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1.606 (0.771–3.343)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B3B0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0.206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4055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2469F63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12DB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cTNM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49DB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II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2C78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38 (12.5%)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E38D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8BC4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A92A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0.773</w:t>
            </w:r>
          </w:p>
        </w:tc>
      </w:tr>
      <w:tr w:rsidR="00F34EA4" w:rsidRPr="009303B9" w14:paraId="5D44C06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7E0D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8924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III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0C49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267 (87.5%)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3FA5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1.107 (0.549–2.231)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7380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0.776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CC09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45CA72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671C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Cycles_of_neoadjuvent_therapy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7E63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1-2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8912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261 (85.6%)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604C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1035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9959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0.062</w:t>
            </w:r>
          </w:p>
        </w:tc>
      </w:tr>
      <w:tr w:rsidR="00F34EA4" w:rsidRPr="009303B9" w14:paraId="0E34E8F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5998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07EE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≥3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1453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44 (14.4%)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A803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1.746 (1.005–3.034)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5A14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0.048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854A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2682CA1E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ABC4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Surgery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74BFA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McKeown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A8A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265 (86.9%)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A0F3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8BF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38A0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0.324</w:t>
            </w:r>
          </w:p>
        </w:tc>
      </w:tr>
      <w:tr w:rsidR="00F34EA4" w:rsidRPr="009303B9" w14:paraId="282404DD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0B4B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2C0A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Ivor Lewis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69D0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29 (9.5%)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2901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1.657 (0.849–3.236)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D9CC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0.139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3D4B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00DAEA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B555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60C1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Sweet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B8F6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11 (3.6%)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898D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1.434 (0.520–3.951)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C3BB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0.486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B732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6ADCC481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236C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Approach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D332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Minimally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0877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217 (71.1%)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96BF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DD0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CCCE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0.183</w:t>
            </w:r>
          </w:p>
        </w:tc>
      </w:tr>
      <w:tr w:rsidR="00F34EA4" w:rsidRPr="009303B9" w14:paraId="6E57C917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6B70D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5AC9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Open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C1D8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88 (28.9%)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15FF7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1.383 (0.864–2.213)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5506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9EAF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4A91734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A5C8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MPR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BC97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C6C5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190 (62.3%)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603F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E35FA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8FDE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</w:tr>
      <w:tr w:rsidR="00F34EA4" w:rsidRPr="009303B9" w14:paraId="33D8D35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FC43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6EA3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3117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115 (37.7%)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2273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0.194 (0.099–0.379)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878E8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2815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5C895D61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0068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pCR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60CD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700E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223 (73.1%)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B4AC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FB2F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19A4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</w:tr>
      <w:tr w:rsidR="00F34EA4" w:rsidRPr="009303B9" w14:paraId="2B2AF0E8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0312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B442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20D2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82 (26.9%)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05D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0.269 (0.129–0.561)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06BF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BA30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0549651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8BD3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LODDS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EAA2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Low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2CAE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185 (60.7%)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FAC6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4ED9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C7AE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</w:tr>
      <w:tr w:rsidR="00F34EA4" w:rsidRPr="009303B9" w14:paraId="1CDE2F3E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17481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569B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Mid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5145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67 (22.0%)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9B09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2.009 (1.101–3.666)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491F3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0.023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EA8C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669D930E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7198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BAFE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High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90D6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53 (17.4%)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447C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5.678 (3.363–9.588)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2F7A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2E73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308F839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F6B0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pN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90D4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N0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5F700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193 (63.3%)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9937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AE45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5D81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</w:tr>
      <w:tr w:rsidR="00F34EA4" w:rsidRPr="009303B9" w14:paraId="0F7E6FC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8B35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3F46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N1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311C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70 (23.0%)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E697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3.023 (1.734–5.271)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005F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0CBF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020E9A87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93922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A4F49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N2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0860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34 (11.1%)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3808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6.719 (3.798–11.887)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7ADB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00F1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  <w:tr w:rsidR="00F34EA4" w:rsidRPr="009303B9" w14:paraId="50A9C73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AEBF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4BEC3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N3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1669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8 (2.6%)</w:t>
            </w:r>
          </w:p>
        </w:tc>
        <w:tc>
          <w:tcPr>
            <w:tcW w:w="213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8918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3.690 (1.112–12.250)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460F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0.033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F85A3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Arial" w:hAnsi="Times New Roman" w:cs="Times New Roman"/>
                <w:color w:val="000000"/>
                <w:sz w:val="24"/>
              </w:rPr>
            </w:pPr>
          </w:p>
        </w:tc>
      </w:tr>
    </w:tbl>
    <w:p w14:paraId="1C4BB37D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1F319296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1A. Clinical and pathological characteristics and univariate Cox analysis for OS.</w:t>
      </w:r>
    </w:p>
    <w:p w14:paraId="4BD1459B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HRs and 95% CIs were estimated using univariate Cox proportional hazards regression. “Overall P value” refers to the global test for variables with &gt;2 levels. Abbreviations: CI, confidence interval; ESCC, esophageal squamous cell carcinoma; HR, hazard ratio; LODDS, log odds of positive lymph nodes; OS, overall survival; pCR, pathological complete response; pN, pathological N stage; RFS, recurrence-free survival; MPR, major pathological response.</w:t>
      </w:r>
    </w:p>
    <w:p w14:paraId="36681F3B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br w:type="page"/>
      </w:r>
    </w:p>
    <w:p w14:paraId="5382DEB1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5EA61859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1B. Clinical and pathological characteristics and univariate Cox analysis for RFS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982"/>
        <w:gridCol w:w="1661"/>
        <w:gridCol w:w="1391"/>
        <w:gridCol w:w="2032"/>
        <w:gridCol w:w="966"/>
        <w:gridCol w:w="1631"/>
      </w:tblGrid>
      <w:tr w:rsidR="00F34EA4" w14:paraId="6F54EEAC" w14:textId="77777777" w:rsidTr="00941800">
        <w:trPr>
          <w:tblHeader/>
          <w:jc w:val="center"/>
        </w:trPr>
        <w:tc>
          <w:tcPr>
            <w:tcW w:w="298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0E55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Variable</w:t>
            </w:r>
          </w:p>
        </w:tc>
        <w:tc>
          <w:tcPr>
            <w:tcW w:w="166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A769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139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39B9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No.(%)</w:t>
            </w:r>
          </w:p>
        </w:tc>
        <w:tc>
          <w:tcPr>
            <w:tcW w:w="203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843CC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HR (95%CI)</w:t>
            </w:r>
          </w:p>
        </w:tc>
        <w:tc>
          <w:tcPr>
            <w:tcW w:w="96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B969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</w:t>
            </w:r>
          </w:p>
        </w:tc>
        <w:tc>
          <w:tcPr>
            <w:tcW w:w="163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D474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Overall P value</w:t>
            </w:r>
          </w:p>
        </w:tc>
      </w:tr>
      <w:tr w:rsidR="00F34EA4" w14:paraId="11C1841C" w14:textId="77777777" w:rsidTr="00941800">
        <w:trPr>
          <w:jc w:val="center"/>
        </w:trPr>
        <w:tc>
          <w:tcPr>
            <w:tcW w:w="298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521F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6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3CBE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BA3FA0">
              <w:rPr>
                <w:rFonts w:ascii="Arial" w:eastAsia="Arial" w:hAnsi="Arial" w:cs="Arial" w:hint="eastAsia"/>
                <w:color w:val="000000"/>
                <w:sz w:val="18"/>
                <w:szCs w:val="18"/>
              </w:rPr>
              <w:t>≤6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                </w:t>
            </w:r>
          </w:p>
        </w:tc>
        <w:tc>
          <w:tcPr>
            <w:tcW w:w="139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337D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101 (33.1%)</w:t>
            </w:r>
          </w:p>
        </w:tc>
        <w:tc>
          <w:tcPr>
            <w:tcW w:w="203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1E66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1F41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CC51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0.094</w:t>
            </w:r>
          </w:p>
        </w:tc>
      </w:tr>
      <w:tr w:rsidR="00F34EA4" w14:paraId="79D86EDE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5D29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D532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86260A"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>＞</w:t>
            </w:r>
            <w:r w:rsidRPr="0086260A">
              <w:rPr>
                <w:rFonts w:ascii="Arial" w:eastAsia="Arial" w:hAnsi="Arial" w:cs="Arial" w:hint="eastAsia"/>
                <w:color w:val="000000"/>
                <w:sz w:val="18"/>
                <w:szCs w:val="18"/>
              </w:rPr>
              <w:t>6</w:t>
            </w:r>
            <w:r>
              <w:rPr>
                <w:rFonts w:ascii="Arial" w:hAnsi="Arial" w:cs="Arial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B1C7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204 (66.9%)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0B8C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1.455 (0.928–2.284)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DB4A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0.103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98A3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4C4C545F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2236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4D77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BFC1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98 (32.1%)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C2560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C87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6BA0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F34EA4" w14:paraId="1354EBB8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D9D9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A2DAC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0F8D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207 (67.9%)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7081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1.750 (1.087–2.817)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DB51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A0F2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50A634A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3B86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BMI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70B7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&lt;18.5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05E6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26 (8.5%)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169E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8CBB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CDF1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0.111</w:t>
            </w:r>
          </w:p>
        </w:tc>
      </w:tr>
      <w:tr w:rsidR="00F34EA4" w14:paraId="0431DDA3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E4A8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BDD37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18.5-23.9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56AF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186 (61.0%)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C4980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1.288 (0.553–2.996)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96E1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0.557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1DDA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4E5C9EA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07B1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E5EF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≥24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E2C7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93 (30.5%)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D432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1.922 (0.811–4.555)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6DCA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CD60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42B3029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EE55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Smoking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082A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066C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177 (58.0%)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02D52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8073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AB9B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0.268</w:t>
            </w:r>
          </w:p>
        </w:tc>
      </w:tr>
      <w:tr w:rsidR="00F34EA4" w14:paraId="2512662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7FAC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8C6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5FFD8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128 (42.0%)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8EAB3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1.256 (0.841–1.875)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A4DA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0.266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17A6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081C7B96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6266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Alcohol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5D4D9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738F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204 (66.9%)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1D0D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4E7C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B73F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0.211</w:t>
            </w:r>
          </w:p>
        </w:tc>
      </w:tr>
      <w:tr w:rsidR="00F34EA4" w14:paraId="23943E7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DED7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B4B5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5238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101 (33.1%)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1390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1.302 (0.865–1.961)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6925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9260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096C027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C70D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Family_history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177E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2325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220 (72.1%)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2D1E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B8CF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CD2B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0.396</w:t>
            </w:r>
          </w:p>
        </w:tc>
      </w:tr>
      <w:tr w:rsidR="00F34EA4" w14:paraId="6077A2B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8004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F643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50D5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85 (27.9%)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E922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1.208 (0.785–1.860)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90B0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0.391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8DBD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381156C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A978C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Differentiation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8B5CA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Well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6D93B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93 (30.5%)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967D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0929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3B63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0.005</w:t>
            </w:r>
          </w:p>
        </w:tc>
      </w:tr>
      <w:tr w:rsidR="00F34EA4" w14:paraId="3F32F5D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A2BF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5744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Moderate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9AD1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165 (54.1%)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B13BA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1.684 (1.007–2.818)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9F3F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074E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15115E7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E7DF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0266E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Poorly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2C2C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47 (15.4%)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60BE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2.675 (1.468–4.874)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27F3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66D7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65D63ECC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0FF8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795C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8D0376">
              <w:rPr>
                <w:rFonts w:ascii="SimSun" w:eastAsia="SimSun" w:hAnsi="SimSun" w:cs="SimSun" w:hint="eastAsia"/>
                <w:color w:val="000000"/>
                <w:sz w:val="18"/>
                <w:szCs w:val="18"/>
              </w:rPr>
              <w:t>＜</w:t>
            </w:r>
            <w:r w:rsidRPr="008D0376">
              <w:rPr>
                <w:rFonts w:ascii="Arial" w:eastAsia="Arial" w:hAnsi="Arial" w:cs="Arial" w:hint="eastAsia"/>
                <w:color w:val="000000"/>
                <w:sz w:val="18"/>
                <w:szCs w:val="18"/>
              </w:rPr>
              <w:t>4cm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A459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48 (15.7%)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CD931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FD6C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E935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0.826</w:t>
            </w:r>
          </w:p>
        </w:tc>
      </w:tr>
      <w:tr w:rsidR="00F34EA4" w14:paraId="48D9A56F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4170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4A8E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8D0376">
              <w:rPr>
                <w:rFonts w:ascii="Arial" w:eastAsia="Arial" w:hAnsi="Arial" w:cs="Arial" w:hint="eastAsia"/>
                <w:color w:val="000000"/>
                <w:sz w:val="18"/>
                <w:szCs w:val="18"/>
              </w:rPr>
              <w:t>≥4cm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                  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1AB8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257 (84.3%)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EE1B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1.065 (0.604–1.878)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60AB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0.827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6C5A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323CB6C8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C604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cTNM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64C2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II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51FA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38 (12.5%)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C4A8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34A08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EE8F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0.455</w:t>
            </w:r>
          </w:p>
        </w:tc>
      </w:tr>
      <w:tr w:rsidR="00F34EA4" w14:paraId="7022655B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CE91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6769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1306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267 (87.5%)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B220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1.274 (0.661–2.453)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475D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0.469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9FED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2BE215C5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7396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Cycles_of_neoadjuvent_therapy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34E6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1-2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2F79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261 (85.6%)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05A1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C9A6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CBC21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0.016</w:t>
            </w:r>
          </w:p>
        </w:tc>
      </w:tr>
      <w:tr w:rsidR="00F34EA4" w14:paraId="0BECA3BD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9F47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55C0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≥3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37E1E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44 (14.4%)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2AD6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1.880 (1.158–3.051)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2B80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A070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25C1EE8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2375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Surgery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2E35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McKeown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88AC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265 (86.9%)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0A5A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085F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F028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0.288</w:t>
            </w:r>
          </w:p>
        </w:tc>
      </w:tr>
      <w:tr w:rsidR="00F34EA4" w14:paraId="35AB0FBD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8B54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FC89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Ivor Lewis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E906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29 (9.5%)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7D4C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0.873 (0.422–1.804)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ACA0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0.713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66D4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5CF3B923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7A26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6EDE2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Sweet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4C6A3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 (3.6%)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270E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2.017 (0.880–4.623)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13F7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0.097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D201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18FCDCA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25DD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Approach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A5D63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Minimally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709A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217 (71.1%)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9AB6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050B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4C02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0.226</w:t>
            </w:r>
          </w:p>
        </w:tc>
      </w:tr>
      <w:tr w:rsidR="00F34EA4" w14:paraId="39832EEE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A8F05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A24D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Open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4D62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88 (28.9%)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9566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1.305 (0.853–1.997)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4E0D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3A5F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35160011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C226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lastRenderedPageBreak/>
              <w:t>MPR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B076E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E394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190 (62.3%)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78765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1CD9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9D53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34EA4" w14:paraId="1D8222D6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D588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A106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425B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115 (37.7%)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6F52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0.252 (0.147–0.432)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8C58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F4B8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288E7A8F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F319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pCR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DB95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DBBF0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223 (73.1%)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D595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A70D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703E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34EA4" w14:paraId="094D7E54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08328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4931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C838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82 (26.9%)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D6F5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0.255 (0.132–0.491)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4112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3BF4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40A5CC7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224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LODDS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3B56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Low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28EC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185 (60.7%)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C2CC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EA8E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1B0B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34EA4" w14:paraId="04F69A0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2364B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9AA2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Mid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1318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67 (22.0%)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6951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2.055 (1.232–3.428)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3376E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22BC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05CE1D3A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000D9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D337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High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B28C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53 (17.4%)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8330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4.899 (3.066–7.827)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9AFF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0613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02335C19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3EDE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pN</w:t>
            </w: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B44E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N0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E7D3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193 (63.3%)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7D07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Reference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6869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5D1ED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</w:tr>
      <w:tr w:rsidR="00F34EA4" w14:paraId="02E5FCD2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0ED3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A4C4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N1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D07B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70 (23.0%)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DD07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2.521 (1.569–4.051)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2F9FC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DD1E74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5050A86B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0AC0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3602F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N2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3DAFF0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34 (11.1%)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33AE5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5.358 (3.163–9.075)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7193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&lt;0.001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F2B6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F34EA4" w14:paraId="4B141656" w14:textId="77777777" w:rsidTr="00941800">
        <w:trPr>
          <w:jc w:val="center"/>
        </w:trPr>
        <w:tc>
          <w:tcPr>
            <w:tcW w:w="298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9EBD6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6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937DA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N3</w:t>
            </w:r>
          </w:p>
        </w:tc>
        <w:tc>
          <w:tcPr>
            <w:tcW w:w="139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06822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8 (2.6%)</w:t>
            </w:r>
          </w:p>
        </w:tc>
        <w:tc>
          <w:tcPr>
            <w:tcW w:w="203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7B433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2.998 (1.071–8.393)</w:t>
            </w:r>
          </w:p>
        </w:tc>
        <w:tc>
          <w:tcPr>
            <w:tcW w:w="96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8C5D1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63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9D317" w14:textId="77777777" w:rsidR="00F34EA4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</w:tbl>
    <w:p w14:paraId="5CA9BA2E" w14:textId="77777777" w:rsidR="00F34EA4" w:rsidRPr="000A4124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765867DA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3894FAAD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1B. Clinical and pathological characteristics and univariate Cox analysis for RFS.</w:t>
      </w:r>
    </w:p>
    <w:p w14:paraId="466188A7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HRs and 95% CIs were estimated using univariate Cox proportional hazards regression. “Overall P value” refers to the global test for variables with &gt;2 levels. Abbreviations as in Table 1A.</w:t>
      </w:r>
    </w:p>
    <w:p w14:paraId="26C44549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52A2DA75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3. Time-dependent Net Reclassification Improvement (NRI) and Integrated Discrimination Improvement (IDI)</w:t>
      </w:r>
    </w:p>
    <w:tbl>
      <w:tblPr>
        <w:tblpPr w:leftFromText="180" w:rightFromText="180" w:vertAnchor="text" w:horzAnchor="page" w:tblpX="152" w:tblpY="73"/>
        <w:tblW w:w="6701" w:type="pct"/>
        <w:tblLook w:val="0420" w:firstRow="1" w:lastRow="0" w:firstColumn="0" w:lastColumn="0" w:noHBand="0" w:noVBand="1"/>
      </w:tblPr>
      <w:tblGrid>
        <w:gridCol w:w="1548"/>
        <w:gridCol w:w="1530"/>
        <w:gridCol w:w="1006"/>
        <w:gridCol w:w="1828"/>
        <w:gridCol w:w="1104"/>
        <w:gridCol w:w="1006"/>
        <w:gridCol w:w="1928"/>
        <w:gridCol w:w="1182"/>
      </w:tblGrid>
      <w:tr w:rsidR="00F34EA4" w:rsidRPr="009303B9" w14:paraId="79887AE4" w14:textId="77777777" w:rsidTr="00941800">
        <w:trPr>
          <w:trHeight w:val="1736"/>
          <w:tblHeader/>
        </w:trPr>
        <w:tc>
          <w:tcPr>
            <w:tcW w:w="695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3ABA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lastRenderedPageBreak/>
              <w:t>Outcome</w:t>
            </w:r>
          </w:p>
        </w:tc>
        <w:tc>
          <w:tcPr>
            <w:tcW w:w="687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CBD6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Time (months)</w:t>
            </w:r>
          </w:p>
        </w:tc>
        <w:tc>
          <w:tcPr>
            <w:tcW w:w="45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BA1F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IDI</w:t>
            </w:r>
          </w:p>
        </w:tc>
        <w:tc>
          <w:tcPr>
            <w:tcW w:w="82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1506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IDI 95% CI</w:t>
            </w:r>
          </w:p>
        </w:tc>
        <w:tc>
          <w:tcPr>
            <w:tcW w:w="496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F5764E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IDI P-value</w:t>
            </w:r>
          </w:p>
        </w:tc>
        <w:tc>
          <w:tcPr>
            <w:tcW w:w="452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83261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NRI</w:t>
            </w:r>
          </w:p>
        </w:tc>
        <w:tc>
          <w:tcPr>
            <w:tcW w:w="866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4174E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NRI 95% CI</w:t>
            </w:r>
          </w:p>
        </w:tc>
        <w:tc>
          <w:tcPr>
            <w:tcW w:w="531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D93B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b/>
                <w:color w:val="000000"/>
                <w:sz w:val="24"/>
              </w:rPr>
              <w:t>NRI P-value</w:t>
            </w:r>
          </w:p>
        </w:tc>
      </w:tr>
      <w:tr w:rsidR="00F34EA4" w:rsidRPr="009303B9" w14:paraId="6504C6AF" w14:textId="77777777" w:rsidTr="00941800">
        <w:trPr>
          <w:trHeight w:val="2400"/>
        </w:trPr>
        <w:tc>
          <w:tcPr>
            <w:tcW w:w="695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F6B8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OS</w:t>
            </w:r>
          </w:p>
        </w:tc>
        <w:tc>
          <w:tcPr>
            <w:tcW w:w="687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BCBE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45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AB59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-0.001</w:t>
            </w:r>
          </w:p>
        </w:tc>
        <w:tc>
          <w:tcPr>
            <w:tcW w:w="82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6073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-0.001 (-0.066–0.053)</w:t>
            </w:r>
          </w:p>
        </w:tc>
        <w:tc>
          <w:tcPr>
            <w:tcW w:w="496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F0E1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0.984</w:t>
            </w:r>
          </w:p>
        </w:tc>
        <w:tc>
          <w:tcPr>
            <w:tcW w:w="452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AC44A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-0.026</w:t>
            </w:r>
          </w:p>
        </w:tc>
        <w:tc>
          <w:tcPr>
            <w:tcW w:w="866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D35CC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-0.026 (-0.211–0.276)</w:t>
            </w:r>
          </w:p>
        </w:tc>
        <w:tc>
          <w:tcPr>
            <w:tcW w:w="531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B973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0.833</w:t>
            </w:r>
          </w:p>
        </w:tc>
      </w:tr>
      <w:tr w:rsidR="00F34EA4" w:rsidRPr="009303B9" w14:paraId="12285D8E" w14:textId="77777777" w:rsidTr="00941800">
        <w:trPr>
          <w:trHeight w:val="2431"/>
        </w:trPr>
        <w:tc>
          <w:tcPr>
            <w:tcW w:w="6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472023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OS</w:t>
            </w:r>
          </w:p>
        </w:tc>
        <w:tc>
          <w:tcPr>
            <w:tcW w:w="6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A89C28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7B824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0.020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19CC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0.020 (-0.031–0.076)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981D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0.471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6403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0.156</w:t>
            </w:r>
          </w:p>
        </w:tc>
        <w:tc>
          <w:tcPr>
            <w:tcW w:w="8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A392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0.156 (-0.148–0.381)</w:t>
            </w:r>
          </w:p>
        </w:tc>
        <w:tc>
          <w:tcPr>
            <w:tcW w:w="5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039D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0.249</w:t>
            </w:r>
          </w:p>
        </w:tc>
      </w:tr>
      <w:tr w:rsidR="00F34EA4" w:rsidRPr="009303B9" w14:paraId="4D4DCD61" w14:textId="77777777" w:rsidTr="00941800">
        <w:trPr>
          <w:trHeight w:val="2431"/>
        </w:trPr>
        <w:tc>
          <w:tcPr>
            <w:tcW w:w="69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9BFA4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RFS</w:t>
            </w:r>
          </w:p>
        </w:tc>
        <w:tc>
          <w:tcPr>
            <w:tcW w:w="6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9D31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4E5E2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0.006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4141A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0.006 (-0.034–0.053)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3ECC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0.775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907FFD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0.105</w:t>
            </w:r>
          </w:p>
        </w:tc>
        <w:tc>
          <w:tcPr>
            <w:tcW w:w="8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AEF25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0.105 (-0.153–0.318)</w:t>
            </w:r>
          </w:p>
        </w:tc>
        <w:tc>
          <w:tcPr>
            <w:tcW w:w="5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0516F0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0.385</w:t>
            </w:r>
          </w:p>
        </w:tc>
      </w:tr>
      <w:tr w:rsidR="00F34EA4" w:rsidRPr="009303B9" w14:paraId="44B7C060" w14:textId="77777777" w:rsidTr="00941800">
        <w:trPr>
          <w:trHeight w:val="2400"/>
        </w:trPr>
        <w:tc>
          <w:tcPr>
            <w:tcW w:w="695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CCD40F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RFS</w:t>
            </w:r>
          </w:p>
        </w:tc>
        <w:tc>
          <w:tcPr>
            <w:tcW w:w="687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F02AC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5DA46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0.032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3A24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0.032 (-0.008–0.083)</w:t>
            </w:r>
          </w:p>
        </w:tc>
        <w:tc>
          <w:tcPr>
            <w:tcW w:w="49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6028B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0.175</w:t>
            </w:r>
          </w:p>
        </w:tc>
        <w:tc>
          <w:tcPr>
            <w:tcW w:w="452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C6C87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0.178</w:t>
            </w:r>
          </w:p>
        </w:tc>
        <w:tc>
          <w:tcPr>
            <w:tcW w:w="866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5C75A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0.178 (-0.118–0.393)</w:t>
            </w:r>
          </w:p>
        </w:tc>
        <w:tc>
          <w:tcPr>
            <w:tcW w:w="531" w:type="pct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B206C" w14:textId="77777777" w:rsidR="00F34EA4" w:rsidRPr="009303B9" w:rsidRDefault="00F34EA4" w:rsidP="009418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4"/>
              </w:rPr>
            </w:pPr>
            <w:r w:rsidRPr="009303B9">
              <w:rPr>
                <w:rFonts w:ascii="Times New Roman" w:eastAsia="Arial" w:hAnsi="Times New Roman" w:cs="Times New Roman"/>
                <w:color w:val="000000"/>
                <w:sz w:val="24"/>
              </w:rPr>
              <w:t>0.171</w:t>
            </w:r>
          </w:p>
        </w:tc>
      </w:tr>
    </w:tbl>
    <w:p w14:paraId="585C0781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</w:p>
    <w:p w14:paraId="5D98B787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>Table 3. Time-dependent NRI and IDI comparing LODDS- and pN-based models.</w:t>
      </w:r>
    </w:p>
    <w:p w14:paraId="46C5A3D0" w14:textId="77777777" w:rsidR="00F34EA4" w:rsidRPr="009303B9" w:rsidRDefault="00F34EA4" w:rsidP="00F34EA4">
      <w:pPr>
        <w:widowControl/>
        <w:rPr>
          <w:rFonts w:ascii="Times New Roman" w:hAnsi="Times New Roman" w:cs="Times New Roman"/>
          <w:sz w:val="24"/>
        </w:rPr>
      </w:pPr>
      <w:r w:rsidRPr="009303B9">
        <w:rPr>
          <w:rFonts w:ascii="Times New Roman" w:hAnsi="Times New Roman" w:cs="Times New Roman"/>
          <w:sz w:val="24"/>
        </w:rPr>
        <w:t xml:space="preserve">Time-dependent integrated discrimination improvement (IDI) and category-free net reclassification improvement (NRI) at 18 and 36 months quantify the incremental prognostic value of the LODDS-based model relative to the pN-based model; positive </w:t>
      </w:r>
      <w:r w:rsidRPr="009303B9">
        <w:rPr>
          <w:rFonts w:ascii="Times New Roman" w:hAnsi="Times New Roman" w:cs="Times New Roman"/>
          <w:sz w:val="24"/>
        </w:rPr>
        <w:lastRenderedPageBreak/>
        <w:t>values indicate improvement in discrimination/reclassification. CI, confidence interval; IDI, integrated discrimination improvement; NRI, net reclassification improvement; OS, overall survival; RFS, recurrence-free survival.</w:t>
      </w:r>
    </w:p>
    <w:p w14:paraId="272A4060" w14:textId="77777777" w:rsidR="00F34EA4" w:rsidRPr="009303B9" w:rsidRDefault="00F34EA4" w:rsidP="00F34EA4">
      <w:pPr>
        <w:widowControl/>
        <w:rPr>
          <w:rFonts w:ascii="Times New Roman" w:eastAsia="SimSun" w:hAnsi="Times New Roman" w:cs="Times New Roman"/>
          <w:b/>
          <w:bCs/>
          <w:kern w:val="0"/>
          <w:sz w:val="24"/>
          <w14:ligatures w14:val="none"/>
        </w:rPr>
      </w:pPr>
    </w:p>
    <w:p w14:paraId="379CF8BB" w14:textId="77777777" w:rsidR="00DE6AE2" w:rsidRDefault="00DE6AE2"/>
    <w:sectPr w:rsidR="00DE6AE2" w:rsidSect="00F34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EA4"/>
    <w:rsid w:val="00195413"/>
    <w:rsid w:val="003D0186"/>
    <w:rsid w:val="007278E4"/>
    <w:rsid w:val="00A3738C"/>
    <w:rsid w:val="00BC6C35"/>
    <w:rsid w:val="00C70FDE"/>
    <w:rsid w:val="00CB270D"/>
    <w:rsid w:val="00CF7583"/>
    <w:rsid w:val="00DE6AE2"/>
    <w:rsid w:val="00F05554"/>
    <w:rsid w:val="00F3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434B3"/>
  <w15:chartTrackingRefBased/>
  <w15:docId w15:val="{5743902E-E6B3-4656-88A8-313D174B5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EA4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34EA4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4EA4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4EA4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4EA4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4EA4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4EA4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4EA4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4EA4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4EA4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4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4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4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4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4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4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4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4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4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4EA4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34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4EA4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F34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4EA4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F34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4EA4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F34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4EA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4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4E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894</Words>
  <Characters>4789</Characters>
  <Application>Microsoft Office Word</Application>
  <DocSecurity>0</DocSecurity>
  <Lines>798</Lines>
  <Paragraphs>631</Paragraphs>
  <ScaleCrop>false</ScaleCrop>
  <Company>Springer Nature</Company>
  <LinksUpToDate>false</LinksUpToDate>
  <CharactersWithSpaces>5052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2026-01-22T11:25:00Z</dcterms:created>
  <dcterms:modified xsi:type="dcterms:W3CDTF">2026-01-22T11:25:00Z</dcterms:modified>
</cp:coreProperties>
</file>