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Supplemental:</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 xml:space="preserve">Scoring and Cleaning of Outcomes: </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 xml:space="preserve">MBI Burnout Continuous Outcomes: Per the MBI Scoring guide we chose to create the following variable: Emotional Exhaustion, Depersonalization and Personal Achievement by taking the average of their respected items. Emotional Exhaustion (EE) was created by taking the average of MBI Items 1, 2, 3, 6, 8, 13, 14, 16, and 20. While Depersonalization (DEP) was the average of MBI Items 5, 10, 11, 15, and 22. Personal Achievement (PA) was determined by the average of MBI items 4, 7, 9, 12, 17, 18, 19, and 21. </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 xml:space="preserve">MBI Burnout Profile (Ordinal) Outcome: Profiles were determined using the guidance offered by the MBI Scoring guide using the approach explored by Leiter and Maslach (2016). The following thresholds were calculated to determine our samples burnout profiles. </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EE Threshold = mean (EE) + (standard deviation (EE)*0.5)</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DEP Threshold = mean (DEP) + (standard deviation (DEP)*1.25)</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PA Threshold = mean (PA) + (standard deviation (PA)*0.1)</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 xml:space="preserve">Engaged was defined by having an EE ≤ EE Threshold, DEP ≤ DEP Threshold, and PA &gt; PA Threshold. </w:t>
      </w:r>
    </w:p>
    <w:p w:rsidR="0033779B" w:rsidRPr="0033779B" w:rsidRDefault="0033779B" w:rsidP="0033779B">
      <w:pPr>
        <w:spacing w:before="240" w:after="240" w:line="278" w:lineRule="auto"/>
        <w:rPr>
          <w:rFonts w:ascii="Times New Roman" w:hAnsi="Times New Roman" w:cs="Times New Roman"/>
        </w:rPr>
      </w:pPr>
      <w:r w:rsidRPr="0033779B">
        <w:rPr>
          <w:rFonts w:ascii="Times New Roman" w:eastAsia="Aptos" w:hAnsi="Times New Roman" w:cs="Times New Roman"/>
          <w:color w:val="000000" w:themeColor="text1"/>
        </w:rPr>
        <w:t xml:space="preserve">Ineffective was defined by having an EE ≤ EE Threshold, DEP ≤ DEP Threshold, and </w:t>
      </w:r>
      <w:proofErr w:type="gramStart"/>
      <w:r w:rsidRPr="0033779B">
        <w:rPr>
          <w:rFonts w:ascii="Times New Roman" w:eastAsia="Aptos" w:hAnsi="Times New Roman" w:cs="Times New Roman"/>
          <w:color w:val="000000" w:themeColor="text1"/>
        </w:rPr>
        <w:t>PA  ≤</w:t>
      </w:r>
      <w:proofErr w:type="gramEnd"/>
      <w:r w:rsidRPr="0033779B">
        <w:rPr>
          <w:rFonts w:ascii="Times New Roman" w:eastAsia="Aptos" w:hAnsi="Times New Roman" w:cs="Times New Roman"/>
          <w:color w:val="000000" w:themeColor="text1"/>
        </w:rPr>
        <w:t xml:space="preserve">  PA Threshold. Overextended was defined by having an EE &gt; EE Threshold and DEP ≤ DEP Threshold. Disengaged was defined by having an EE ≤ EE Threshold and DEP &gt; DEP Threshold. Burnout was defined by having an EE &gt; EE Threshold and DEP &gt; DEP Threshold.</w:t>
      </w:r>
    </w:p>
    <w:p w:rsidR="0033779B" w:rsidRPr="0033779B" w:rsidRDefault="0033779B" w:rsidP="0033779B">
      <w:pPr>
        <w:spacing w:before="240" w:after="240" w:line="278" w:lineRule="auto"/>
        <w:rPr>
          <w:rFonts w:ascii="Times New Roman" w:eastAsia="Aptos" w:hAnsi="Times New Roman" w:cs="Times New Roman"/>
          <w:color w:val="000000" w:themeColor="text1"/>
        </w:rPr>
      </w:pPr>
    </w:p>
    <w:p w:rsidR="0033779B" w:rsidRPr="0033779B" w:rsidRDefault="0033779B" w:rsidP="0033779B">
      <w:pPr>
        <w:spacing w:before="240" w:after="240" w:line="278" w:lineRule="auto"/>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Appendix 1: Maslach Burnout Inventory Domain Threshold Calculation.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1"/>
        <w:gridCol w:w="3179"/>
        <w:gridCol w:w="3179"/>
      </w:tblGrid>
      <w:tr w:rsidR="0033779B" w:rsidRPr="0033779B" w:rsidTr="008F7D18">
        <w:trPr>
          <w:trHeight w:val="300"/>
        </w:trPr>
        <w:tc>
          <w:tcPr>
            <w:tcW w:w="3001"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Domain</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Threshold Calculation</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Our Samples Threshold</w:t>
            </w:r>
          </w:p>
        </w:tc>
      </w:tr>
      <w:tr w:rsidR="0033779B" w:rsidRPr="0033779B" w:rsidTr="008F7D18">
        <w:trPr>
          <w:trHeight w:val="300"/>
        </w:trPr>
        <w:tc>
          <w:tcPr>
            <w:tcW w:w="3001"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Emotional Exhaustion (EE) Threshold </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Mean (EE) + (Standard Deviation (EE) *0.5) </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 3.41</w:t>
            </w:r>
          </w:p>
        </w:tc>
      </w:tr>
      <w:tr w:rsidR="0033779B" w:rsidRPr="0033779B" w:rsidTr="008F7D18">
        <w:trPr>
          <w:trHeight w:val="300"/>
        </w:trPr>
        <w:tc>
          <w:tcPr>
            <w:tcW w:w="3001"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Depersonalization (DP) Threshold </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Mean (DP) + (Standard Deviation (DP) *1.25) </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3.88</w:t>
            </w:r>
          </w:p>
        </w:tc>
      </w:tr>
      <w:tr w:rsidR="0033779B" w:rsidRPr="0033779B" w:rsidTr="008F7D18">
        <w:trPr>
          <w:trHeight w:val="375"/>
        </w:trPr>
        <w:tc>
          <w:tcPr>
            <w:tcW w:w="3001"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Personal Achievement (PA) Threshold </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Mean (PA) + (Standard Deviation (PA) *0.1) </w:t>
            </w:r>
          </w:p>
        </w:tc>
        <w:tc>
          <w:tcPr>
            <w:tcW w:w="3179" w:type="dxa"/>
            <w:tcBorders>
              <w:top w:val="single" w:sz="8" w:space="0" w:color="auto"/>
              <w:left w:val="single" w:sz="8" w:space="0" w:color="auto"/>
              <w:bottom w:val="single" w:sz="8" w:space="0" w:color="auto"/>
              <w:right w:val="single" w:sz="8" w:space="0" w:color="auto"/>
            </w:tcBorders>
            <w:vAlign w:val="center"/>
          </w:tcPr>
          <w:p w:rsidR="0033779B" w:rsidRPr="0033779B" w:rsidRDefault="0033779B" w:rsidP="008F7D18">
            <w:pPr>
              <w:spacing w:after="0"/>
              <w:jc w:val="center"/>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t xml:space="preserve"> 4.54</w:t>
            </w:r>
          </w:p>
        </w:tc>
      </w:tr>
    </w:tbl>
    <w:p w:rsidR="000E0A78" w:rsidRDefault="000E0A78" w:rsidP="0033779B">
      <w:pPr>
        <w:spacing w:before="240" w:after="240" w:line="278" w:lineRule="auto"/>
        <w:rPr>
          <w:rFonts w:ascii="Times New Roman" w:eastAsia="Aptos" w:hAnsi="Times New Roman" w:cs="Times New Roman"/>
          <w:color w:val="000000" w:themeColor="text1"/>
        </w:rPr>
      </w:pPr>
    </w:p>
    <w:p w:rsidR="0033779B" w:rsidRPr="0033779B" w:rsidRDefault="0033779B" w:rsidP="0033779B">
      <w:pPr>
        <w:spacing w:before="240" w:after="240" w:line="278" w:lineRule="auto"/>
        <w:rPr>
          <w:rFonts w:ascii="Times New Roman" w:eastAsia="Aptos" w:hAnsi="Times New Roman" w:cs="Times New Roman"/>
          <w:color w:val="000000" w:themeColor="text1"/>
        </w:rPr>
      </w:pPr>
      <w:r w:rsidRPr="0033779B">
        <w:rPr>
          <w:rFonts w:ascii="Times New Roman" w:eastAsia="Aptos" w:hAnsi="Times New Roman" w:cs="Times New Roman"/>
          <w:color w:val="000000" w:themeColor="text1"/>
        </w:rPr>
        <w:lastRenderedPageBreak/>
        <w:t xml:space="preserve">Appendix 2: MBI Latent Profiles </w:t>
      </w:r>
    </w:p>
    <w:tbl>
      <w:tblPr>
        <w:tblStyle w:val="TableGrid"/>
        <w:tblW w:w="0" w:type="auto"/>
        <w:tblLayout w:type="fixed"/>
        <w:tblLook w:val="04A0" w:firstRow="1" w:lastRow="0" w:firstColumn="1" w:lastColumn="0" w:noHBand="0" w:noVBand="1"/>
      </w:tblPr>
      <w:tblGrid>
        <w:gridCol w:w="2244"/>
        <w:gridCol w:w="2250"/>
        <w:gridCol w:w="2455"/>
        <w:gridCol w:w="2170"/>
      </w:tblGrid>
      <w:tr w:rsidR="0033779B" w:rsidRPr="0033779B" w:rsidTr="008F7D18">
        <w:trPr>
          <w:trHeight w:val="300"/>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Engaged</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EE &lt;= EE Threshold</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DP &lt;= DP Threshold</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PA &gt; PA Threshold</w:t>
            </w:r>
          </w:p>
        </w:tc>
      </w:tr>
      <w:tr w:rsidR="0033779B" w:rsidRPr="0033779B" w:rsidTr="008F7D18">
        <w:trPr>
          <w:trHeight w:val="300"/>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Ineffective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EE &lt;= EE Threshold</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DP &lt;= DP Threshold</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PA &lt;= PA Threshold</w:t>
            </w:r>
          </w:p>
        </w:tc>
      </w:tr>
      <w:tr w:rsidR="0033779B" w:rsidRPr="0033779B" w:rsidTr="008F7D18">
        <w:trPr>
          <w:trHeight w:val="300"/>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Overextended</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EE &gt; EE Threshold</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DP &lt;= DP Threshold</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w:t>
            </w:r>
          </w:p>
        </w:tc>
      </w:tr>
      <w:tr w:rsidR="0033779B" w:rsidRPr="0033779B" w:rsidTr="008F7D18">
        <w:trPr>
          <w:trHeight w:val="300"/>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Disengaged</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EE &lt;= EE Threshold</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DP &gt; DP Threshold</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w:t>
            </w:r>
          </w:p>
        </w:tc>
      </w:tr>
      <w:tr w:rsidR="0033779B" w:rsidRPr="0033779B" w:rsidTr="008F7D18">
        <w:trPr>
          <w:trHeight w:val="300"/>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Burnout</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EE &gt; EE Threshold</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DP &gt; DP Threshold</w:t>
            </w:r>
          </w:p>
        </w:tc>
        <w:tc>
          <w:tcPr>
            <w:tcW w:w="2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3779B" w:rsidRPr="0033779B" w:rsidRDefault="0033779B" w:rsidP="008F7D18">
            <w:pPr>
              <w:spacing w:line="252" w:lineRule="auto"/>
              <w:jc w:val="center"/>
              <w:rPr>
                <w:rFonts w:ascii="Times New Roman" w:eastAsia="Times New Roman" w:hAnsi="Times New Roman" w:cs="Times New Roman"/>
                <w:color w:val="000000" w:themeColor="text1"/>
              </w:rPr>
            </w:pPr>
            <w:r w:rsidRPr="0033779B">
              <w:rPr>
                <w:rFonts w:ascii="Times New Roman" w:eastAsia="Times New Roman" w:hAnsi="Times New Roman" w:cs="Times New Roman"/>
                <w:color w:val="000000" w:themeColor="text1"/>
              </w:rPr>
              <w:t>-</w:t>
            </w:r>
          </w:p>
        </w:tc>
      </w:tr>
    </w:tbl>
    <w:p w:rsidR="000A6156" w:rsidRDefault="000A6156">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p>
    <w:p w:rsidR="000E0A78" w:rsidRDefault="000E0A78">
      <w:pPr>
        <w:rPr>
          <w:rFonts w:ascii="Times New Roman" w:hAnsi="Times New Roman" w:cs="Times New Roman"/>
        </w:rPr>
      </w:pPr>
      <w:r>
        <w:rPr>
          <w:rFonts w:ascii="Times New Roman" w:hAnsi="Times New Roman" w:cs="Times New Roman"/>
        </w:rPr>
        <w:lastRenderedPageBreak/>
        <w:t>Appendix 3: Univariate Analysis of Outcomes and Predictors</w:t>
      </w:r>
    </w:p>
    <w:tbl>
      <w:tblPr>
        <w:tblW w:w="10091" w:type="dxa"/>
        <w:tblLook w:val="04A0" w:firstRow="1" w:lastRow="0" w:firstColumn="1" w:lastColumn="0" w:noHBand="0" w:noVBand="1"/>
      </w:tblPr>
      <w:tblGrid>
        <w:gridCol w:w="2453"/>
        <w:gridCol w:w="1948"/>
        <w:gridCol w:w="1934"/>
        <w:gridCol w:w="1822"/>
        <w:gridCol w:w="1934"/>
      </w:tblGrid>
      <w:tr w:rsidR="000E0A78" w:rsidRPr="000E0A78" w:rsidTr="000E0A78">
        <w:trPr>
          <w:trHeight w:val="273"/>
        </w:trPr>
        <w:tc>
          <w:tcPr>
            <w:tcW w:w="2453" w:type="dxa"/>
            <w:tcBorders>
              <w:top w:val="single" w:sz="4" w:space="0" w:color="auto"/>
              <w:left w:val="nil"/>
              <w:bottom w:val="nil"/>
              <w:right w:val="nil"/>
            </w:tcBorders>
            <w:shd w:val="clear" w:color="auto" w:fill="auto"/>
            <w:noWrap/>
            <w:vAlign w:val="bottom"/>
            <w:hideMark/>
          </w:tcPr>
          <w:p w:rsidR="000E0A78" w:rsidRPr="000E0A78" w:rsidRDefault="000E0A78" w:rsidP="000E0A78">
            <w:pPr>
              <w:spacing w:after="0" w:line="240" w:lineRule="auto"/>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w:t>
            </w:r>
          </w:p>
        </w:tc>
        <w:tc>
          <w:tcPr>
            <w:tcW w:w="1948" w:type="dxa"/>
            <w:tcBorders>
              <w:top w:val="single" w:sz="4" w:space="0" w:color="auto"/>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w:t>
            </w:r>
          </w:p>
        </w:tc>
        <w:tc>
          <w:tcPr>
            <w:tcW w:w="1934" w:type="dxa"/>
            <w:tcBorders>
              <w:top w:val="single" w:sz="4" w:space="0" w:color="auto"/>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Linear Regression</w:t>
            </w:r>
          </w:p>
        </w:tc>
        <w:tc>
          <w:tcPr>
            <w:tcW w:w="1822" w:type="dxa"/>
            <w:tcBorders>
              <w:top w:val="single" w:sz="4" w:space="0" w:color="auto"/>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w:t>
            </w:r>
          </w:p>
        </w:tc>
        <w:tc>
          <w:tcPr>
            <w:tcW w:w="1934" w:type="dxa"/>
            <w:tcBorders>
              <w:top w:val="single" w:sz="4" w:space="0" w:color="auto"/>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Ordinal Regression</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Characteristics</w:t>
            </w:r>
          </w:p>
        </w:tc>
        <w:tc>
          <w:tcPr>
            <w:tcW w:w="1948" w:type="dxa"/>
            <w:tcBorders>
              <w:top w:val="single" w:sz="4" w:space="0" w:color="auto"/>
              <w:left w:val="nil"/>
              <w:bottom w:val="single" w:sz="4" w:space="0" w:color="auto"/>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Emotional Exhaustion</w:t>
            </w:r>
          </w:p>
        </w:tc>
        <w:tc>
          <w:tcPr>
            <w:tcW w:w="1934" w:type="dxa"/>
            <w:tcBorders>
              <w:top w:val="single" w:sz="4" w:space="0" w:color="auto"/>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Depersonalization</w:t>
            </w:r>
          </w:p>
        </w:tc>
        <w:tc>
          <w:tcPr>
            <w:tcW w:w="1822" w:type="dxa"/>
            <w:tcBorders>
              <w:top w:val="single" w:sz="4" w:space="0" w:color="auto"/>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Personal Achievement </w:t>
            </w:r>
          </w:p>
        </w:tc>
        <w:tc>
          <w:tcPr>
            <w:tcW w:w="1934" w:type="dxa"/>
            <w:tcBorders>
              <w:top w:val="single" w:sz="4" w:space="0" w:color="auto"/>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Burnout Profiles (3- levels)</w:t>
            </w:r>
          </w:p>
        </w:tc>
      </w:tr>
      <w:tr w:rsidR="000E0A78" w:rsidRPr="000E0A78" w:rsidTr="000E0A78">
        <w:trPr>
          <w:trHeight w:val="273"/>
        </w:trPr>
        <w:tc>
          <w:tcPr>
            <w:tcW w:w="2453" w:type="dxa"/>
            <w:tcBorders>
              <w:top w:val="nil"/>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w:t>
            </w:r>
          </w:p>
        </w:tc>
        <w:tc>
          <w:tcPr>
            <w:tcW w:w="1948" w:type="dxa"/>
            <w:tcBorders>
              <w:top w:val="nil"/>
              <w:left w:val="nil"/>
              <w:bottom w:val="single" w:sz="4" w:space="0" w:color="auto"/>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Beta (95% CI)</w:t>
            </w:r>
          </w:p>
        </w:tc>
        <w:tc>
          <w:tcPr>
            <w:tcW w:w="1934" w:type="dxa"/>
            <w:tcBorders>
              <w:top w:val="nil"/>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Beta (95% CI)</w:t>
            </w:r>
          </w:p>
        </w:tc>
        <w:tc>
          <w:tcPr>
            <w:tcW w:w="1822" w:type="dxa"/>
            <w:tcBorders>
              <w:top w:val="nil"/>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Beta (95% CI)</w:t>
            </w:r>
          </w:p>
        </w:tc>
        <w:tc>
          <w:tcPr>
            <w:tcW w:w="1934" w:type="dxa"/>
            <w:tcBorders>
              <w:top w:val="nil"/>
              <w:left w:val="nil"/>
              <w:bottom w:val="single" w:sz="4" w:space="0" w:color="auto"/>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OR (95% CI)</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Primary Caregiver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Not a Caregiver</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w:t>
            </w: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Caregiver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0.09 (-0.38, 0.19)</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-0.33 (-0.62, </w:t>
            </w:r>
            <w:proofErr w:type="gramStart"/>
            <w:r w:rsidRPr="000E0A78">
              <w:rPr>
                <w:rFonts w:ascii="Calibri" w:eastAsia="Times New Roman" w:hAnsi="Calibri" w:cs="Calibri"/>
                <w:color w:val="000000"/>
                <w:sz w:val="16"/>
                <w:szCs w:val="16"/>
                <w:lang w:eastAsia="en-US"/>
              </w:rPr>
              <w:t>0.04)*</w:t>
            </w:r>
            <w:proofErr w:type="gramEnd"/>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0.15 (-0.04, 0.34)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0.71 (0.44, 1.1) </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Marital Status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Married/Engaged/Partnered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Single/Divorced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0.21 (-0.11, 0.52)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0.16 (-0.17, 0.49) </w:t>
            </w: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-0.09(-0.30,0.12)</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1.1(0.68,1.9)</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Weekly Overtime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Monthly/Yearly/Never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Weekly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0.17 (-0.23, 0.58)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-0.02 (-0.44, 0.40)</w:t>
            </w: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0.25 (-0.02, 0.52)</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1.1 (0.57, 2.1) </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Employment Status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Part-Time/PRN</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Full-Time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-0.52 (-0.92, -0.</w:t>
            </w:r>
            <w:proofErr w:type="gramStart"/>
            <w:r w:rsidRPr="000E0A78">
              <w:rPr>
                <w:rFonts w:ascii="Calibri" w:eastAsia="Times New Roman" w:hAnsi="Calibri" w:cs="Calibri"/>
                <w:color w:val="000000"/>
                <w:sz w:val="16"/>
                <w:szCs w:val="16"/>
                <w:lang w:eastAsia="en-US"/>
              </w:rPr>
              <w:t>12)*</w:t>
            </w:r>
            <w:proofErr w:type="gramEnd"/>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-0.27 (-0.69, 0.15)</w:t>
            </w: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-0.32(-0.59, -0.</w:t>
            </w:r>
            <w:proofErr w:type="gramStart"/>
            <w:r w:rsidRPr="000E0A78">
              <w:rPr>
                <w:rFonts w:ascii="Calibri" w:eastAsia="Times New Roman" w:hAnsi="Calibri" w:cs="Calibri"/>
                <w:color w:val="000000"/>
                <w:sz w:val="16"/>
                <w:szCs w:val="16"/>
                <w:lang w:eastAsia="en-US"/>
              </w:rPr>
              <w:t>05)*</w:t>
            </w:r>
            <w:proofErr w:type="gramEnd"/>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1.2 (0.61, 2.2) </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APP Type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Advanced Practice Nurse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Physician Assistant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0.32 (-0.04, </w:t>
            </w:r>
            <w:proofErr w:type="gramStart"/>
            <w:r w:rsidRPr="000E0A78">
              <w:rPr>
                <w:rFonts w:ascii="Calibri" w:eastAsia="Times New Roman" w:hAnsi="Calibri" w:cs="Calibri"/>
                <w:color w:val="000000"/>
                <w:sz w:val="16"/>
                <w:szCs w:val="16"/>
                <w:lang w:eastAsia="en-US"/>
              </w:rPr>
              <w:t>0.61)*</w:t>
            </w:r>
            <w:proofErr w:type="gramEnd"/>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0.53 (0.24, </w:t>
            </w:r>
            <w:proofErr w:type="gramStart"/>
            <w:r w:rsidRPr="000E0A78">
              <w:rPr>
                <w:rFonts w:ascii="Calibri" w:eastAsia="Times New Roman" w:hAnsi="Calibri" w:cs="Calibri"/>
                <w:color w:val="000000"/>
                <w:sz w:val="16"/>
                <w:szCs w:val="16"/>
                <w:lang w:eastAsia="en-US"/>
              </w:rPr>
              <w:t>0.83)*</w:t>
            </w:r>
            <w:proofErr w:type="gramEnd"/>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-0.06(-0.26, 0.13)</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1.7 (1.0, 2.7) </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Years of Experience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0-5 years</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6+ years</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0.06 (-0.24, 0.36)</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0.07 (-0.24, 0.38) </w:t>
            </w: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0.19(-0.01, 0.39)</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0.92 (0.57, 1.5) </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Type of Specialty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Surgical Field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Medical Field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-0.16 (-0.51, 0.18)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-0.43 (-0.79, -0.</w:t>
            </w:r>
            <w:proofErr w:type="gramStart"/>
            <w:r w:rsidRPr="000E0A78">
              <w:rPr>
                <w:rFonts w:ascii="Calibri" w:eastAsia="Times New Roman" w:hAnsi="Calibri" w:cs="Calibri"/>
                <w:color w:val="000000"/>
                <w:sz w:val="16"/>
                <w:szCs w:val="16"/>
                <w:lang w:eastAsia="en-US"/>
              </w:rPr>
              <w:t>07)*</w:t>
            </w:r>
            <w:proofErr w:type="gramEnd"/>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0.18 (-0.05, 0.41)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0.54 (0.31, </w:t>
            </w:r>
            <w:proofErr w:type="gramStart"/>
            <w:r w:rsidRPr="000E0A78">
              <w:rPr>
                <w:rFonts w:ascii="Calibri" w:eastAsia="Times New Roman" w:hAnsi="Calibri" w:cs="Calibri"/>
                <w:color w:val="000000"/>
                <w:sz w:val="16"/>
                <w:szCs w:val="16"/>
                <w:lang w:eastAsia="en-US"/>
              </w:rPr>
              <w:t>0.95)*</w:t>
            </w:r>
            <w:proofErr w:type="gramEnd"/>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Patient Population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Pediatric Patient Population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Adult Patient Population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0.56 (0.29, </w:t>
            </w:r>
            <w:proofErr w:type="gramStart"/>
            <w:r w:rsidRPr="000E0A78">
              <w:rPr>
                <w:rFonts w:ascii="Calibri" w:eastAsia="Times New Roman" w:hAnsi="Calibri" w:cs="Calibri"/>
                <w:color w:val="000000"/>
                <w:sz w:val="16"/>
                <w:szCs w:val="16"/>
                <w:lang w:eastAsia="en-US"/>
              </w:rPr>
              <w:t>0.83)*</w:t>
            </w:r>
            <w:proofErr w:type="gramEnd"/>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0.53 (0.24, </w:t>
            </w:r>
            <w:proofErr w:type="gramStart"/>
            <w:r w:rsidRPr="000E0A78">
              <w:rPr>
                <w:rFonts w:ascii="Calibri" w:eastAsia="Times New Roman" w:hAnsi="Calibri" w:cs="Calibri"/>
                <w:color w:val="000000"/>
                <w:sz w:val="16"/>
                <w:szCs w:val="16"/>
                <w:lang w:eastAsia="en-US"/>
              </w:rPr>
              <w:t>0.81)*</w:t>
            </w:r>
            <w:proofErr w:type="gramEnd"/>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0.01 (0.20, 0.18)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2.1 (1.3, </w:t>
            </w:r>
            <w:proofErr w:type="gramStart"/>
            <w:r w:rsidRPr="000E0A78">
              <w:rPr>
                <w:rFonts w:ascii="Calibri" w:eastAsia="Times New Roman" w:hAnsi="Calibri" w:cs="Calibri"/>
                <w:color w:val="000000"/>
                <w:sz w:val="16"/>
                <w:szCs w:val="16"/>
                <w:lang w:eastAsia="en-US"/>
              </w:rPr>
              <w:t>3.3)*</w:t>
            </w:r>
            <w:proofErr w:type="gramEnd"/>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Work Shift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Day Shift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Off Shift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0.00 (0.28, 0.83) </w:t>
            </w:r>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0.18 (-0.11, 0.48)</w:t>
            </w:r>
          </w:p>
        </w:tc>
        <w:tc>
          <w:tcPr>
            <w:tcW w:w="1822"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-0.32(-0.50, -0.</w:t>
            </w:r>
            <w:proofErr w:type="gramStart"/>
            <w:r w:rsidRPr="000E0A78">
              <w:rPr>
                <w:rFonts w:ascii="Calibri" w:eastAsia="Times New Roman" w:hAnsi="Calibri" w:cs="Calibri"/>
                <w:color w:val="000000"/>
                <w:sz w:val="16"/>
                <w:szCs w:val="16"/>
                <w:lang w:eastAsia="en-US"/>
              </w:rPr>
              <w:t>13)*</w:t>
            </w:r>
            <w:proofErr w:type="gramEnd"/>
          </w:p>
        </w:tc>
        <w:tc>
          <w:tcPr>
            <w:tcW w:w="1934"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1.9 (1.2, </w:t>
            </w:r>
            <w:proofErr w:type="gramStart"/>
            <w:r w:rsidRPr="000E0A78">
              <w:rPr>
                <w:rFonts w:ascii="Calibri" w:eastAsia="Times New Roman" w:hAnsi="Calibri" w:cs="Calibri"/>
                <w:color w:val="000000"/>
                <w:sz w:val="16"/>
                <w:szCs w:val="16"/>
                <w:lang w:eastAsia="en-US"/>
              </w:rPr>
              <w:t>3.0)*</w:t>
            </w:r>
            <w:proofErr w:type="gramEnd"/>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Work Setting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 xml:space="preserve">Outpatient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i/>
                <w:iCs/>
                <w:color w:val="000000"/>
                <w:sz w:val="16"/>
                <w:szCs w:val="16"/>
                <w:lang w:eastAsia="en-US"/>
              </w:rPr>
            </w:pPr>
            <w:r w:rsidRPr="000E0A78">
              <w:rPr>
                <w:rFonts w:ascii="-webkit-standard" w:eastAsia="Times New Roman" w:hAnsi="-webkit-standard" w:cs="Calibri"/>
                <w:i/>
                <w:iCs/>
                <w:color w:val="000000"/>
                <w:sz w:val="16"/>
                <w:szCs w:val="16"/>
                <w:lang w:eastAsia="en-US"/>
              </w:rPr>
              <w:t>Hospital Based</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-0.25 (-0.55, 0.05) </w:t>
            </w: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-0.08(-0.39, 0.24)</w:t>
            </w: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-0.32 (-0.52, -0.</w:t>
            </w:r>
            <w:proofErr w:type="gramStart"/>
            <w:r w:rsidRPr="000E0A78">
              <w:rPr>
                <w:rFonts w:ascii="Calibri" w:eastAsia="Times New Roman" w:hAnsi="Calibri" w:cs="Calibri"/>
                <w:color w:val="000000"/>
                <w:sz w:val="16"/>
                <w:szCs w:val="16"/>
                <w:lang w:eastAsia="en-US"/>
              </w:rPr>
              <w:t>13)*</w:t>
            </w:r>
            <w:proofErr w:type="gramEnd"/>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 1.1 (0.68, 1.8) </w:t>
            </w: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r w:rsidRPr="000E0A78">
              <w:rPr>
                <w:rFonts w:ascii="-webkit-standard" w:eastAsia="Times New Roman" w:hAnsi="-webkit-standard" w:cs="Calibri"/>
                <w:b/>
                <w:bCs/>
                <w:color w:val="000000"/>
                <w:sz w:val="16"/>
                <w:szCs w:val="16"/>
                <w:lang w:eastAsia="en-US"/>
              </w:rPr>
              <w:t>State of Work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b/>
                <w:bCs/>
                <w:color w:val="000000"/>
                <w:sz w:val="16"/>
                <w:szCs w:val="16"/>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color w:val="000000"/>
                <w:sz w:val="16"/>
                <w:szCs w:val="16"/>
                <w:lang w:eastAsia="en-US"/>
              </w:rPr>
            </w:pPr>
            <w:r w:rsidRPr="000E0A78">
              <w:rPr>
                <w:rFonts w:ascii="-webkit-standard" w:eastAsia="Times New Roman" w:hAnsi="-webkit-standard" w:cs="Calibri"/>
                <w:color w:val="000000"/>
                <w:sz w:val="16"/>
                <w:szCs w:val="16"/>
                <w:lang w:eastAsia="en-US"/>
              </w:rPr>
              <w:t xml:space="preserve">Georgia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rPr>
                <w:rFonts w:ascii="-webkit-standard" w:eastAsia="Times New Roman" w:hAnsi="-webkit-standard" w:cs="Calibri"/>
                <w:color w:val="000000"/>
                <w:sz w:val="16"/>
                <w:szCs w:val="16"/>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Times New Roman" w:eastAsia="Times New Roman" w:hAnsi="Times New Roman" w:cs="Times New Roman"/>
                <w:sz w:val="20"/>
                <w:szCs w:val="20"/>
                <w:lang w:eastAsia="en-US"/>
              </w:rPr>
            </w:pPr>
          </w:p>
        </w:tc>
      </w:tr>
      <w:tr w:rsidR="000E0A78" w:rsidRPr="000E0A78" w:rsidTr="000E0A78">
        <w:trPr>
          <w:trHeight w:val="273"/>
        </w:trPr>
        <w:tc>
          <w:tcPr>
            <w:tcW w:w="2453"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rPr>
                <w:rFonts w:ascii="-webkit-standard" w:eastAsia="Times New Roman" w:hAnsi="-webkit-standard" w:cs="Calibri"/>
                <w:color w:val="000000"/>
                <w:sz w:val="16"/>
                <w:szCs w:val="16"/>
                <w:lang w:eastAsia="en-US"/>
              </w:rPr>
            </w:pPr>
            <w:r w:rsidRPr="000E0A78">
              <w:rPr>
                <w:rFonts w:ascii="-webkit-standard" w:eastAsia="Times New Roman" w:hAnsi="-webkit-standard" w:cs="Calibri"/>
                <w:color w:val="000000"/>
                <w:sz w:val="16"/>
                <w:szCs w:val="16"/>
                <w:lang w:eastAsia="en-US"/>
              </w:rPr>
              <w:t xml:space="preserve">Colorado </w:t>
            </w:r>
          </w:p>
        </w:tc>
        <w:tc>
          <w:tcPr>
            <w:tcW w:w="1948" w:type="dxa"/>
            <w:tcBorders>
              <w:top w:val="nil"/>
              <w:left w:val="nil"/>
              <w:bottom w:val="nil"/>
              <w:right w:val="nil"/>
            </w:tcBorders>
            <w:shd w:val="clear" w:color="auto" w:fill="auto"/>
            <w:noWrap/>
            <w:vAlign w:val="center"/>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0.24 (-0.03, 0.52) </w:t>
            </w: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0.21 (-0.08, 0.50) </w:t>
            </w:r>
          </w:p>
        </w:tc>
        <w:tc>
          <w:tcPr>
            <w:tcW w:w="1822"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 xml:space="preserve">0.03 (-0.15, 0.22) </w:t>
            </w:r>
          </w:p>
        </w:tc>
        <w:tc>
          <w:tcPr>
            <w:tcW w:w="1934" w:type="dxa"/>
            <w:tcBorders>
              <w:top w:val="nil"/>
              <w:left w:val="nil"/>
              <w:bottom w:val="nil"/>
              <w:right w:val="nil"/>
            </w:tcBorders>
            <w:shd w:val="clear" w:color="auto" w:fill="auto"/>
            <w:noWrap/>
            <w:vAlign w:val="bottom"/>
            <w:hideMark/>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r w:rsidRPr="000E0A78">
              <w:rPr>
                <w:rFonts w:ascii="Calibri" w:eastAsia="Times New Roman" w:hAnsi="Calibri" w:cs="Calibri"/>
                <w:color w:val="000000"/>
                <w:sz w:val="16"/>
                <w:szCs w:val="16"/>
                <w:lang w:eastAsia="en-US"/>
              </w:rPr>
              <w:t>1.5 (0.94, 2.3) </w:t>
            </w:r>
          </w:p>
        </w:tc>
      </w:tr>
      <w:tr w:rsidR="000E0A78" w:rsidRPr="000E0A78" w:rsidTr="000E0A78">
        <w:trPr>
          <w:trHeight w:val="273"/>
        </w:trPr>
        <w:tc>
          <w:tcPr>
            <w:tcW w:w="2453" w:type="dxa"/>
            <w:tcBorders>
              <w:top w:val="nil"/>
              <w:left w:val="nil"/>
              <w:bottom w:val="nil"/>
              <w:right w:val="nil"/>
            </w:tcBorders>
            <w:shd w:val="clear" w:color="auto" w:fill="auto"/>
            <w:noWrap/>
            <w:vAlign w:val="bottom"/>
          </w:tcPr>
          <w:p w:rsidR="000E0A78" w:rsidRPr="000E0A78" w:rsidRDefault="000E0A78" w:rsidP="000E0A78">
            <w:pPr>
              <w:spacing w:after="0" w:line="240" w:lineRule="auto"/>
              <w:rPr>
                <w:rFonts w:ascii="-webkit-standard" w:eastAsia="Times New Roman" w:hAnsi="-webkit-standard" w:cs="Calibri"/>
                <w:color w:val="000000"/>
                <w:sz w:val="16"/>
                <w:szCs w:val="16"/>
                <w:lang w:eastAsia="en-US"/>
              </w:rPr>
            </w:pPr>
          </w:p>
        </w:tc>
        <w:tc>
          <w:tcPr>
            <w:tcW w:w="1948" w:type="dxa"/>
            <w:tcBorders>
              <w:top w:val="nil"/>
              <w:left w:val="nil"/>
              <w:bottom w:val="nil"/>
              <w:right w:val="nil"/>
            </w:tcBorders>
            <w:shd w:val="clear" w:color="auto" w:fill="auto"/>
            <w:noWrap/>
            <w:vAlign w:val="center"/>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p>
        </w:tc>
        <w:tc>
          <w:tcPr>
            <w:tcW w:w="1934" w:type="dxa"/>
            <w:tcBorders>
              <w:top w:val="nil"/>
              <w:left w:val="nil"/>
              <w:bottom w:val="nil"/>
              <w:right w:val="nil"/>
            </w:tcBorders>
            <w:shd w:val="clear" w:color="auto" w:fill="auto"/>
            <w:noWrap/>
            <w:vAlign w:val="bottom"/>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p>
        </w:tc>
        <w:tc>
          <w:tcPr>
            <w:tcW w:w="1822" w:type="dxa"/>
            <w:tcBorders>
              <w:top w:val="nil"/>
              <w:left w:val="nil"/>
              <w:bottom w:val="nil"/>
              <w:right w:val="nil"/>
            </w:tcBorders>
            <w:shd w:val="clear" w:color="auto" w:fill="auto"/>
            <w:noWrap/>
            <w:vAlign w:val="bottom"/>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p>
        </w:tc>
        <w:tc>
          <w:tcPr>
            <w:tcW w:w="1934" w:type="dxa"/>
            <w:tcBorders>
              <w:top w:val="nil"/>
              <w:left w:val="nil"/>
              <w:bottom w:val="nil"/>
              <w:right w:val="nil"/>
            </w:tcBorders>
            <w:shd w:val="clear" w:color="auto" w:fill="auto"/>
            <w:noWrap/>
            <w:vAlign w:val="bottom"/>
          </w:tcPr>
          <w:p w:rsidR="000E0A78" w:rsidRPr="000E0A78" w:rsidRDefault="000E0A78" w:rsidP="000E0A78">
            <w:pPr>
              <w:spacing w:after="0" w:line="240" w:lineRule="auto"/>
              <w:jc w:val="center"/>
              <w:rPr>
                <w:rFonts w:ascii="Calibri" w:eastAsia="Times New Roman" w:hAnsi="Calibri" w:cs="Calibri"/>
                <w:color w:val="000000"/>
                <w:sz w:val="16"/>
                <w:szCs w:val="16"/>
                <w:lang w:eastAsia="en-US"/>
              </w:rPr>
            </w:pPr>
          </w:p>
        </w:tc>
      </w:tr>
    </w:tbl>
    <w:p w:rsidR="000E0A78" w:rsidRPr="000E0A78" w:rsidRDefault="000E0A78" w:rsidP="000E0A78">
      <w:pPr>
        <w:pStyle w:val="NormalWeb"/>
        <w:rPr>
          <w:sz w:val="16"/>
          <w:szCs w:val="16"/>
        </w:rPr>
      </w:pPr>
      <w:r w:rsidRPr="000E0A78">
        <w:rPr>
          <w:sz w:val="16"/>
          <w:szCs w:val="16"/>
        </w:rPr>
        <w:t xml:space="preserve">Abbreviations: CI = Confidence Interval, OR = Odds Ratio </w:t>
      </w:r>
    </w:p>
    <w:p w:rsidR="000E0A78" w:rsidRPr="000E0A78" w:rsidRDefault="000E0A78" w:rsidP="000E0A78">
      <w:pPr>
        <w:pStyle w:val="NormalWeb"/>
        <w:rPr>
          <w:sz w:val="16"/>
          <w:szCs w:val="16"/>
        </w:rPr>
      </w:pPr>
      <w:r w:rsidRPr="000E0A78">
        <w:rPr>
          <w:sz w:val="16"/>
          <w:szCs w:val="16"/>
        </w:rPr>
        <w:t xml:space="preserve">*Indicates statistically significant value </w:t>
      </w:r>
    </w:p>
    <w:p w:rsidR="000E0A78" w:rsidRPr="0033779B" w:rsidRDefault="000E0A78">
      <w:pPr>
        <w:rPr>
          <w:rFonts w:ascii="Times New Roman" w:hAnsi="Times New Roman" w:cs="Times New Roman"/>
        </w:rPr>
      </w:pPr>
    </w:p>
    <w:sectPr w:rsidR="000E0A78" w:rsidRPr="00337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9B"/>
    <w:rsid w:val="000A6156"/>
    <w:rsid w:val="000E0A78"/>
    <w:rsid w:val="000F6C52"/>
    <w:rsid w:val="00102765"/>
    <w:rsid w:val="00290F3A"/>
    <w:rsid w:val="0033779B"/>
    <w:rsid w:val="00684EAB"/>
    <w:rsid w:val="006863CE"/>
    <w:rsid w:val="00782F91"/>
    <w:rsid w:val="00CC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5ABFC"/>
  <w15:chartTrackingRefBased/>
  <w15:docId w15:val="{D10ED218-9D91-5948-9E0B-39F4A3AD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9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377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377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3779B"/>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3779B"/>
    <w:pPr>
      <w:keepNext/>
      <w:keepLines/>
      <w:spacing w:before="80" w:after="40" w:line="278"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3779B"/>
    <w:pPr>
      <w:keepNext/>
      <w:keepLines/>
      <w:spacing w:before="80" w:after="40" w:line="278"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3779B"/>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3779B"/>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3779B"/>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3779B"/>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79B"/>
    <w:rPr>
      <w:rFonts w:eastAsiaTheme="majorEastAsia" w:cstheme="majorBidi"/>
      <w:color w:val="272727" w:themeColor="text1" w:themeTint="D8"/>
    </w:rPr>
  </w:style>
  <w:style w:type="paragraph" w:styleId="Title">
    <w:name w:val="Title"/>
    <w:basedOn w:val="Normal"/>
    <w:next w:val="Normal"/>
    <w:link w:val="TitleChar"/>
    <w:uiPriority w:val="10"/>
    <w:qFormat/>
    <w:rsid w:val="0033779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3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79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3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79B"/>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3779B"/>
    <w:rPr>
      <w:i/>
      <w:iCs/>
      <w:color w:val="404040" w:themeColor="text1" w:themeTint="BF"/>
    </w:rPr>
  </w:style>
  <w:style w:type="paragraph" w:styleId="ListParagraph">
    <w:name w:val="List Paragraph"/>
    <w:basedOn w:val="Normal"/>
    <w:uiPriority w:val="34"/>
    <w:qFormat/>
    <w:rsid w:val="0033779B"/>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33779B"/>
    <w:rPr>
      <w:i/>
      <w:iCs/>
      <w:color w:val="2F5496" w:themeColor="accent1" w:themeShade="BF"/>
    </w:rPr>
  </w:style>
  <w:style w:type="paragraph" w:styleId="IntenseQuote">
    <w:name w:val="Intense Quote"/>
    <w:basedOn w:val="Normal"/>
    <w:next w:val="Normal"/>
    <w:link w:val="IntenseQuoteChar"/>
    <w:uiPriority w:val="30"/>
    <w:qFormat/>
    <w:rsid w:val="003377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3779B"/>
    <w:rPr>
      <w:i/>
      <w:iCs/>
      <w:color w:val="2F5496" w:themeColor="accent1" w:themeShade="BF"/>
    </w:rPr>
  </w:style>
  <w:style w:type="character" w:styleId="IntenseReference">
    <w:name w:val="Intense Reference"/>
    <w:basedOn w:val="DefaultParagraphFont"/>
    <w:uiPriority w:val="32"/>
    <w:qFormat/>
    <w:rsid w:val="0033779B"/>
    <w:rPr>
      <w:b/>
      <w:bCs/>
      <w:smallCaps/>
      <w:color w:val="2F5496" w:themeColor="accent1" w:themeShade="BF"/>
      <w:spacing w:val="5"/>
    </w:rPr>
  </w:style>
  <w:style w:type="table" w:styleId="TableGrid">
    <w:name w:val="Table Grid"/>
    <w:basedOn w:val="TableNormal"/>
    <w:uiPriority w:val="59"/>
    <w:rsid w:val="0033779B"/>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E0A78"/>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24906">
      <w:bodyDiv w:val="1"/>
      <w:marLeft w:val="0"/>
      <w:marRight w:val="0"/>
      <w:marTop w:val="0"/>
      <w:marBottom w:val="0"/>
      <w:divBdr>
        <w:top w:val="none" w:sz="0" w:space="0" w:color="auto"/>
        <w:left w:val="none" w:sz="0" w:space="0" w:color="auto"/>
        <w:bottom w:val="none" w:sz="0" w:space="0" w:color="auto"/>
        <w:right w:val="none" w:sz="0" w:space="0" w:color="auto"/>
      </w:divBdr>
    </w:div>
    <w:div w:id="1985694692">
      <w:bodyDiv w:val="1"/>
      <w:marLeft w:val="0"/>
      <w:marRight w:val="0"/>
      <w:marTop w:val="0"/>
      <w:marBottom w:val="0"/>
      <w:divBdr>
        <w:top w:val="none" w:sz="0" w:space="0" w:color="auto"/>
        <w:left w:val="none" w:sz="0" w:space="0" w:color="auto"/>
        <w:bottom w:val="none" w:sz="0" w:space="0" w:color="auto"/>
        <w:right w:val="none" w:sz="0" w:space="0" w:color="auto"/>
      </w:divBdr>
    </w:div>
    <w:div w:id="20686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Stender, Gregory P</dc:creator>
  <cp:keywords/>
  <dc:description/>
  <cp:lastModifiedBy>Stender, Gregory P</cp:lastModifiedBy>
  <cp:revision>2</cp:revision>
  <dcterms:created xsi:type="dcterms:W3CDTF">2025-05-17T15:41:00Z</dcterms:created>
  <dcterms:modified xsi:type="dcterms:W3CDTF">2025-06-28T01:47:00Z</dcterms:modified>
</cp:coreProperties>
</file>