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12667" w14:textId="3D305C7C" w:rsidR="00F257AC" w:rsidRPr="00F257AC" w:rsidRDefault="00F257AC" w:rsidP="00F257AC">
      <w:pPr>
        <w:pBdr>
          <w:top w:val="nil"/>
          <w:left w:val="nil"/>
          <w:bottom w:val="nil"/>
          <w:right w:val="nil"/>
          <w:between w:val="nil"/>
        </w:pBdr>
        <w:spacing w:before="280" w:after="280" w:line="276" w:lineRule="auto"/>
        <w:outlineLvl w:val="0"/>
        <w:rPr>
          <w:rFonts w:ascii="Times New Roman" w:eastAsia="SimSun" w:hAnsi="Times New Roman" w:cs="Times New Roman"/>
          <w:b/>
          <w:color w:val="153D63"/>
        </w:rPr>
      </w:pPr>
      <w:r w:rsidRPr="00F257AC">
        <w:rPr>
          <w:rFonts w:ascii="Times New Roman" w:eastAsia="SimSun" w:hAnsi="Times New Roman" w:cs="Times New Roman"/>
          <w:b/>
          <w:color w:val="153D63"/>
        </w:rPr>
        <w:t>SUPPORTING INFORMATION</w:t>
      </w:r>
      <w:r>
        <w:rPr>
          <w:rFonts w:ascii="Times New Roman" w:eastAsia="SimSun" w:hAnsi="Times New Roman" w:cs="Times New Roman"/>
          <w:b/>
          <w:color w:val="153D63"/>
        </w:rPr>
        <w:t xml:space="preserve">: </w:t>
      </w:r>
      <w:r w:rsidRPr="00F257AC">
        <w:rPr>
          <w:rFonts w:ascii="Times New Roman" w:eastAsia="SimSun" w:hAnsi="Times New Roman" w:cs="Times New Roman"/>
          <w:b/>
          <w:color w:val="153D63"/>
        </w:rPr>
        <w:t>The energy, material and carbon handprint of lithium-ion batteries in electric vehicles</w:t>
      </w:r>
    </w:p>
    <w:p w14:paraId="652B141C"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i/>
          <w:iCs/>
          <w:color w:val="000000"/>
        </w:rPr>
      </w:pPr>
      <w:r w:rsidRPr="00F257AC">
        <w:rPr>
          <w:rFonts w:ascii="Times New Roman" w:eastAsia="SimSun" w:hAnsi="Times New Roman" w:cs="Times New Roman"/>
          <w:color w:val="000000"/>
        </w:rPr>
        <w:t xml:space="preserve">Busch P., </w:t>
      </w:r>
      <w:proofErr w:type="spellStart"/>
      <w:r w:rsidRPr="00F257AC">
        <w:rPr>
          <w:rFonts w:ascii="Times New Roman" w:eastAsia="SimSun" w:hAnsi="Times New Roman" w:cs="Times New Roman"/>
          <w:color w:val="000000"/>
        </w:rPr>
        <w:t>Yunzhu</w:t>
      </w:r>
      <w:proofErr w:type="spellEnd"/>
      <w:r w:rsidRPr="00F257AC">
        <w:rPr>
          <w:rFonts w:ascii="Times New Roman" w:eastAsia="SimSun" w:hAnsi="Times New Roman" w:cs="Times New Roman"/>
          <w:color w:val="000000"/>
        </w:rPr>
        <w:t xml:space="preserve"> C., Kendall, A. (2026). The energy, material and carbon handprint of lithium-ion batteries in electric vehicles. </w:t>
      </w:r>
      <w:r w:rsidRPr="00F257AC">
        <w:rPr>
          <w:rFonts w:ascii="Times New Roman" w:eastAsia="SimSun" w:hAnsi="Times New Roman" w:cs="Times New Roman"/>
          <w:i/>
          <w:iCs/>
          <w:color w:val="000000"/>
        </w:rPr>
        <w:t>Journal of Industrial Ecology</w:t>
      </w:r>
      <w:r w:rsidRPr="00F257AC">
        <w:rPr>
          <w:rFonts w:ascii="Times New Roman" w:eastAsia="SimSun" w:hAnsi="Times New Roman" w:cs="Times New Roman"/>
          <w:color w:val="000000"/>
        </w:rPr>
        <w:t>.</w:t>
      </w:r>
    </w:p>
    <w:p w14:paraId="40AF5615"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color w:val="000000"/>
        </w:rPr>
        <w:t xml:space="preserve">This supporting information provides additional information on the data sources used on the life cycle assessment model, including their temporal and spatial resolution. This supporting information also includes descriptive figures of the main inputs of the model and additional results to support the analysis on the main text. </w:t>
      </w:r>
    </w:p>
    <w:p w14:paraId="21862A4A"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color w:val="000000"/>
        </w:rPr>
        <w:t>Supplementary tables: Table S1 to Table S2</w:t>
      </w:r>
    </w:p>
    <w:p w14:paraId="31BA8416" w14:textId="4B486F3C"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color w:val="000000"/>
        </w:rPr>
        <w:t>Supplementary figures: Figure S1 to Figure S12</w:t>
      </w:r>
    </w:p>
    <w:p w14:paraId="5B69FB09"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0BD06735" w14:textId="77777777" w:rsidR="00F257AC" w:rsidRPr="00F257AC" w:rsidRDefault="00F257AC" w:rsidP="00F257AC">
      <w:pPr>
        <w:spacing w:after="0" w:line="240" w:lineRule="auto"/>
        <w:jc w:val="left"/>
        <w:rPr>
          <w:rFonts w:ascii="Times New Roman" w:eastAsia="SimSun" w:hAnsi="Times New Roman" w:cs="Times New Roman"/>
          <w:color w:val="000000"/>
        </w:rPr>
      </w:pPr>
      <w:r w:rsidRPr="00F257AC">
        <w:rPr>
          <w:rFonts w:ascii="Times New Roman" w:eastAsia="SimSun" w:hAnsi="Times New Roman" w:cs="Times New Roman"/>
          <w:color w:val="000000"/>
        </w:rPr>
        <w:br w:type="page"/>
      </w:r>
    </w:p>
    <w:p w14:paraId="5514150C" w14:textId="77777777" w:rsidR="00F257AC" w:rsidRPr="00F257AC" w:rsidRDefault="00F257AC" w:rsidP="00F257AC">
      <w:pPr>
        <w:keepNext/>
        <w:pBdr>
          <w:top w:val="nil"/>
          <w:left w:val="nil"/>
          <w:bottom w:val="nil"/>
          <w:right w:val="nil"/>
          <w:between w:val="nil"/>
        </w:pBdr>
        <w:spacing w:before="280" w:after="0" w:line="360" w:lineRule="auto"/>
        <w:rPr>
          <w:rFonts w:ascii="Times New Roman" w:eastAsia="SimSun" w:hAnsi="Times New Roman" w:cs="Times New Roman"/>
          <w:color w:val="000000"/>
        </w:rPr>
      </w:pPr>
      <w:bookmarkStart w:id="0" w:name="_Ref212023878"/>
      <w:r w:rsidRPr="00F257AC">
        <w:rPr>
          <w:rFonts w:ascii="Times New Roman" w:eastAsia="SimSun" w:hAnsi="Times New Roman" w:cs="Times New Roman"/>
          <w:b/>
          <w:bCs/>
          <w:color w:val="000000"/>
        </w:rPr>
        <w:lastRenderedPageBreak/>
        <w:t xml:space="preserve">Supporting Information S1: </w:t>
      </w:r>
      <w:r w:rsidRPr="00F257AC">
        <w:rPr>
          <w:rFonts w:ascii="Times New Roman" w:eastAsia="SimSun" w:hAnsi="Times New Roman" w:cs="Times New Roman"/>
          <w:color w:val="000000"/>
        </w:rPr>
        <w:t>Characteristics and details of the main data sources used in the life cycle assessment model.</w:t>
      </w:r>
    </w:p>
    <w:p w14:paraId="7E78616B" w14:textId="77777777" w:rsidR="00F257AC" w:rsidRPr="00F257AC" w:rsidRDefault="00F257AC" w:rsidP="00F257AC">
      <w:pPr>
        <w:keepNext/>
        <w:pBdr>
          <w:top w:val="nil"/>
          <w:left w:val="nil"/>
          <w:bottom w:val="nil"/>
          <w:right w:val="nil"/>
          <w:between w:val="nil"/>
        </w:pBdr>
        <w:spacing w:before="280" w:after="0" w:line="360" w:lineRule="auto"/>
        <w:rPr>
          <w:rFonts w:ascii="Times New Roman" w:eastAsia="SimSun" w:hAnsi="Times New Roman" w:cs="Times New Roman"/>
          <w:color w:val="000000"/>
        </w:rPr>
      </w:pPr>
      <w:r w:rsidRPr="00F257AC">
        <w:rPr>
          <w:rFonts w:ascii="Times New Roman" w:eastAsia="SimSun" w:hAnsi="Times New Roman" w:cs="Times New Roman"/>
          <w:b/>
          <w:bCs/>
          <w:color w:val="000000"/>
        </w:rPr>
        <w:t>Table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Table_S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1</w:t>
      </w:r>
      <w:r w:rsidRPr="00F257AC">
        <w:rPr>
          <w:rFonts w:ascii="Times New Roman" w:eastAsia="SimSun" w:hAnsi="Times New Roman" w:cs="Times New Roman"/>
          <w:b/>
          <w:bCs/>
          <w:color w:val="000000"/>
        </w:rPr>
        <w:fldChar w:fldCharType="end"/>
      </w:r>
      <w:bookmarkEnd w:id="0"/>
      <w:r w:rsidRPr="00F257AC">
        <w:rPr>
          <w:rFonts w:ascii="Times New Roman" w:eastAsia="SimSun" w:hAnsi="Times New Roman" w:cs="Times New Roman"/>
          <w:color w:val="000000"/>
        </w:rPr>
        <w:t>. Model data sources detail, with temporal and spatial resolution.</w:t>
      </w:r>
    </w:p>
    <w:tbl>
      <w:tblPr>
        <w:tblW w:w="11624" w:type="dxa"/>
        <w:tblInd w:w="-1134" w:type="dxa"/>
        <w:tblLayout w:type="fixed"/>
        <w:tblLook w:val="04A0" w:firstRow="1" w:lastRow="0" w:firstColumn="1" w:lastColumn="0" w:noHBand="0" w:noVBand="1"/>
      </w:tblPr>
      <w:tblGrid>
        <w:gridCol w:w="1134"/>
        <w:gridCol w:w="1701"/>
        <w:gridCol w:w="2127"/>
        <w:gridCol w:w="850"/>
        <w:gridCol w:w="1843"/>
        <w:gridCol w:w="3969"/>
      </w:tblGrid>
      <w:tr w:rsidR="00F257AC" w:rsidRPr="00F257AC" w14:paraId="4256040B" w14:textId="77777777" w:rsidTr="00D435E4">
        <w:trPr>
          <w:trHeight w:val="20"/>
          <w:tblHeader/>
        </w:trPr>
        <w:tc>
          <w:tcPr>
            <w:tcW w:w="1134" w:type="dxa"/>
            <w:tcBorders>
              <w:top w:val="nil"/>
              <w:left w:val="nil"/>
              <w:bottom w:val="single" w:sz="4" w:space="0" w:color="auto"/>
              <w:right w:val="nil"/>
            </w:tcBorders>
            <w:noWrap/>
            <w:vAlign w:val="center"/>
            <w:hideMark/>
          </w:tcPr>
          <w:p w14:paraId="6B3E53EF"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Module</w:t>
            </w:r>
          </w:p>
        </w:tc>
        <w:tc>
          <w:tcPr>
            <w:tcW w:w="1701" w:type="dxa"/>
            <w:tcBorders>
              <w:top w:val="nil"/>
              <w:left w:val="nil"/>
              <w:bottom w:val="single" w:sz="4" w:space="0" w:color="auto"/>
              <w:right w:val="nil"/>
            </w:tcBorders>
            <w:noWrap/>
            <w:vAlign w:val="center"/>
            <w:hideMark/>
          </w:tcPr>
          <w:p w14:paraId="5126E0A6"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Data</w:t>
            </w:r>
          </w:p>
        </w:tc>
        <w:tc>
          <w:tcPr>
            <w:tcW w:w="2127" w:type="dxa"/>
            <w:tcBorders>
              <w:top w:val="nil"/>
              <w:left w:val="nil"/>
              <w:bottom w:val="single" w:sz="4" w:space="0" w:color="auto"/>
              <w:right w:val="nil"/>
            </w:tcBorders>
            <w:noWrap/>
            <w:vAlign w:val="center"/>
            <w:hideMark/>
          </w:tcPr>
          <w:p w14:paraId="5B851EA3"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Source</w:t>
            </w:r>
          </w:p>
        </w:tc>
        <w:tc>
          <w:tcPr>
            <w:tcW w:w="850" w:type="dxa"/>
            <w:tcBorders>
              <w:top w:val="nil"/>
              <w:left w:val="nil"/>
              <w:bottom w:val="single" w:sz="4" w:space="0" w:color="auto"/>
              <w:right w:val="nil"/>
            </w:tcBorders>
            <w:noWrap/>
            <w:vAlign w:val="center"/>
            <w:hideMark/>
          </w:tcPr>
          <w:p w14:paraId="1CF5475B"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Time</w:t>
            </w:r>
          </w:p>
        </w:tc>
        <w:tc>
          <w:tcPr>
            <w:tcW w:w="1843" w:type="dxa"/>
            <w:tcBorders>
              <w:top w:val="nil"/>
              <w:left w:val="nil"/>
              <w:bottom w:val="single" w:sz="4" w:space="0" w:color="auto"/>
              <w:right w:val="nil"/>
            </w:tcBorders>
            <w:noWrap/>
            <w:vAlign w:val="center"/>
            <w:hideMark/>
          </w:tcPr>
          <w:p w14:paraId="08BF365E"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Spatial</w:t>
            </w:r>
          </w:p>
        </w:tc>
        <w:tc>
          <w:tcPr>
            <w:tcW w:w="3969" w:type="dxa"/>
            <w:tcBorders>
              <w:top w:val="nil"/>
              <w:left w:val="nil"/>
              <w:bottom w:val="single" w:sz="4" w:space="0" w:color="auto"/>
              <w:right w:val="nil"/>
            </w:tcBorders>
            <w:noWrap/>
            <w:vAlign w:val="center"/>
            <w:hideMark/>
          </w:tcPr>
          <w:p w14:paraId="2A95727E"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Details</w:t>
            </w:r>
          </w:p>
        </w:tc>
      </w:tr>
      <w:tr w:rsidR="00F257AC" w:rsidRPr="00F257AC" w14:paraId="7F4EF01A" w14:textId="77777777" w:rsidTr="00F257AC">
        <w:trPr>
          <w:trHeight w:val="20"/>
        </w:trPr>
        <w:tc>
          <w:tcPr>
            <w:tcW w:w="1134" w:type="dxa"/>
            <w:vMerge w:val="restart"/>
            <w:tcBorders>
              <w:top w:val="nil"/>
              <w:left w:val="nil"/>
              <w:bottom w:val="single" w:sz="4" w:space="0" w:color="000000"/>
              <w:right w:val="nil"/>
            </w:tcBorders>
            <w:noWrap/>
            <w:vAlign w:val="center"/>
            <w:hideMark/>
          </w:tcPr>
          <w:p w14:paraId="78E603A4"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Fleet Stock</w:t>
            </w:r>
          </w:p>
        </w:tc>
        <w:tc>
          <w:tcPr>
            <w:tcW w:w="1701" w:type="dxa"/>
            <w:tcBorders>
              <w:top w:val="nil"/>
              <w:left w:val="nil"/>
              <w:bottom w:val="single" w:sz="4" w:space="0" w:color="747474"/>
              <w:right w:val="nil"/>
            </w:tcBorders>
            <w:noWrap/>
            <w:vAlign w:val="center"/>
            <w:hideMark/>
          </w:tcPr>
          <w:p w14:paraId="2B26AF2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sales forecast</w:t>
            </w:r>
          </w:p>
        </w:tc>
        <w:tc>
          <w:tcPr>
            <w:tcW w:w="2127" w:type="dxa"/>
            <w:tcBorders>
              <w:top w:val="nil"/>
              <w:left w:val="nil"/>
              <w:bottom w:val="single" w:sz="4" w:space="0" w:color="747474"/>
              <w:right w:val="nil"/>
            </w:tcBorders>
            <w:noWrap/>
            <w:vAlign w:val="center"/>
            <w:hideMark/>
          </w:tcPr>
          <w:p w14:paraId="061944E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ICCT Roadmap v2.6 </w:t>
            </w:r>
            <w:sdt>
              <w:sdtPr>
                <w:rPr>
                  <w:rFonts w:ascii="Times New Roman" w:eastAsia="Times New Roman" w:hAnsi="Times New Roman" w:cs="Times New Roman"/>
                  <w:color w:val="000000"/>
                  <w:sz w:val="22"/>
                  <w:szCs w:val="22"/>
                </w:rPr>
                <w:tag w:val="MENDELEY_CITATION_v3_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"/>
                <w:id w:val="1681935420"/>
                <w:placeholder>
                  <w:docPart w:val="EC4D9B2BE559479E868646A605525C94"/>
                </w:placeholder>
              </w:sdtPr>
              <w:sdtContent>
                <w:r w:rsidRPr="00F257AC">
                  <w:rPr>
                    <w:rFonts w:ascii="Times New Roman" w:eastAsia="Times New Roman" w:hAnsi="Times New Roman" w:cs="Times New Roman"/>
                    <w:color w:val="000000"/>
                    <w:sz w:val="22"/>
                    <w:szCs w:val="22"/>
                  </w:rPr>
                  <w:t>(ICCT, 2024)</w:t>
                </w:r>
              </w:sdtContent>
            </w:sdt>
          </w:p>
        </w:tc>
        <w:tc>
          <w:tcPr>
            <w:tcW w:w="850" w:type="dxa"/>
            <w:tcBorders>
              <w:top w:val="nil"/>
              <w:left w:val="nil"/>
              <w:bottom w:val="single" w:sz="4" w:space="0" w:color="747474"/>
              <w:right w:val="nil"/>
            </w:tcBorders>
            <w:noWrap/>
            <w:vAlign w:val="center"/>
            <w:hideMark/>
          </w:tcPr>
          <w:p w14:paraId="1275297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2025-2050</w:t>
            </w:r>
          </w:p>
        </w:tc>
        <w:tc>
          <w:tcPr>
            <w:tcW w:w="1843" w:type="dxa"/>
            <w:tcBorders>
              <w:top w:val="nil"/>
              <w:left w:val="nil"/>
              <w:bottom w:val="single" w:sz="4" w:space="0" w:color="747474"/>
              <w:right w:val="nil"/>
            </w:tcBorders>
            <w:noWrap/>
            <w:vAlign w:val="center"/>
            <w:hideMark/>
          </w:tcPr>
          <w:p w14:paraId="33C36729"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US</w:t>
            </w:r>
          </w:p>
        </w:tc>
        <w:tc>
          <w:tcPr>
            <w:tcW w:w="3969" w:type="dxa"/>
            <w:tcBorders>
              <w:top w:val="nil"/>
              <w:left w:val="nil"/>
              <w:bottom w:val="single" w:sz="4" w:space="0" w:color="747474"/>
              <w:right w:val="nil"/>
            </w:tcBorders>
            <w:noWrap/>
            <w:vAlign w:val="center"/>
            <w:hideMark/>
          </w:tcPr>
          <w:p w14:paraId="6A594F9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"Ambitious" Scenario. 100% ZEV sales by 2040.</w:t>
            </w:r>
          </w:p>
        </w:tc>
      </w:tr>
      <w:tr w:rsidR="00F257AC" w:rsidRPr="00F257AC" w14:paraId="11339C38" w14:textId="77777777" w:rsidTr="00F257AC">
        <w:trPr>
          <w:trHeight w:val="20"/>
        </w:trPr>
        <w:tc>
          <w:tcPr>
            <w:tcW w:w="1134" w:type="dxa"/>
            <w:vMerge/>
            <w:tcBorders>
              <w:top w:val="nil"/>
              <w:left w:val="nil"/>
              <w:bottom w:val="single" w:sz="4" w:space="0" w:color="000000"/>
              <w:right w:val="nil"/>
            </w:tcBorders>
            <w:vAlign w:val="center"/>
            <w:hideMark/>
          </w:tcPr>
          <w:p w14:paraId="125E01A5"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3B71D58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Historical EV sales</w:t>
            </w:r>
          </w:p>
        </w:tc>
        <w:tc>
          <w:tcPr>
            <w:tcW w:w="2127" w:type="dxa"/>
            <w:tcBorders>
              <w:top w:val="single" w:sz="4" w:space="0" w:color="747474"/>
              <w:left w:val="nil"/>
              <w:bottom w:val="single" w:sz="4" w:space="0" w:color="747474"/>
              <w:right w:val="nil"/>
            </w:tcBorders>
            <w:noWrap/>
            <w:vAlign w:val="center"/>
            <w:hideMark/>
          </w:tcPr>
          <w:p w14:paraId="1918A96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AFDC &amp; </w:t>
            </w:r>
            <w:proofErr w:type="spellStart"/>
            <w:r w:rsidRPr="00F257AC">
              <w:rPr>
                <w:rFonts w:ascii="Times New Roman" w:eastAsia="Times New Roman" w:hAnsi="Times New Roman" w:cs="Times New Roman"/>
                <w:color w:val="000000"/>
                <w:sz w:val="22"/>
                <w:szCs w:val="22"/>
              </w:rPr>
              <w:t>EVVolumes</w:t>
            </w:r>
            <w:proofErr w:type="spellEnd"/>
            <w:r w:rsidRPr="00F257AC">
              <w:rPr>
                <w:rFonts w:ascii="Times New Roman" w:eastAsia="Times New Roman" w:hAnsi="Times New Roman" w:cs="Times New Roman"/>
                <w:color w:val="000000"/>
                <w:sz w:val="22"/>
                <w:szCs w:val="22"/>
              </w:rPr>
              <w:t xml:space="preserve"> </w:t>
            </w:r>
            <w:sdt>
              <w:sdtPr>
                <w:rPr>
                  <w:rFonts w:ascii="Times New Roman" w:eastAsia="Times New Roman" w:hAnsi="Times New Roman" w:cs="Times New Roman"/>
                  <w:color w:val="000000"/>
                  <w:sz w:val="22"/>
                  <w:szCs w:val="22"/>
                </w:rPr>
                <w:tag w:val="MENDELEY_CITATION_v3_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"/>
                <w:id w:val="-737394596"/>
                <w:placeholder>
                  <w:docPart w:val="EC4D9B2BE559479E868646A605525C94"/>
                </w:placeholder>
              </w:sdtPr>
              <w:sdtContent>
                <w:r w:rsidRPr="00F257AC">
                  <w:rPr>
                    <w:rFonts w:ascii="Times New Roman" w:eastAsia="Times New Roman" w:hAnsi="Times New Roman" w:cs="Times New Roman"/>
                    <w:color w:val="000000"/>
                    <w:sz w:val="22"/>
                    <w:szCs w:val="22"/>
                  </w:rPr>
                  <w:t>(DOE, 2024; J.D. Power, 2025)</w:t>
                </w:r>
              </w:sdtContent>
            </w:sdt>
          </w:p>
        </w:tc>
        <w:tc>
          <w:tcPr>
            <w:tcW w:w="850" w:type="dxa"/>
            <w:tcBorders>
              <w:top w:val="single" w:sz="4" w:space="0" w:color="747474"/>
              <w:left w:val="nil"/>
              <w:bottom w:val="single" w:sz="4" w:space="0" w:color="747474"/>
              <w:right w:val="nil"/>
            </w:tcBorders>
            <w:noWrap/>
            <w:vAlign w:val="center"/>
            <w:hideMark/>
          </w:tcPr>
          <w:p w14:paraId="6227B1B4"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2016-2024</w:t>
            </w:r>
          </w:p>
        </w:tc>
        <w:tc>
          <w:tcPr>
            <w:tcW w:w="1843" w:type="dxa"/>
            <w:tcBorders>
              <w:top w:val="single" w:sz="4" w:space="0" w:color="747474"/>
              <w:left w:val="nil"/>
              <w:bottom w:val="single" w:sz="4" w:space="0" w:color="747474"/>
              <w:right w:val="nil"/>
            </w:tcBorders>
            <w:noWrap/>
            <w:vAlign w:val="center"/>
            <w:hideMark/>
          </w:tcPr>
          <w:p w14:paraId="27D925B4"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State</w:t>
            </w:r>
          </w:p>
        </w:tc>
        <w:tc>
          <w:tcPr>
            <w:tcW w:w="3969" w:type="dxa"/>
            <w:tcBorders>
              <w:top w:val="single" w:sz="4" w:space="0" w:color="747474"/>
              <w:left w:val="nil"/>
              <w:bottom w:val="single" w:sz="4" w:space="0" w:color="747474"/>
              <w:right w:val="nil"/>
            </w:tcBorders>
            <w:noWrap/>
            <w:vAlign w:val="center"/>
            <w:hideMark/>
          </w:tcPr>
          <w:p w14:paraId="50881FAA"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EVVolumes</w:t>
            </w:r>
            <w:proofErr w:type="spellEnd"/>
            <w:r w:rsidRPr="00F257AC">
              <w:rPr>
                <w:rFonts w:ascii="Times New Roman" w:eastAsia="Times New Roman" w:hAnsi="Times New Roman" w:cs="Times New Roman"/>
                <w:color w:val="000000"/>
                <w:sz w:val="22"/>
                <w:szCs w:val="22"/>
              </w:rPr>
              <w:t xml:space="preserve"> has data on total US sales, AFDC provides EV registrations by state. </w:t>
            </w:r>
          </w:p>
        </w:tc>
      </w:tr>
      <w:tr w:rsidR="00F257AC" w:rsidRPr="00F257AC" w14:paraId="79BC6830" w14:textId="77777777" w:rsidTr="00F257AC">
        <w:trPr>
          <w:trHeight w:val="20"/>
        </w:trPr>
        <w:tc>
          <w:tcPr>
            <w:tcW w:w="1134" w:type="dxa"/>
            <w:vMerge/>
            <w:tcBorders>
              <w:top w:val="nil"/>
              <w:left w:val="nil"/>
              <w:bottom w:val="single" w:sz="4" w:space="0" w:color="000000"/>
              <w:right w:val="nil"/>
            </w:tcBorders>
            <w:vAlign w:val="center"/>
            <w:hideMark/>
          </w:tcPr>
          <w:p w14:paraId="03FCD38F"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auto"/>
              <w:right w:val="nil"/>
            </w:tcBorders>
            <w:noWrap/>
            <w:vAlign w:val="center"/>
            <w:hideMark/>
          </w:tcPr>
          <w:p w14:paraId="154CC5CE"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sales shares by type</w:t>
            </w:r>
          </w:p>
        </w:tc>
        <w:tc>
          <w:tcPr>
            <w:tcW w:w="2127" w:type="dxa"/>
            <w:tcBorders>
              <w:top w:val="single" w:sz="4" w:space="0" w:color="747474"/>
              <w:left w:val="nil"/>
              <w:bottom w:val="single" w:sz="4" w:space="0" w:color="auto"/>
              <w:right w:val="nil"/>
            </w:tcBorders>
            <w:noWrap/>
            <w:vAlign w:val="center"/>
            <w:hideMark/>
          </w:tcPr>
          <w:p w14:paraId="3D4D33C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EIA Annual Energy Outlook 2025. Table 38 </w:t>
            </w:r>
            <w:sdt>
              <w:sdtPr>
                <w:rPr>
                  <w:rFonts w:ascii="Times New Roman" w:eastAsia="Times New Roman" w:hAnsi="Times New Roman" w:cs="Times New Roman"/>
                  <w:color w:val="000000"/>
                  <w:sz w:val="22"/>
                  <w:szCs w:val="22"/>
                </w:rPr>
                <w:tag w:val="MENDELEY_CITATION_v3_eyJjaXRhdGlvbklEIjoiTUVOREVMRVlfQ0lUQVRJT05fZDA2YTQwZDAtY2EwMy00YjQ0LWIwOGQtNmZlZGJmNGFmNWFhIiwicHJvcGVydGllcyI6eyJub3RlSW5kZXgiOjB9LCJpc0VkaXRlZCI6ZmFsc2UsIm1hbnVhbE92ZXJyaWRlIjp7ImlzTWFudWFsbHlPdmVycmlkZGVuIjpmYWxzZSwiY2l0ZXByb2NUZXh0IjoiKEVJQSwgMjAyNWIpIi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1395112130"/>
                <w:placeholder>
                  <w:docPart w:val="EC4D9B2BE559479E868646A605525C94"/>
                </w:placeholder>
              </w:sdtPr>
              <w:sdtContent>
                <w:r w:rsidRPr="00F257AC">
                  <w:rPr>
                    <w:rFonts w:ascii="Times New Roman" w:eastAsia="Times New Roman" w:hAnsi="Times New Roman" w:cs="Times New Roman"/>
                    <w:color w:val="000000"/>
                    <w:sz w:val="22"/>
                    <w:szCs w:val="22"/>
                  </w:rPr>
                  <w:t>(EIA, 2025b)</w:t>
                </w:r>
              </w:sdtContent>
            </w:sdt>
          </w:p>
        </w:tc>
        <w:tc>
          <w:tcPr>
            <w:tcW w:w="850" w:type="dxa"/>
            <w:tcBorders>
              <w:top w:val="single" w:sz="4" w:space="0" w:color="747474"/>
              <w:left w:val="nil"/>
              <w:bottom w:val="single" w:sz="4" w:space="0" w:color="auto"/>
              <w:right w:val="nil"/>
            </w:tcBorders>
            <w:noWrap/>
            <w:vAlign w:val="center"/>
            <w:hideMark/>
          </w:tcPr>
          <w:p w14:paraId="55C8E94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2025-2050</w:t>
            </w:r>
          </w:p>
        </w:tc>
        <w:tc>
          <w:tcPr>
            <w:tcW w:w="1843" w:type="dxa"/>
            <w:tcBorders>
              <w:top w:val="single" w:sz="4" w:space="0" w:color="747474"/>
              <w:left w:val="nil"/>
              <w:bottom w:val="single" w:sz="4" w:space="0" w:color="auto"/>
              <w:right w:val="nil"/>
            </w:tcBorders>
            <w:noWrap/>
            <w:vAlign w:val="center"/>
            <w:hideMark/>
          </w:tcPr>
          <w:p w14:paraId="17AA56A3"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EIA Transport Region</w:t>
            </w:r>
          </w:p>
        </w:tc>
        <w:tc>
          <w:tcPr>
            <w:tcW w:w="3969" w:type="dxa"/>
            <w:tcBorders>
              <w:top w:val="single" w:sz="4" w:space="0" w:color="747474"/>
              <w:left w:val="nil"/>
              <w:bottom w:val="single" w:sz="4" w:space="0" w:color="auto"/>
              <w:right w:val="nil"/>
            </w:tcBorders>
            <w:noWrap/>
            <w:vAlign w:val="center"/>
            <w:hideMark/>
          </w:tcPr>
          <w:p w14:paraId="7CCA58C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Light-duty vehicle types: cars and light trucks.</w:t>
            </w:r>
          </w:p>
        </w:tc>
      </w:tr>
      <w:tr w:rsidR="00F257AC" w:rsidRPr="00F257AC" w14:paraId="428EC2C6" w14:textId="77777777" w:rsidTr="00F257AC">
        <w:trPr>
          <w:trHeight w:val="20"/>
        </w:trPr>
        <w:tc>
          <w:tcPr>
            <w:tcW w:w="1134" w:type="dxa"/>
            <w:vMerge w:val="restart"/>
            <w:tcBorders>
              <w:top w:val="nil"/>
              <w:left w:val="nil"/>
              <w:bottom w:val="single" w:sz="4" w:space="0" w:color="000000"/>
              <w:right w:val="nil"/>
            </w:tcBorders>
            <w:noWrap/>
            <w:vAlign w:val="center"/>
            <w:hideMark/>
          </w:tcPr>
          <w:p w14:paraId="4BF5E58F"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roofErr w:type="spellStart"/>
            <w:r w:rsidRPr="00F257AC">
              <w:rPr>
                <w:rFonts w:ascii="Times New Roman" w:eastAsia="Times New Roman" w:hAnsi="Times New Roman" w:cs="Times New Roman"/>
                <w:b/>
                <w:bCs/>
                <w:color w:val="000000"/>
                <w:sz w:val="22"/>
                <w:szCs w:val="22"/>
              </w:rPr>
              <w:t>Manufac-turing</w:t>
            </w:r>
            <w:proofErr w:type="spellEnd"/>
          </w:p>
        </w:tc>
        <w:tc>
          <w:tcPr>
            <w:tcW w:w="1701" w:type="dxa"/>
            <w:tcBorders>
              <w:top w:val="nil"/>
              <w:left w:val="nil"/>
              <w:bottom w:val="single" w:sz="4" w:space="0" w:color="747474"/>
              <w:right w:val="nil"/>
            </w:tcBorders>
            <w:noWrap/>
            <w:vAlign w:val="center"/>
            <w:hideMark/>
          </w:tcPr>
          <w:p w14:paraId="33747CF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manufacturing LCI</w:t>
            </w:r>
          </w:p>
        </w:tc>
        <w:tc>
          <w:tcPr>
            <w:tcW w:w="2127" w:type="dxa"/>
            <w:tcBorders>
              <w:top w:val="nil"/>
              <w:left w:val="nil"/>
              <w:bottom w:val="single" w:sz="4" w:space="0" w:color="747474"/>
              <w:right w:val="nil"/>
            </w:tcBorders>
            <w:noWrap/>
            <w:vAlign w:val="center"/>
            <w:hideMark/>
          </w:tcPr>
          <w:p w14:paraId="16EBA7D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NjkxYWFiYTktMzExMC00MTM4LWFlYTUtMjkxMWIyY2ZhOTY5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1653801984"/>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nil"/>
              <w:left w:val="nil"/>
              <w:bottom w:val="single" w:sz="4" w:space="0" w:color="747474"/>
              <w:right w:val="nil"/>
            </w:tcBorders>
            <w:noWrap/>
            <w:vAlign w:val="center"/>
            <w:hideMark/>
          </w:tcPr>
          <w:p w14:paraId="6991AF5A"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2000-2024</w:t>
            </w:r>
          </w:p>
        </w:tc>
        <w:tc>
          <w:tcPr>
            <w:tcW w:w="1843" w:type="dxa"/>
            <w:tcBorders>
              <w:top w:val="nil"/>
              <w:left w:val="nil"/>
              <w:bottom w:val="single" w:sz="4" w:space="0" w:color="747474"/>
              <w:right w:val="nil"/>
            </w:tcBorders>
            <w:noWrap/>
            <w:vAlign w:val="center"/>
            <w:hideMark/>
          </w:tcPr>
          <w:p w14:paraId="1500F2E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Global</w:t>
            </w:r>
          </w:p>
        </w:tc>
        <w:tc>
          <w:tcPr>
            <w:tcW w:w="3969" w:type="dxa"/>
            <w:tcBorders>
              <w:top w:val="nil"/>
              <w:left w:val="nil"/>
              <w:bottom w:val="single" w:sz="4" w:space="0" w:color="747474"/>
              <w:right w:val="nil"/>
            </w:tcBorders>
            <w:vAlign w:val="center"/>
            <w:hideMark/>
          </w:tcPr>
          <w:p w14:paraId="60734E46"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gramStart"/>
            <w:r w:rsidRPr="00F257AC">
              <w:rPr>
                <w:rFonts w:ascii="Times New Roman" w:eastAsia="Times New Roman" w:hAnsi="Times New Roman" w:cs="Times New Roman"/>
                <w:color w:val="000000"/>
                <w:sz w:val="22"/>
                <w:szCs w:val="22"/>
              </w:rPr>
              <w:t>passenger</w:t>
            </w:r>
            <w:proofErr w:type="gramEnd"/>
            <w:r w:rsidRPr="00F257AC">
              <w:rPr>
                <w:rFonts w:ascii="Times New Roman" w:eastAsia="Times New Roman" w:hAnsi="Times New Roman" w:cs="Times New Roman"/>
                <w:color w:val="000000"/>
                <w:sz w:val="22"/>
                <w:szCs w:val="22"/>
              </w:rPr>
              <w:t xml:space="preserve"> car production, petrol/natural gas; passenger car production, electric, without battery.</w:t>
            </w:r>
          </w:p>
        </w:tc>
      </w:tr>
      <w:tr w:rsidR="00F257AC" w:rsidRPr="00F257AC" w14:paraId="2D2F8C00" w14:textId="77777777" w:rsidTr="00F257AC">
        <w:trPr>
          <w:trHeight w:val="20"/>
        </w:trPr>
        <w:tc>
          <w:tcPr>
            <w:tcW w:w="1134" w:type="dxa"/>
            <w:vMerge/>
            <w:tcBorders>
              <w:top w:val="nil"/>
              <w:left w:val="nil"/>
              <w:bottom w:val="single" w:sz="4" w:space="0" w:color="000000"/>
              <w:right w:val="nil"/>
            </w:tcBorders>
            <w:vAlign w:val="center"/>
            <w:hideMark/>
          </w:tcPr>
          <w:p w14:paraId="79D2FC9E"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2E323FA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curb weight</w:t>
            </w:r>
          </w:p>
        </w:tc>
        <w:tc>
          <w:tcPr>
            <w:tcW w:w="2127" w:type="dxa"/>
            <w:tcBorders>
              <w:top w:val="single" w:sz="4" w:space="0" w:color="747474"/>
              <w:left w:val="nil"/>
              <w:bottom w:val="single" w:sz="4" w:space="0" w:color="747474"/>
              <w:right w:val="nil"/>
            </w:tcBorders>
            <w:noWrap/>
            <w:vAlign w:val="center"/>
            <w:hideMark/>
          </w:tcPr>
          <w:p w14:paraId="58C17024"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GREET </w:t>
            </w:r>
            <w:sdt>
              <w:sdtPr>
                <w:rPr>
                  <w:rFonts w:ascii="Times New Roman" w:eastAsia="Times New Roman" w:hAnsi="Times New Roman" w:cs="Times New Roman"/>
                  <w:color w:val="000000"/>
                  <w:sz w:val="22"/>
                  <w:szCs w:val="22"/>
                </w:rPr>
                <w:tag w:val="MENDELEY_CITATION_v3_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"/>
                <w:id w:val="1434861083"/>
                <w:placeholder>
                  <w:docPart w:val="EC4D9B2BE559479E868646A605525C94"/>
                </w:placeholder>
              </w:sdtPr>
              <w:sdtContent>
                <w:r w:rsidRPr="00F257AC">
                  <w:rPr>
                    <w:rFonts w:ascii="Times New Roman" w:eastAsia="Times New Roman" w:hAnsi="Times New Roman" w:cs="Times New Roman"/>
                    <w:color w:val="000000"/>
                    <w:sz w:val="22"/>
                    <w:szCs w:val="22"/>
                  </w:rPr>
                  <w:t>(Argonne National Laboratory, 2024)</w:t>
                </w:r>
              </w:sdtContent>
            </w:sdt>
          </w:p>
        </w:tc>
        <w:tc>
          <w:tcPr>
            <w:tcW w:w="850" w:type="dxa"/>
            <w:tcBorders>
              <w:top w:val="single" w:sz="4" w:space="0" w:color="747474"/>
              <w:left w:val="nil"/>
              <w:bottom w:val="single" w:sz="4" w:space="0" w:color="747474"/>
              <w:right w:val="nil"/>
            </w:tcBorders>
            <w:noWrap/>
            <w:vAlign w:val="center"/>
            <w:hideMark/>
          </w:tcPr>
          <w:p w14:paraId="0FF7F9EF"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2024</w:t>
            </w:r>
          </w:p>
        </w:tc>
        <w:tc>
          <w:tcPr>
            <w:tcW w:w="1843" w:type="dxa"/>
            <w:tcBorders>
              <w:top w:val="single" w:sz="4" w:space="0" w:color="747474"/>
              <w:left w:val="nil"/>
              <w:bottom w:val="single" w:sz="4" w:space="0" w:color="747474"/>
              <w:right w:val="nil"/>
            </w:tcBorders>
            <w:noWrap/>
            <w:vAlign w:val="center"/>
            <w:hideMark/>
          </w:tcPr>
          <w:p w14:paraId="373C0C0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US</w:t>
            </w:r>
          </w:p>
        </w:tc>
        <w:tc>
          <w:tcPr>
            <w:tcW w:w="3969" w:type="dxa"/>
            <w:tcBorders>
              <w:top w:val="single" w:sz="4" w:space="0" w:color="747474"/>
              <w:left w:val="nil"/>
              <w:bottom w:val="single" w:sz="4" w:space="0" w:color="747474"/>
              <w:right w:val="nil"/>
            </w:tcBorders>
            <w:noWrap/>
            <w:vAlign w:val="center"/>
            <w:hideMark/>
          </w:tcPr>
          <w:p w14:paraId="15A6705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Not including battery.</w:t>
            </w:r>
          </w:p>
        </w:tc>
      </w:tr>
      <w:tr w:rsidR="00F257AC" w:rsidRPr="00F257AC" w14:paraId="1C217621" w14:textId="77777777" w:rsidTr="00F257AC">
        <w:trPr>
          <w:trHeight w:val="20"/>
        </w:trPr>
        <w:tc>
          <w:tcPr>
            <w:tcW w:w="1134" w:type="dxa"/>
            <w:vMerge/>
            <w:tcBorders>
              <w:top w:val="nil"/>
              <w:left w:val="nil"/>
              <w:bottom w:val="single" w:sz="4" w:space="0" w:color="000000"/>
              <w:right w:val="nil"/>
            </w:tcBorders>
            <w:vAlign w:val="center"/>
            <w:hideMark/>
          </w:tcPr>
          <w:p w14:paraId="141A94CC"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5ACB23CF"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Battery manufacturing LCI</w:t>
            </w:r>
          </w:p>
        </w:tc>
        <w:tc>
          <w:tcPr>
            <w:tcW w:w="2127" w:type="dxa"/>
            <w:tcBorders>
              <w:top w:val="single" w:sz="4" w:space="0" w:color="747474"/>
              <w:left w:val="nil"/>
              <w:bottom w:val="single" w:sz="4" w:space="0" w:color="747474"/>
              <w:right w:val="nil"/>
            </w:tcBorders>
            <w:noWrap/>
            <w:vAlign w:val="center"/>
            <w:hideMark/>
          </w:tcPr>
          <w:p w14:paraId="3E29A3E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ZTUwYTA5ZGUtZmE3Zi00OTE1LThkZWQtODAxMDgwZGZjNGI4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32936055"/>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747474"/>
              <w:right w:val="nil"/>
            </w:tcBorders>
            <w:noWrap/>
            <w:vAlign w:val="center"/>
            <w:hideMark/>
          </w:tcPr>
          <w:p w14:paraId="5E81976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2017-2025</w:t>
            </w:r>
          </w:p>
        </w:tc>
        <w:tc>
          <w:tcPr>
            <w:tcW w:w="1843" w:type="dxa"/>
            <w:tcBorders>
              <w:top w:val="single" w:sz="4" w:space="0" w:color="747474"/>
              <w:left w:val="nil"/>
              <w:bottom w:val="single" w:sz="4" w:space="0" w:color="747474"/>
              <w:right w:val="nil"/>
            </w:tcBorders>
            <w:noWrap/>
            <w:vAlign w:val="center"/>
            <w:hideMark/>
          </w:tcPr>
          <w:p w14:paraId="2C99428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China</w:t>
            </w:r>
          </w:p>
        </w:tc>
        <w:tc>
          <w:tcPr>
            <w:tcW w:w="3969" w:type="dxa"/>
            <w:tcBorders>
              <w:top w:val="single" w:sz="4" w:space="0" w:color="747474"/>
              <w:left w:val="nil"/>
              <w:bottom w:val="single" w:sz="4" w:space="0" w:color="747474"/>
              <w:right w:val="nil"/>
            </w:tcBorders>
            <w:vAlign w:val="center"/>
            <w:hideMark/>
          </w:tcPr>
          <w:p w14:paraId="0E98EF5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battery production, Li-ion, rechargeable for LFP, NCA, NMC111, NMC532, NMC622, NMC811.</w:t>
            </w:r>
          </w:p>
        </w:tc>
      </w:tr>
      <w:tr w:rsidR="00F257AC" w:rsidRPr="00F257AC" w14:paraId="6351A47D" w14:textId="77777777" w:rsidTr="00F257AC">
        <w:trPr>
          <w:trHeight w:val="20"/>
        </w:trPr>
        <w:tc>
          <w:tcPr>
            <w:tcW w:w="1134" w:type="dxa"/>
            <w:vMerge/>
            <w:tcBorders>
              <w:top w:val="nil"/>
              <w:left w:val="nil"/>
              <w:bottom w:val="single" w:sz="4" w:space="0" w:color="000000"/>
              <w:right w:val="nil"/>
            </w:tcBorders>
            <w:vAlign w:val="center"/>
            <w:hideMark/>
          </w:tcPr>
          <w:p w14:paraId="4ABD8DF4"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auto"/>
              <w:right w:val="nil"/>
            </w:tcBorders>
            <w:noWrap/>
            <w:vAlign w:val="center"/>
            <w:hideMark/>
          </w:tcPr>
          <w:p w14:paraId="64FBABCB"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Battery capacity</w:t>
            </w:r>
          </w:p>
        </w:tc>
        <w:tc>
          <w:tcPr>
            <w:tcW w:w="2127" w:type="dxa"/>
            <w:tcBorders>
              <w:top w:val="single" w:sz="4" w:space="0" w:color="747474"/>
              <w:left w:val="nil"/>
              <w:bottom w:val="single" w:sz="4" w:space="0" w:color="auto"/>
              <w:right w:val="nil"/>
            </w:tcBorders>
            <w:noWrap/>
            <w:vAlign w:val="center"/>
            <w:hideMark/>
          </w:tcPr>
          <w:p w14:paraId="25FA890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EV Volumes </w:t>
            </w:r>
            <w:sdt>
              <w:sdtPr>
                <w:rPr>
                  <w:rFonts w:ascii="Times New Roman" w:eastAsia="Times New Roman" w:hAnsi="Times New Roman" w:cs="Times New Roman"/>
                  <w:color w:val="000000"/>
                  <w:sz w:val="22"/>
                  <w:szCs w:val="22"/>
                </w:rPr>
                <w:tag w:val="MENDELEY_CITATION_v3_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"/>
                <w:id w:val="-625850762"/>
                <w:placeholder>
                  <w:docPart w:val="EC4D9B2BE559479E868646A605525C94"/>
                </w:placeholder>
              </w:sdtPr>
              <w:sdtContent>
                <w:r w:rsidRPr="00F257AC">
                  <w:rPr>
                    <w:rFonts w:ascii="Times New Roman" w:eastAsia="Times New Roman" w:hAnsi="Times New Roman" w:cs="Times New Roman"/>
                    <w:color w:val="000000"/>
                    <w:sz w:val="22"/>
                    <w:szCs w:val="22"/>
                  </w:rPr>
                  <w:t>(J.D. Power, 2025)</w:t>
                </w:r>
              </w:sdtContent>
            </w:sdt>
          </w:p>
        </w:tc>
        <w:tc>
          <w:tcPr>
            <w:tcW w:w="850" w:type="dxa"/>
            <w:tcBorders>
              <w:top w:val="single" w:sz="4" w:space="0" w:color="747474"/>
              <w:left w:val="nil"/>
              <w:bottom w:val="single" w:sz="4" w:space="0" w:color="auto"/>
              <w:right w:val="nil"/>
            </w:tcBorders>
            <w:noWrap/>
            <w:vAlign w:val="center"/>
            <w:hideMark/>
          </w:tcPr>
          <w:p w14:paraId="1766A15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2024</w:t>
            </w:r>
          </w:p>
        </w:tc>
        <w:tc>
          <w:tcPr>
            <w:tcW w:w="1843" w:type="dxa"/>
            <w:tcBorders>
              <w:top w:val="single" w:sz="4" w:space="0" w:color="747474"/>
              <w:left w:val="nil"/>
              <w:bottom w:val="single" w:sz="4" w:space="0" w:color="auto"/>
              <w:right w:val="nil"/>
            </w:tcBorders>
            <w:noWrap/>
            <w:vAlign w:val="center"/>
            <w:hideMark/>
          </w:tcPr>
          <w:p w14:paraId="57474B8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US</w:t>
            </w:r>
          </w:p>
        </w:tc>
        <w:tc>
          <w:tcPr>
            <w:tcW w:w="3969" w:type="dxa"/>
            <w:tcBorders>
              <w:top w:val="single" w:sz="4" w:space="0" w:color="747474"/>
              <w:left w:val="nil"/>
              <w:bottom w:val="single" w:sz="4" w:space="0" w:color="auto"/>
              <w:right w:val="nil"/>
            </w:tcBorders>
            <w:noWrap/>
            <w:vAlign w:val="center"/>
            <w:hideMark/>
          </w:tcPr>
          <w:p w14:paraId="6528A513"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By vehicle type.</w:t>
            </w:r>
          </w:p>
        </w:tc>
      </w:tr>
      <w:tr w:rsidR="00F257AC" w:rsidRPr="00F257AC" w14:paraId="6CC6FF38" w14:textId="77777777" w:rsidTr="00F257AC">
        <w:trPr>
          <w:trHeight w:val="20"/>
        </w:trPr>
        <w:tc>
          <w:tcPr>
            <w:tcW w:w="1134" w:type="dxa"/>
            <w:vMerge w:val="restart"/>
            <w:tcBorders>
              <w:top w:val="nil"/>
              <w:left w:val="nil"/>
              <w:bottom w:val="single" w:sz="4" w:space="0" w:color="000000"/>
              <w:right w:val="nil"/>
            </w:tcBorders>
            <w:noWrap/>
            <w:vAlign w:val="center"/>
            <w:hideMark/>
          </w:tcPr>
          <w:p w14:paraId="4E204067"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Vehicle Driving</w:t>
            </w:r>
          </w:p>
        </w:tc>
        <w:tc>
          <w:tcPr>
            <w:tcW w:w="1701" w:type="dxa"/>
            <w:tcBorders>
              <w:top w:val="nil"/>
              <w:left w:val="nil"/>
              <w:bottom w:val="single" w:sz="4" w:space="0" w:color="747474"/>
              <w:right w:val="nil"/>
            </w:tcBorders>
            <w:noWrap/>
            <w:vAlign w:val="center"/>
            <w:hideMark/>
          </w:tcPr>
          <w:p w14:paraId="465385F6"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energy consumption</w:t>
            </w:r>
          </w:p>
        </w:tc>
        <w:tc>
          <w:tcPr>
            <w:tcW w:w="2127" w:type="dxa"/>
            <w:tcBorders>
              <w:top w:val="nil"/>
              <w:left w:val="nil"/>
              <w:bottom w:val="single" w:sz="4" w:space="0" w:color="747474"/>
              <w:right w:val="nil"/>
            </w:tcBorders>
            <w:noWrap/>
            <w:vAlign w:val="center"/>
            <w:hideMark/>
          </w:tcPr>
          <w:p w14:paraId="0D47005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bookmarkStart w:id="1" w:name="_Hlk212039492"/>
            <w:r w:rsidRPr="00F257AC">
              <w:rPr>
                <w:rFonts w:ascii="Times New Roman" w:eastAsia="Times New Roman" w:hAnsi="Times New Roman" w:cs="Times New Roman"/>
                <w:color w:val="000000"/>
                <w:sz w:val="22"/>
                <w:szCs w:val="22"/>
              </w:rPr>
              <w:t>EIA Annual Energy Outlook 2025. Table 40.</w:t>
            </w:r>
            <w:bookmarkEnd w:id="1"/>
            <w:r w:rsidRPr="00F257AC">
              <w:rPr>
                <w:rFonts w:ascii="Times New Roman" w:eastAsia="Times New Roman" w:hAnsi="Times New Roman" w:cs="Times New Roman"/>
                <w:color w:val="000000"/>
                <w:sz w:val="22"/>
                <w:szCs w:val="22"/>
              </w:rPr>
              <w:t xml:space="preserve"> </w:t>
            </w:r>
            <w:sdt>
              <w:sdtPr>
                <w:rPr>
                  <w:rFonts w:ascii="Times New Roman" w:eastAsia="Times New Roman" w:hAnsi="Times New Roman" w:cs="Times New Roman"/>
                  <w:color w:val="000000"/>
                  <w:sz w:val="22"/>
                  <w:szCs w:val="22"/>
                </w:rPr>
                <w:tag w:val="MENDELEY_CITATION_v3_eyJjaXRhdGlvbklEIjoiTUVOREVMRVlfQ0lUQVRJT05fZTY5OGFkNWEtMDc5My00YTc3LWFhMjQtMzNjNjdkYjYwZGQ3IiwicHJvcGVydGllcyI6eyJub3RlSW5kZXgiOjB9LCJpc0VkaXRlZCI6ZmFsc2UsIm1hbnVhbE92ZXJyaWRlIjp7ImlzTWFudWFsbHlPdmVycmlkZGVuIjpmYWxzZSwiY2l0ZXByb2NUZXh0IjoiKEVJQSwgMjAyNWIpIi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1992247643"/>
                <w:placeholder>
                  <w:docPart w:val="EC4D9B2BE559479E868646A605525C94"/>
                </w:placeholder>
              </w:sdtPr>
              <w:sdtContent>
                <w:r w:rsidRPr="00F257AC">
                  <w:rPr>
                    <w:rFonts w:ascii="Times New Roman" w:eastAsia="Times New Roman" w:hAnsi="Times New Roman" w:cs="Times New Roman"/>
                    <w:color w:val="000000"/>
                    <w:sz w:val="22"/>
                    <w:szCs w:val="22"/>
                  </w:rPr>
                  <w:t>(EIA, 2025b)</w:t>
                </w:r>
              </w:sdtContent>
            </w:sdt>
          </w:p>
        </w:tc>
        <w:tc>
          <w:tcPr>
            <w:tcW w:w="850" w:type="dxa"/>
            <w:tcBorders>
              <w:top w:val="nil"/>
              <w:left w:val="nil"/>
              <w:bottom w:val="single" w:sz="4" w:space="0" w:color="747474"/>
              <w:right w:val="nil"/>
            </w:tcBorders>
            <w:noWrap/>
            <w:vAlign w:val="center"/>
            <w:hideMark/>
          </w:tcPr>
          <w:p w14:paraId="77E4D88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2025-2050</w:t>
            </w:r>
          </w:p>
        </w:tc>
        <w:tc>
          <w:tcPr>
            <w:tcW w:w="1843" w:type="dxa"/>
            <w:tcBorders>
              <w:top w:val="nil"/>
              <w:left w:val="nil"/>
              <w:bottom w:val="single" w:sz="4" w:space="0" w:color="747474"/>
              <w:right w:val="nil"/>
            </w:tcBorders>
            <w:noWrap/>
            <w:vAlign w:val="center"/>
            <w:hideMark/>
          </w:tcPr>
          <w:p w14:paraId="2152B0F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US</w:t>
            </w:r>
          </w:p>
        </w:tc>
        <w:tc>
          <w:tcPr>
            <w:tcW w:w="3969" w:type="dxa"/>
            <w:tcBorders>
              <w:top w:val="nil"/>
              <w:left w:val="nil"/>
              <w:bottom w:val="single" w:sz="4" w:space="0" w:color="747474"/>
              <w:right w:val="nil"/>
            </w:tcBorders>
            <w:noWrap/>
            <w:vAlign w:val="center"/>
            <w:hideMark/>
          </w:tcPr>
          <w:p w14:paraId="7C5BE75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Reference case.</w:t>
            </w:r>
          </w:p>
        </w:tc>
      </w:tr>
      <w:tr w:rsidR="00F257AC" w:rsidRPr="00F257AC" w14:paraId="3A60CAEA" w14:textId="77777777" w:rsidTr="00F257AC">
        <w:trPr>
          <w:trHeight w:val="20"/>
        </w:trPr>
        <w:tc>
          <w:tcPr>
            <w:tcW w:w="1134" w:type="dxa"/>
            <w:vMerge/>
            <w:tcBorders>
              <w:top w:val="nil"/>
              <w:left w:val="nil"/>
              <w:bottom w:val="single" w:sz="4" w:space="0" w:color="000000"/>
              <w:right w:val="nil"/>
            </w:tcBorders>
            <w:vAlign w:val="center"/>
            <w:hideMark/>
          </w:tcPr>
          <w:p w14:paraId="293A090C"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3279D50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Temperature adjustment factors</w:t>
            </w:r>
          </w:p>
        </w:tc>
        <w:tc>
          <w:tcPr>
            <w:tcW w:w="2127" w:type="dxa"/>
            <w:tcBorders>
              <w:top w:val="single" w:sz="4" w:space="0" w:color="747474"/>
              <w:left w:val="nil"/>
              <w:bottom w:val="single" w:sz="4" w:space="0" w:color="747474"/>
              <w:right w:val="nil"/>
            </w:tcBorders>
            <w:noWrap/>
            <w:vAlign w:val="center"/>
            <w:hideMark/>
          </w:tcPr>
          <w:p w14:paraId="06EDFB7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Woody et al, 2022 (10.1088/1748-9326/ac5142) (SI Figure S3) </w:t>
            </w:r>
            <w:sdt>
              <w:sdtPr>
                <w:rPr>
                  <w:rFonts w:ascii="Times New Roman" w:eastAsia="Times New Roman" w:hAnsi="Times New Roman" w:cs="Times New Roman"/>
                  <w:color w:val="000000"/>
                  <w:sz w:val="22"/>
                  <w:szCs w:val="22"/>
                </w:rPr>
                <w:tag w:val="MENDELEY_CITATION_v3_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"/>
                <w:id w:val="962842979"/>
                <w:placeholder>
                  <w:docPart w:val="EC4D9B2BE559479E868646A605525C94"/>
                </w:placeholder>
              </w:sdtPr>
              <w:sdtContent>
                <w:r w:rsidRPr="00F257AC">
                  <w:rPr>
                    <w:rFonts w:ascii="Times New Roman" w:eastAsia="Times New Roman" w:hAnsi="Times New Roman" w:cs="Times New Roman"/>
                    <w:color w:val="000000"/>
                    <w:sz w:val="22"/>
                    <w:szCs w:val="22"/>
                  </w:rPr>
                  <w:t>(Woody et al., 2022)</w:t>
                </w:r>
              </w:sdtContent>
            </w:sdt>
          </w:p>
        </w:tc>
        <w:tc>
          <w:tcPr>
            <w:tcW w:w="850" w:type="dxa"/>
            <w:tcBorders>
              <w:top w:val="single" w:sz="4" w:space="0" w:color="747474"/>
              <w:left w:val="nil"/>
              <w:bottom w:val="single" w:sz="4" w:space="0" w:color="747474"/>
              <w:right w:val="nil"/>
            </w:tcBorders>
            <w:noWrap/>
            <w:vAlign w:val="center"/>
            <w:hideMark/>
          </w:tcPr>
          <w:p w14:paraId="72D56F4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2016-2020</w:t>
            </w:r>
          </w:p>
        </w:tc>
        <w:tc>
          <w:tcPr>
            <w:tcW w:w="1843" w:type="dxa"/>
            <w:tcBorders>
              <w:top w:val="single" w:sz="4" w:space="0" w:color="747474"/>
              <w:left w:val="nil"/>
              <w:bottom w:val="single" w:sz="4" w:space="0" w:color="747474"/>
              <w:right w:val="nil"/>
            </w:tcBorders>
            <w:noWrap/>
            <w:vAlign w:val="center"/>
            <w:hideMark/>
          </w:tcPr>
          <w:p w14:paraId="011AEF9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County</w:t>
            </w:r>
          </w:p>
        </w:tc>
        <w:tc>
          <w:tcPr>
            <w:tcW w:w="3969" w:type="dxa"/>
            <w:tcBorders>
              <w:top w:val="single" w:sz="4" w:space="0" w:color="747474"/>
              <w:left w:val="nil"/>
              <w:bottom w:val="single" w:sz="4" w:space="0" w:color="747474"/>
              <w:right w:val="nil"/>
            </w:tcBorders>
            <w:noWrap/>
            <w:vAlign w:val="center"/>
            <w:hideMark/>
          </w:tcPr>
          <w:p w14:paraId="0165D31E"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Changes in vehicle energy consumption due to monthly temperature variation.</w:t>
            </w:r>
          </w:p>
        </w:tc>
      </w:tr>
      <w:tr w:rsidR="00F257AC" w:rsidRPr="00F257AC" w14:paraId="0CEDCAE7" w14:textId="77777777" w:rsidTr="00F257AC">
        <w:trPr>
          <w:trHeight w:val="20"/>
        </w:trPr>
        <w:tc>
          <w:tcPr>
            <w:tcW w:w="1134" w:type="dxa"/>
            <w:vMerge/>
            <w:tcBorders>
              <w:top w:val="nil"/>
              <w:left w:val="nil"/>
              <w:bottom w:val="single" w:sz="4" w:space="0" w:color="000000"/>
              <w:right w:val="nil"/>
            </w:tcBorders>
            <w:vAlign w:val="center"/>
            <w:hideMark/>
          </w:tcPr>
          <w:p w14:paraId="2E554E02"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199E6989"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Annual vehicle miles traveled</w:t>
            </w:r>
          </w:p>
        </w:tc>
        <w:tc>
          <w:tcPr>
            <w:tcW w:w="2127" w:type="dxa"/>
            <w:tcBorders>
              <w:top w:val="single" w:sz="4" w:space="0" w:color="747474"/>
              <w:left w:val="nil"/>
              <w:bottom w:val="single" w:sz="4" w:space="0" w:color="747474"/>
              <w:right w:val="nil"/>
            </w:tcBorders>
            <w:noWrap/>
            <w:vAlign w:val="center"/>
            <w:hideMark/>
          </w:tcPr>
          <w:p w14:paraId="6D43793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Transportation Energy Data Book </w:t>
            </w:r>
            <w:sdt>
              <w:sdtPr>
                <w:rPr>
                  <w:rFonts w:ascii="Times New Roman" w:eastAsia="Times New Roman" w:hAnsi="Times New Roman" w:cs="Times New Roman"/>
                  <w:color w:val="000000"/>
                  <w:sz w:val="22"/>
                  <w:szCs w:val="22"/>
                </w:rPr>
                <w:tag w:val="MENDELEY_CITATION_v3_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"/>
                <w:id w:val="-1441985059"/>
                <w:placeholder>
                  <w:docPart w:val="EC4D9B2BE559479E868646A605525C94"/>
                </w:placeholder>
              </w:sdtPr>
              <w:sdtContent>
                <w:r w:rsidRPr="00F257AC">
                  <w:rPr>
                    <w:rFonts w:ascii="Times New Roman" w:eastAsia="Times New Roman" w:hAnsi="Times New Roman" w:cs="Times New Roman"/>
                    <w:color w:val="000000"/>
                    <w:sz w:val="22"/>
                  </w:rPr>
                  <w:t>(Davis &amp; Boundy, 2022)</w:t>
                </w:r>
              </w:sdtContent>
            </w:sdt>
            <w:r w:rsidRPr="00F257AC">
              <w:rPr>
                <w:rFonts w:ascii="Times New Roman" w:eastAsia="Times New Roman" w:hAnsi="Times New Roman" w:cs="Times New Roman"/>
                <w:color w:val="000000"/>
                <w:sz w:val="22"/>
                <w:szCs w:val="22"/>
              </w:rPr>
              <w:t xml:space="preserve"> </w:t>
            </w:r>
          </w:p>
        </w:tc>
        <w:tc>
          <w:tcPr>
            <w:tcW w:w="850" w:type="dxa"/>
            <w:tcBorders>
              <w:top w:val="single" w:sz="4" w:space="0" w:color="747474"/>
              <w:left w:val="nil"/>
              <w:bottom w:val="single" w:sz="4" w:space="0" w:color="747474"/>
              <w:right w:val="nil"/>
            </w:tcBorders>
            <w:noWrap/>
            <w:vAlign w:val="center"/>
            <w:hideMark/>
          </w:tcPr>
          <w:p w14:paraId="508D577E"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2022</w:t>
            </w:r>
          </w:p>
        </w:tc>
        <w:tc>
          <w:tcPr>
            <w:tcW w:w="1843" w:type="dxa"/>
            <w:tcBorders>
              <w:top w:val="single" w:sz="4" w:space="0" w:color="747474"/>
              <w:left w:val="nil"/>
              <w:bottom w:val="single" w:sz="4" w:space="0" w:color="747474"/>
              <w:right w:val="nil"/>
            </w:tcBorders>
            <w:noWrap/>
            <w:vAlign w:val="center"/>
            <w:hideMark/>
          </w:tcPr>
          <w:p w14:paraId="59625F0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US</w:t>
            </w:r>
          </w:p>
        </w:tc>
        <w:tc>
          <w:tcPr>
            <w:tcW w:w="3969" w:type="dxa"/>
            <w:tcBorders>
              <w:top w:val="single" w:sz="4" w:space="0" w:color="747474"/>
              <w:left w:val="nil"/>
              <w:bottom w:val="single" w:sz="4" w:space="0" w:color="747474"/>
              <w:right w:val="nil"/>
            </w:tcBorders>
            <w:noWrap/>
            <w:vAlign w:val="center"/>
            <w:hideMark/>
          </w:tcPr>
          <w:p w14:paraId="2DE38839"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By vehicle age and vehicle type.</w:t>
            </w:r>
          </w:p>
        </w:tc>
      </w:tr>
      <w:tr w:rsidR="00F257AC" w:rsidRPr="00F257AC" w14:paraId="10D0ECFE" w14:textId="77777777" w:rsidTr="00F257AC">
        <w:trPr>
          <w:trHeight w:val="20"/>
        </w:trPr>
        <w:tc>
          <w:tcPr>
            <w:tcW w:w="1134" w:type="dxa"/>
            <w:vMerge/>
            <w:tcBorders>
              <w:top w:val="nil"/>
              <w:left w:val="nil"/>
              <w:bottom w:val="single" w:sz="4" w:space="0" w:color="000000"/>
              <w:right w:val="nil"/>
            </w:tcBorders>
            <w:vAlign w:val="center"/>
            <w:hideMark/>
          </w:tcPr>
          <w:p w14:paraId="198DAB61"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6AF46933"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Electricity upstream LCI</w:t>
            </w:r>
          </w:p>
        </w:tc>
        <w:tc>
          <w:tcPr>
            <w:tcW w:w="2127" w:type="dxa"/>
            <w:tcBorders>
              <w:top w:val="single" w:sz="4" w:space="0" w:color="747474"/>
              <w:left w:val="nil"/>
              <w:bottom w:val="single" w:sz="4" w:space="0" w:color="747474"/>
              <w:right w:val="nil"/>
            </w:tcBorders>
            <w:noWrap/>
            <w:vAlign w:val="center"/>
            <w:hideMark/>
          </w:tcPr>
          <w:p w14:paraId="3D74B5E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YmY2YWFhZDAtNGQ5NC00MzQ5LTgyOTMtZWE4OTE5MzYyZDll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2013416261"/>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747474"/>
              <w:right w:val="nil"/>
            </w:tcBorders>
            <w:noWrap/>
            <w:vAlign w:val="center"/>
            <w:hideMark/>
          </w:tcPr>
          <w:p w14:paraId="41721F0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1980-2024</w:t>
            </w:r>
          </w:p>
        </w:tc>
        <w:tc>
          <w:tcPr>
            <w:tcW w:w="1843" w:type="dxa"/>
            <w:tcBorders>
              <w:top w:val="single" w:sz="4" w:space="0" w:color="747474"/>
              <w:left w:val="nil"/>
              <w:bottom w:val="single" w:sz="4" w:space="0" w:color="747474"/>
              <w:right w:val="nil"/>
            </w:tcBorders>
            <w:noWrap/>
            <w:vAlign w:val="center"/>
            <w:hideMark/>
          </w:tcPr>
          <w:p w14:paraId="521D226A"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Electricity Market Module regions</w:t>
            </w:r>
          </w:p>
        </w:tc>
        <w:tc>
          <w:tcPr>
            <w:tcW w:w="3969" w:type="dxa"/>
            <w:tcBorders>
              <w:top w:val="single" w:sz="4" w:space="0" w:color="747474"/>
              <w:left w:val="nil"/>
              <w:bottom w:val="single" w:sz="4" w:space="0" w:color="747474"/>
              <w:right w:val="nil"/>
            </w:tcBorders>
            <w:noWrap/>
            <w:vAlign w:val="center"/>
            <w:hideMark/>
          </w:tcPr>
          <w:p w14:paraId="42BE124D"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By energy source type (see Table S2 for further </w:t>
            </w:r>
            <w:proofErr w:type="gramStart"/>
            <w:r w:rsidRPr="00F257AC">
              <w:rPr>
                <w:rFonts w:ascii="Times New Roman" w:eastAsia="Times New Roman" w:hAnsi="Times New Roman" w:cs="Times New Roman"/>
                <w:color w:val="000000"/>
                <w:sz w:val="22"/>
                <w:szCs w:val="22"/>
              </w:rPr>
              <w:t>detail</w:t>
            </w:r>
            <w:proofErr w:type="gramEnd"/>
            <w:r w:rsidRPr="00F257AC">
              <w:rPr>
                <w:rFonts w:ascii="Times New Roman" w:eastAsia="Times New Roman" w:hAnsi="Times New Roman" w:cs="Times New Roman"/>
                <w:color w:val="000000"/>
                <w:sz w:val="22"/>
                <w:szCs w:val="22"/>
              </w:rPr>
              <w:t>).</w:t>
            </w:r>
          </w:p>
        </w:tc>
      </w:tr>
      <w:tr w:rsidR="00F257AC" w:rsidRPr="00F257AC" w14:paraId="363CE99D" w14:textId="77777777" w:rsidTr="00F257AC">
        <w:trPr>
          <w:trHeight w:val="20"/>
        </w:trPr>
        <w:tc>
          <w:tcPr>
            <w:tcW w:w="1134" w:type="dxa"/>
            <w:vMerge/>
            <w:tcBorders>
              <w:top w:val="nil"/>
              <w:left w:val="nil"/>
              <w:bottom w:val="single" w:sz="4" w:space="0" w:color="000000"/>
              <w:right w:val="nil"/>
            </w:tcBorders>
            <w:vAlign w:val="center"/>
            <w:hideMark/>
          </w:tcPr>
          <w:p w14:paraId="3A2077A8"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0A9B486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Electricity grid generation share</w:t>
            </w:r>
          </w:p>
        </w:tc>
        <w:tc>
          <w:tcPr>
            <w:tcW w:w="2127" w:type="dxa"/>
            <w:tcBorders>
              <w:top w:val="single" w:sz="4" w:space="0" w:color="747474"/>
              <w:left w:val="nil"/>
              <w:bottom w:val="single" w:sz="4" w:space="0" w:color="747474"/>
              <w:right w:val="nil"/>
            </w:tcBorders>
            <w:vAlign w:val="center"/>
            <w:hideMark/>
          </w:tcPr>
          <w:p w14:paraId="0234EE7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EIA Annual Energy Outlook 2025. Table 54 and Table 56. </w:t>
            </w:r>
            <w:proofErr w:type="spellStart"/>
            <w:r w:rsidRPr="00F257AC">
              <w:rPr>
                <w:rFonts w:ascii="Times New Roman" w:eastAsia="Times New Roman" w:hAnsi="Times New Roman" w:cs="Times New Roman"/>
                <w:color w:val="000000"/>
                <w:sz w:val="22"/>
                <w:szCs w:val="22"/>
              </w:rPr>
              <w:t>eGrid</w:t>
            </w:r>
            <w:proofErr w:type="spellEnd"/>
            <w:r w:rsidRPr="00F257AC">
              <w:rPr>
                <w:rFonts w:ascii="Times New Roman" w:eastAsia="Times New Roman" w:hAnsi="Times New Roman" w:cs="Times New Roman"/>
                <w:color w:val="000000"/>
                <w:sz w:val="22"/>
                <w:szCs w:val="22"/>
              </w:rPr>
              <w:t xml:space="preserve"> 2025 (Alaska and Hawaii) </w:t>
            </w:r>
            <w:sdt>
              <w:sdtPr>
                <w:rPr>
                  <w:rFonts w:ascii="Times New Roman" w:eastAsia="Times New Roman" w:hAnsi="Times New Roman" w:cs="Times New Roman"/>
                  <w:color w:val="000000"/>
                  <w:sz w:val="22"/>
                  <w:szCs w:val="22"/>
                </w:rPr>
                <w:tag w:val="MENDELEY_CITATION_v3_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"/>
                <w:id w:val="478578610"/>
                <w:placeholder>
                  <w:docPart w:val="EC4D9B2BE559479E868646A605525C94"/>
                </w:placeholder>
              </w:sdtPr>
              <w:sdtContent>
                <w:r w:rsidRPr="00F257AC">
                  <w:rPr>
                    <w:rFonts w:ascii="Times New Roman" w:eastAsia="Times New Roman" w:hAnsi="Times New Roman" w:cs="Times New Roman"/>
                    <w:color w:val="000000"/>
                    <w:sz w:val="22"/>
                    <w:szCs w:val="22"/>
                  </w:rPr>
                  <w:t>(EIA, 2025b, 2025c, 2025a)</w:t>
                </w:r>
              </w:sdtContent>
            </w:sdt>
          </w:p>
        </w:tc>
        <w:tc>
          <w:tcPr>
            <w:tcW w:w="850" w:type="dxa"/>
            <w:tcBorders>
              <w:top w:val="single" w:sz="4" w:space="0" w:color="747474"/>
              <w:left w:val="nil"/>
              <w:bottom w:val="single" w:sz="4" w:space="0" w:color="747474"/>
              <w:right w:val="nil"/>
            </w:tcBorders>
            <w:noWrap/>
            <w:vAlign w:val="center"/>
            <w:hideMark/>
          </w:tcPr>
          <w:p w14:paraId="43ABE474"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2025-2050</w:t>
            </w:r>
          </w:p>
        </w:tc>
        <w:tc>
          <w:tcPr>
            <w:tcW w:w="1843" w:type="dxa"/>
            <w:tcBorders>
              <w:top w:val="single" w:sz="4" w:space="0" w:color="747474"/>
              <w:left w:val="nil"/>
              <w:bottom w:val="single" w:sz="4" w:space="0" w:color="747474"/>
              <w:right w:val="nil"/>
            </w:tcBorders>
            <w:noWrap/>
            <w:vAlign w:val="center"/>
            <w:hideMark/>
          </w:tcPr>
          <w:p w14:paraId="3467FE9A"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Electricity Market Module regions</w:t>
            </w:r>
          </w:p>
        </w:tc>
        <w:tc>
          <w:tcPr>
            <w:tcW w:w="3969" w:type="dxa"/>
            <w:tcBorders>
              <w:top w:val="single" w:sz="4" w:space="0" w:color="747474"/>
              <w:left w:val="nil"/>
              <w:bottom w:val="single" w:sz="4" w:space="0" w:color="747474"/>
              <w:right w:val="nil"/>
            </w:tcBorders>
            <w:noWrap/>
            <w:vAlign w:val="center"/>
            <w:hideMark/>
          </w:tcPr>
          <w:p w14:paraId="149F16DD"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By energy source type (see Table S2 for further </w:t>
            </w:r>
            <w:proofErr w:type="gramStart"/>
            <w:r w:rsidRPr="00F257AC">
              <w:rPr>
                <w:rFonts w:ascii="Times New Roman" w:eastAsia="Times New Roman" w:hAnsi="Times New Roman" w:cs="Times New Roman"/>
                <w:color w:val="000000"/>
                <w:sz w:val="22"/>
                <w:szCs w:val="22"/>
              </w:rPr>
              <w:t>detail</w:t>
            </w:r>
            <w:proofErr w:type="gramEnd"/>
            <w:r w:rsidRPr="00F257AC">
              <w:rPr>
                <w:rFonts w:ascii="Times New Roman" w:eastAsia="Times New Roman" w:hAnsi="Times New Roman" w:cs="Times New Roman"/>
                <w:color w:val="000000"/>
                <w:sz w:val="22"/>
                <w:szCs w:val="22"/>
              </w:rPr>
              <w:t>).</w:t>
            </w:r>
          </w:p>
        </w:tc>
      </w:tr>
      <w:tr w:rsidR="00F257AC" w:rsidRPr="00F257AC" w14:paraId="55AD4FBE" w14:textId="77777777" w:rsidTr="00F257AC">
        <w:trPr>
          <w:trHeight w:val="20"/>
        </w:trPr>
        <w:tc>
          <w:tcPr>
            <w:tcW w:w="1134" w:type="dxa"/>
            <w:vMerge/>
            <w:tcBorders>
              <w:top w:val="nil"/>
              <w:left w:val="nil"/>
              <w:bottom w:val="single" w:sz="4" w:space="0" w:color="000000"/>
              <w:right w:val="nil"/>
            </w:tcBorders>
            <w:vAlign w:val="center"/>
            <w:hideMark/>
          </w:tcPr>
          <w:p w14:paraId="59DAF0E5"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3F58584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Gasoline upstream LCI</w:t>
            </w:r>
          </w:p>
        </w:tc>
        <w:tc>
          <w:tcPr>
            <w:tcW w:w="2127" w:type="dxa"/>
            <w:tcBorders>
              <w:top w:val="single" w:sz="4" w:space="0" w:color="747474"/>
              <w:left w:val="nil"/>
              <w:bottom w:val="single" w:sz="4" w:space="0" w:color="747474"/>
              <w:right w:val="nil"/>
            </w:tcBorders>
            <w:noWrap/>
            <w:vAlign w:val="center"/>
            <w:hideMark/>
          </w:tcPr>
          <w:p w14:paraId="3B3EB85D"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ZTEyMDJhYTEtODg1ZS00ZjA1LThkMDItNDVjODM0NDQyODhm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1046753812"/>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747474"/>
              <w:right w:val="nil"/>
            </w:tcBorders>
            <w:noWrap/>
            <w:vAlign w:val="center"/>
            <w:hideMark/>
          </w:tcPr>
          <w:p w14:paraId="7033A033"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2005-2024</w:t>
            </w:r>
          </w:p>
        </w:tc>
        <w:tc>
          <w:tcPr>
            <w:tcW w:w="1843" w:type="dxa"/>
            <w:tcBorders>
              <w:top w:val="single" w:sz="4" w:space="0" w:color="747474"/>
              <w:left w:val="nil"/>
              <w:bottom w:val="single" w:sz="4" w:space="0" w:color="747474"/>
              <w:right w:val="nil"/>
            </w:tcBorders>
            <w:noWrap/>
            <w:vAlign w:val="center"/>
            <w:hideMark/>
          </w:tcPr>
          <w:p w14:paraId="0795AB4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Europe (without Switzerland)</w:t>
            </w:r>
          </w:p>
        </w:tc>
        <w:tc>
          <w:tcPr>
            <w:tcW w:w="3969" w:type="dxa"/>
            <w:tcBorders>
              <w:top w:val="single" w:sz="4" w:space="0" w:color="747474"/>
              <w:left w:val="nil"/>
              <w:bottom w:val="single" w:sz="4" w:space="0" w:color="747474"/>
              <w:right w:val="nil"/>
            </w:tcBorders>
            <w:noWrap/>
            <w:vAlign w:val="center"/>
            <w:hideMark/>
          </w:tcPr>
          <w:p w14:paraId="13D7B7A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 xml:space="preserve">petrol production, </w:t>
            </w:r>
            <w:proofErr w:type="gramStart"/>
            <w:r w:rsidRPr="00F257AC">
              <w:rPr>
                <w:rFonts w:ascii="Times New Roman" w:eastAsia="Times New Roman" w:hAnsi="Times New Roman" w:cs="Times New Roman"/>
                <w:color w:val="000000"/>
                <w:sz w:val="22"/>
                <w:szCs w:val="22"/>
              </w:rPr>
              <w:t>low-sulfur</w:t>
            </w:r>
            <w:proofErr w:type="gramEnd"/>
            <w:r w:rsidRPr="00F257AC">
              <w:rPr>
                <w:rFonts w:ascii="Times New Roman" w:eastAsia="Times New Roman" w:hAnsi="Times New Roman" w:cs="Times New Roman"/>
                <w:color w:val="000000"/>
                <w:sz w:val="22"/>
                <w:szCs w:val="22"/>
              </w:rPr>
              <w:t>.</w:t>
            </w:r>
          </w:p>
        </w:tc>
      </w:tr>
      <w:tr w:rsidR="00F257AC" w:rsidRPr="00F257AC" w14:paraId="475593ED" w14:textId="77777777" w:rsidTr="00F257AC">
        <w:trPr>
          <w:trHeight w:val="20"/>
        </w:trPr>
        <w:tc>
          <w:tcPr>
            <w:tcW w:w="1134" w:type="dxa"/>
            <w:vMerge/>
            <w:tcBorders>
              <w:top w:val="nil"/>
              <w:left w:val="nil"/>
              <w:bottom w:val="single" w:sz="4" w:space="0" w:color="000000"/>
              <w:right w:val="nil"/>
            </w:tcBorders>
            <w:vAlign w:val="center"/>
            <w:hideMark/>
          </w:tcPr>
          <w:p w14:paraId="74D91033"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464F6F1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Gasoline combustion emissions</w:t>
            </w:r>
          </w:p>
        </w:tc>
        <w:tc>
          <w:tcPr>
            <w:tcW w:w="2127" w:type="dxa"/>
            <w:tcBorders>
              <w:top w:val="single" w:sz="4" w:space="0" w:color="747474"/>
              <w:left w:val="nil"/>
              <w:bottom w:val="single" w:sz="4" w:space="0" w:color="747474"/>
              <w:right w:val="nil"/>
            </w:tcBorders>
            <w:noWrap/>
            <w:vAlign w:val="center"/>
            <w:hideMark/>
          </w:tcPr>
          <w:p w14:paraId="7066654D"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NjZlYzgxYzUtN2FkOS00ZWJiLWExZTEtOGFkODRjZGM4MDk5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336005225"/>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747474"/>
              <w:right w:val="nil"/>
            </w:tcBorders>
            <w:noWrap/>
            <w:vAlign w:val="center"/>
            <w:hideMark/>
          </w:tcPr>
          <w:p w14:paraId="23493CE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2012-2024</w:t>
            </w:r>
          </w:p>
        </w:tc>
        <w:tc>
          <w:tcPr>
            <w:tcW w:w="1843" w:type="dxa"/>
            <w:tcBorders>
              <w:top w:val="single" w:sz="4" w:space="0" w:color="747474"/>
              <w:left w:val="nil"/>
              <w:bottom w:val="single" w:sz="4" w:space="0" w:color="747474"/>
              <w:right w:val="nil"/>
            </w:tcBorders>
            <w:noWrap/>
            <w:vAlign w:val="center"/>
            <w:hideMark/>
          </w:tcPr>
          <w:p w14:paraId="4BB21C3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Europe</w:t>
            </w:r>
          </w:p>
        </w:tc>
        <w:tc>
          <w:tcPr>
            <w:tcW w:w="3969" w:type="dxa"/>
            <w:tcBorders>
              <w:top w:val="single" w:sz="4" w:space="0" w:color="747474"/>
              <w:left w:val="nil"/>
              <w:bottom w:val="single" w:sz="4" w:space="0" w:color="747474"/>
              <w:right w:val="nil"/>
            </w:tcBorders>
            <w:noWrap/>
            <w:vAlign w:val="center"/>
            <w:hideMark/>
          </w:tcPr>
          <w:p w14:paraId="0AF07F7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Unitary process for combustion emissions: transport, passenger, car, petrol, large size, EURO 5 (u-so).</w:t>
            </w:r>
          </w:p>
        </w:tc>
      </w:tr>
      <w:tr w:rsidR="00F257AC" w:rsidRPr="00F257AC" w14:paraId="73E4DF62" w14:textId="77777777" w:rsidTr="00F257AC">
        <w:trPr>
          <w:trHeight w:val="20"/>
        </w:trPr>
        <w:tc>
          <w:tcPr>
            <w:tcW w:w="1134" w:type="dxa"/>
            <w:vMerge/>
            <w:tcBorders>
              <w:top w:val="nil"/>
              <w:left w:val="nil"/>
              <w:bottom w:val="single" w:sz="4" w:space="0" w:color="000000"/>
              <w:right w:val="nil"/>
            </w:tcBorders>
            <w:vAlign w:val="center"/>
            <w:hideMark/>
          </w:tcPr>
          <w:p w14:paraId="3918B354"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auto"/>
              <w:right w:val="nil"/>
            </w:tcBorders>
            <w:noWrap/>
            <w:vAlign w:val="center"/>
            <w:hideMark/>
          </w:tcPr>
          <w:p w14:paraId="03A47B4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maintenance LCI</w:t>
            </w:r>
          </w:p>
        </w:tc>
        <w:tc>
          <w:tcPr>
            <w:tcW w:w="2127" w:type="dxa"/>
            <w:tcBorders>
              <w:top w:val="single" w:sz="4" w:space="0" w:color="747474"/>
              <w:left w:val="nil"/>
              <w:bottom w:val="single" w:sz="4" w:space="0" w:color="auto"/>
              <w:right w:val="nil"/>
            </w:tcBorders>
            <w:noWrap/>
            <w:vAlign w:val="center"/>
            <w:hideMark/>
          </w:tcPr>
          <w:p w14:paraId="5819290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w:t>
            </w:r>
            <w:sdt>
              <w:sdtPr>
                <w:rPr>
                  <w:rFonts w:ascii="Times New Roman" w:eastAsia="Times New Roman" w:hAnsi="Times New Roman" w:cs="Times New Roman"/>
                  <w:color w:val="000000"/>
                  <w:sz w:val="22"/>
                  <w:szCs w:val="22"/>
                </w:rPr>
                <w:tag w:val="MENDELEY_CITATION_v3_eyJjaXRhdGlvbklEIjoiTUVOREVMRVlfQ0lUQVRJT05fYmEzOWViMDMtZDEwZi00ZDczLWFhMGMtOTU3YjQ5OTMxMmNj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843517460"/>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auto"/>
              <w:right w:val="nil"/>
            </w:tcBorders>
            <w:noWrap/>
            <w:vAlign w:val="center"/>
            <w:hideMark/>
          </w:tcPr>
          <w:p w14:paraId="5846F4A3"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2000-2024</w:t>
            </w:r>
          </w:p>
        </w:tc>
        <w:tc>
          <w:tcPr>
            <w:tcW w:w="1843" w:type="dxa"/>
            <w:tcBorders>
              <w:top w:val="single" w:sz="4" w:space="0" w:color="747474"/>
              <w:left w:val="nil"/>
              <w:bottom w:val="single" w:sz="4" w:space="0" w:color="auto"/>
              <w:right w:val="nil"/>
            </w:tcBorders>
            <w:noWrap/>
            <w:vAlign w:val="center"/>
            <w:hideMark/>
          </w:tcPr>
          <w:p w14:paraId="3523F2E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Global</w:t>
            </w:r>
          </w:p>
        </w:tc>
        <w:tc>
          <w:tcPr>
            <w:tcW w:w="3969" w:type="dxa"/>
            <w:tcBorders>
              <w:top w:val="single" w:sz="4" w:space="0" w:color="747474"/>
              <w:left w:val="nil"/>
              <w:bottom w:val="single" w:sz="4" w:space="0" w:color="auto"/>
              <w:right w:val="nil"/>
            </w:tcBorders>
            <w:vAlign w:val="center"/>
            <w:hideMark/>
          </w:tcPr>
          <w:p w14:paraId="3F2B1C2E"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maintenance, passenger car and electric (without battery).</w:t>
            </w:r>
          </w:p>
        </w:tc>
      </w:tr>
      <w:tr w:rsidR="00F257AC" w:rsidRPr="00F257AC" w14:paraId="6225F53A" w14:textId="77777777" w:rsidTr="00F257AC">
        <w:trPr>
          <w:trHeight w:val="20"/>
        </w:trPr>
        <w:tc>
          <w:tcPr>
            <w:tcW w:w="1134" w:type="dxa"/>
            <w:vMerge w:val="restart"/>
            <w:tcBorders>
              <w:top w:val="nil"/>
              <w:left w:val="nil"/>
              <w:bottom w:val="single" w:sz="4" w:space="0" w:color="000000"/>
              <w:right w:val="nil"/>
            </w:tcBorders>
            <w:noWrap/>
            <w:vAlign w:val="center"/>
            <w:hideMark/>
          </w:tcPr>
          <w:p w14:paraId="2E5AA82A"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r w:rsidRPr="00F257AC">
              <w:rPr>
                <w:rFonts w:ascii="Times New Roman" w:eastAsia="Times New Roman" w:hAnsi="Times New Roman" w:cs="Times New Roman"/>
                <w:b/>
                <w:bCs/>
                <w:color w:val="000000"/>
                <w:sz w:val="22"/>
                <w:szCs w:val="22"/>
              </w:rPr>
              <w:t>Recycling</w:t>
            </w:r>
          </w:p>
        </w:tc>
        <w:tc>
          <w:tcPr>
            <w:tcW w:w="1701" w:type="dxa"/>
            <w:tcBorders>
              <w:top w:val="nil"/>
              <w:left w:val="nil"/>
              <w:bottom w:val="single" w:sz="4" w:space="0" w:color="747474"/>
              <w:right w:val="nil"/>
            </w:tcBorders>
            <w:noWrap/>
            <w:vAlign w:val="center"/>
            <w:hideMark/>
          </w:tcPr>
          <w:p w14:paraId="66F22CF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Battery recycling LCI</w:t>
            </w:r>
          </w:p>
        </w:tc>
        <w:tc>
          <w:tcPr>
            <w:tcW w:w="2127" w:type="dxa"/>
            <w:tcBorders>
              <w:top w:val="nil"/>
              <w:left w:val="nil"/>
              <w:bottom w:val="single" w:sz="4" w:space="0" w:color="747474"/>
              <w:right w:val="nil"/>
            </w:tcBorders>
            <w:noWrap/>
            <w:vAlign w:val="center"/>
            <w:hideMark/>
          </w:tcPr>
          <w:p w14:paraId="73B32A0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YWU2OTYyMjUtMDIyNC00ODM2LWJhMjktYTg1NjE2YTUwYjk3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1324544224"/>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nil"/>
              <w:left w:val="nil"/>
              <w:bottom w:val="single" w:sz="4" w:space="0" w:color="747474"/>
              <w:right w:val="nil"/>
            </w:tcBorders>
            <w:noWrap/>
            <w:vAlign w:val="center"/>
            <w:hideMark/>
          </w:tcPr>
          <w:p w14:paraId="3B5F96B9"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2005-2024</w:t>
            </w:r>
          </w:p>
        </w:tc>
        <w:tc>
          <w:tcPr>
            <w:tcW w:w="1843" w:type="dxa"/>
            <w:tcBorders>
              <w:top w:val="nil"/>
              <w:left w:val="nil"/>
              <w:bottom w:val="single" w:sz="4" w:space="0" w:color="747474"/>
              <w:right w:val="nil"/>
            </w:tcBorders>
            <w:noWrap/>
            <w:vAlign w:val="center"/>
            <w:hideMark/>
          </w:tcPr>
          <w:p w14:paraId="5D2604C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Global</w:t>
            </w:r>
          </w:p>
        </w:tc>
        <w:tc>
          <w:tcPr>
            <w:tcW w:w="3969" w:type="dxa"/>
            <w:tcBorders>
              <w:top w:val="nil"/>
              <w:left w:val="nil"/>
              <w:bottom w:val="single" w:sz="4" w:space="0" w:color="747474"/>
              <w:right w:val="nil"/>
            </w:tcBorders>
            <w:noWrap/>
            <w:vAlign w:val="center"/>
            <w:hideMark/>
          </w:tcPr>
          <w:p w14:paraId="1691603E"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treatment of used Li-ion battery, hydrometallurgical treatment.</w:t>
            </w:r>
          </w:p>
        </w:tc>
      </w:tr>
      <w:tr w:rsidR="00F257AC" w:rsidRPr="00F257AC" w14:paraId="7B88C991" w14:textId="77777777" w:rsidTr="00F257AC">
        <w:trPr>
          <w:trHeight w:val="20"/>
        </w:trPr>
        <w:tc>
          <w:tcPr>
            <w:tcW w:w="1134" w:type="dxa"/>
            <w:vMerge/>
            <w:tcBorders>
              <w:top w:val="nil"/>
              <w:left w:val="nil"/>
              <w:bottom w:val="single" w:sz="4" w:space="0" w:color="000000"/>
              <w:right w:val="nil"/>
            </w:tcBorders>
            <w:vAlign w:val="center"/>
            <w:hideMark/>
          </w:tcPr>
          <w:p w14:paraId="653D8F94"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747474"/>
              <w:right w:val="nil"/>
            </w:tcBorders>
            <w:noWrap/>
            <w:vAlign w:val="center"/>
            <w:hideMark/>
          </w:tcPr>
          <w:p w14:paraId="05BA14F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Vehicle recycling LCI</w:t>
            </w:r>
          </w:p>
        </w:tc>
        <w:tc>
          <w:tcPr>
            <w:tcW w:w="2127" w:type="dxa"/>
            <w:tcBorders>
              <w:top w:val="single" w:sz="4" w:space="0" w:color="747474"/>
              <w:left w:val="nil"/>
              <w:bottom w:val="single" w:sz="4" w:space="0" w:color="747474"/>
              <w:right w:val="nil"/>
            </w:tcBorders>
            <w:noWrap/>
            <w:vAlign w:val="center"/>
            <w:hideMark/>
          </w:tcPr>
          <w:p w14:paraId="4EC3B075"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NDEwZjIyZDMtYTY2Yi00MzMxLTk4NGYtNTc5NzI0ZWM3ZTEz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1207259327"/>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747474"/>
              <w:right w:val="nil"/>
            </w:tcBorders>
            <w:noWrap/>
            <w:vAlign w:val="center"/>
            <w:hideMark/>
          </w:tcPr>
          <w:p w14:paraId="44555916"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1990-2024</w:t>
            </w:r>
          </w:p>
        </w:tc>
        <w:tc>
          <w:tcPr>
            <w:tcW w:w="1843" w:type="dxa"/>
            <w:tcBorders>
              <w:top w:val="single" w:sz="4" w:space="0" w:color="747474"/>
              <w:left w:val="nil"/>
              <w:bottom w:val="single" w:sz="4" w:space="0" w:color="747474"/>
              <w:right w:val="nil"/>
            </w:tcBorders>
            <w:noWrap/>
            <w:vAlign w:val="center"/>
            <w:hideMark/>
          </w:tcPr>
          <w:p w14:paraId="19478001"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Global</w:t>
            </w:r>
          </w:p>
        </w:tc>
        <w:tc>
          <w:tcPr>
            <w:tcW w:w="3969" w:type="dxa"/>
            <w:tcBorders>
              <w:top w:val="single" w:sz="4" w:space="0" w:color="747474"/>
              <w:left w:val="nil"/>
              <w:bottom w:val="single" w:sz="4" w:space="0" w:color="747474"/>
              <w:right w:val="nil"/>
            </w:tcBorders>
            <w:noWrap/>
            <w:vAlign w:val="center"/>
            <w:hideMark/>
          </w:tcPr>
          <w:p w14:paraId="67066620"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treatment of used light commercial vehicle.</w:t>
            </w:r>
          </w:p>
        </w:tc>
      </w:tr>
      <w:tr w:rsidR="00F257AC" w:rsidRPr="00F257AC" w14:paraId="3D7F2664" w14:textId="77777777" w:rsidTr="00F257AC">
        <w:trPr>
          <w:trHeight w:val="20"/>
        </w:trPr>
        <w:tc>
          <w:tcPr>
            <w:tcW w:w="1134" w:type="dxa"/>
            <w:vMerge/>
            <w:tcBorders>
              <w:top w:val="nil"/>
              <w:left w:val="nil"/>
              <w:bottom w:val="single" w:sz="4" w:space="0" w:color="000000"/>
              <w:right w:val="nil"/>
            </w:tcBorders>
            <w:vAlign w:val="center"/>
            <w:hideMark/>
          </w:tcPr>
          <w:p w14:paraId="49A9A7C0" w14:textId="77777777" w:rsidR="00F257AC" w:rsidRPr="00F257AC" w:rsidRDefault="00F257AC" w:rsidP="00F257AC">
            <w:pPr>
              <w:spacing w:after="0" w:line="240" w:lineRule="auto"/>
              <w:jc w:val="left"/>
              <w:rPr>
                <w:rFonts w:ascii="Times New Roman" w:eastAsia="Times New Roman" w:hAnsi="Times New Roman" w:cs="Times New Roman"/>
                <w:b/>
                <w:bCs/>
                <w:color w:val="000000"/>
                <w:sz w:val="22"/>
                <w:szCs w:val="22"/>
              </w:rPr>
            </w:pPr>
          </w:p>
        </w:tc>
        <w:tc>
          <w:tcPr>
            <w:tcW w:w="1701" w:type="dxa"/>
            <w:tcBorders>
              <w:top w:val="single" w:sz="4" w:space="0" w:color="747474"/>
              <w:left w:val="nil"/>
              <w:bottom w:val="single" w:sz="4" w:space="0" w:color="auto"/>
              <w:right w:val="nil"/>
            </w:tcBorders>
            <w:noWrap/>
            <w:vAlign w:val="center"/>
            <w:hideMark/>
          </w:tcPr>
          <w:p w14:paraId="0C955622"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Lithium production LCI</w:t>
            </w:r>
          </w:p>
        </w:tc>
        <w:tc>
          <w:tcPr>
            <w:tcW w:w="2127" w:type="dxa"/>
            <w:tcBorders>
              <w:top w:val="single" w:sz="4" w:space="0" w:color="747474"/>
              <w:left w:val="nil"/>
              <w:bottom w:val="single" w:sz="4" w:space="0" w:color="auto"/>
              <w:right w:val="nil"/>
            </w:tcBorders>
            <w:noWrap/>
            <w:vAlign w:val="center"/>
            <w:hideMark/>
          </w:tcPr>
          <w:p w14:paraId="5816009C"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3.11 </w:t>
            </w:r>
            <w:sdt>
              <w:sdtPr>
                <w:rPr>
                  <w:rFonts w:ascii="Times New Roman" w:eastAsia="Times New Roman" w:hAnsi="Times New Roman" w:cs="Times New Roman"/>
                  <w:color w:val="000000"/>
                  <w:sz w:val="22"/>
                  <w:szCs w:val="22"/>
                </w:rPr>
                <w:tag w:val="MENDELEY_CITATION_v3_eyJjaXRhdGlvbklEIjoiTUVOREVMRVlfQ0lUQVRJT05fNjQyZGE5YTEtYjJiNy00ODhhLWIyMDAtOGQ5NzUwZDkzYWFjIiwicHJvcGVydGllcyI6eyJub3RlSW5kZXgiOjB9LCJpc0VkaXRlZCI6ZmFsc2UsIm1hbnVhbE92ZXJyaWRlIjp7ImlzTWFudWFsbHlPdmVycmlkZGVuIjpmYWxzZSwiY2l0ZXByb2NUZXh0IjoiKEVjb2ludmVudCBBc3NvY2lhdGlvbiwgMjAyMiki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935210541"/>
                <w:placeholder>
                  <w:docPart w:val="EC4D9B2BE559479E868646A605525C94"/>
                </w:placeholder>
              </w:sdtPr>
              <w:sdtContent>
                <w:r w:rsidRPr="00F257AC">
                  <w:rPr>
                    <w:rFonts w:ascii="Times New Roman" w:eastAsia="Times New Roman" w:hAnsi="Times New Roman" w:cs="Times New Roman"/>
                    <w:color w:val="000000"/>
                    <w:sz w:val="22"/>
                    <w:szCs w:val="22"/>
                  </w:rPr>
                  <w:t>(</w:t>
                </w:r>
                <w:proofErr w:type="spellStart"/>
                <w:r w:rsidRPr="00F257AC">
                  <w:rPr>
                    <w:rFonts w:ascii="Times New Roman" w:eastAsia="Times New Roman" w:hAnsi="Times New Roman" w:cs="Times New Roman"/>
                    <w:color w:val="000000"/>
                    <w:sz w:val="22"/>
                    <w:szCs w:val="22"/>
                  </w:rPr>
                  <w:t>Ecoinvent</w:t>
                </w:r>
                <w:proofErr w:type="spellEnd"/>
                <w:r w:rsidRPr="00F257AC">
                  <w:rPr>
                    <w:rFonts w:ascii="Times New Roman" w:eastAsia="Times New Roman" w:hAnsi="Times New Roman" w:cs="Times New Roman"/>
                    <w:color w:val="000000"/>
                    <w:sz w:val="22"/>
                    <w:szCs w:val="22"/>
                  </w:rPr>
                  <w:t xml:space="preserve"> Association, 2022)</w:t>
                </w:r>
              </w:sdtContent>
            </w:sdt>
          </w:p>
        </w:tc>
        <w:tc>
          <w:tcPr>
            <w:tcW w:w="850" w:type="dxa"/>
            <w:tcBorders>
              <w:top w:val="single" w:sz="4" w:space="0" w:color="747474"/>
              <w:left w:val="nil"/>
              <w:bottom w:val="single" w:sz="4" w:space="0" w:color="auto"/>
              <w:right w:val="nil"/>
            </w:tcBorders>
            <w:noWrap/>
            <w:vAlign w:val="center"/>
            <w:hideMark/>
          </w:tcPr>
          <w:p w14:paraId="5F224B98"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2009-2024</w:t>
            </w:r>
          </w:p>
        </w:tc>
        <w:tc>
          <w:tcPr>
            <w:tcW w:w="1843" w:type="dxa"/>
            <w:tcBorders>
              <w:top w:val="single" w:sz="4" w:space="0" w:color="747474"/>
              <w:left w:val="nil"/>
              <w:bottom w:val="single" w:sz="4" w:space="0" w:color="auto"/>
              <w:right w:val="nil"/>
            </w:tcBorders>
            <w:noWrap/>
            <w:vAlign w:val="center"/>
            <w:hideMark/>
          </w:tcPr>
          <w:p w14:paraId="41BAE7C7"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Global</w:t>
            </w:r>
          </w:p>
        </w:tc>
        <w:tc>
          <w:tcPr>
            <w:tcW w:w="3969" w:type="dxa"/>
            <w:tcBorders>
              <w:top w:val="single" w:sz="4" w:space="0" w:color="747474"/>
              <w:left w:val="nil"/>
              <w:bottom w:val="single" w:sz="4" w:space="0" w:color="auto"/>
              <w:right w:val="nil"/>
            </w:tcBorders>
            <w:vAlign w:val="center"/>
            <w:hideMark/>
          </w:tcPr>
          <w:p w14:paraId="3A5A83CD" w14:textId="77777777" w:rsidR="00F257AC" w:rsidRPr="00F257AC" w:rsidRDefault="00F257AC" w:rsidP="00F257AC">
            <w:pPr>
              <w:spacing w:after="0" w:line="240" w:lineRule="auto"/>
              <w:jc w:val="left"/>
              <w:rPr>
                <w:rFonts w:ascii="Times New Roman" w:eastAsia="Times New Roman" w:hAnsi="Times New Roman" w:cs="Times New Roman"/>
                <w:color w:val="000000"/>
                <w:sz w:val="22"/>
                <w:szCs w:val="22"/>
              </w:rPr>
            </w:pPr>
            <w:r w:rsidRPr="00F257AC">
              <w:rPr>
                <w:rFonts w:ascii="Times New Roman" w:eastAsia="Times New Roman" w:hAnsi="Times New Roman" w:cs="Times New Roman"/>
                <w:color w:val="000000"/>
                <w:sz w:val="22"/>
                <w:szCs w:val="22"/>
              </w:rPr>
              <w:t>lithium carbonate production, from spodumene (50%) and concentrated brine (50%).</w:t>
            </w:r>
          </w:p>
        </w:tc>
      </w:tr>
    </w:tbl>
    <w:p w14:paraId="51F098C7" w14:textId="77777777" w:rsidR="00F257AC" w:rsidRPr="00F257AC" w:rsidRDefault="00F257AC" w:rsidP="00B24E42">
      <w:pPr>
        <w:keepNext/>
        <w:keepLines/>
        <w:pBdr>
          <w:top w:val="nil"/>
          <w:left w:val="nil"/>
          <w:bottom w:val="nil"/>
          <w:right w:val="nil"/>
          <w:between w:val="nil"/>
        </w:pBdr>
        <w:spacing w:before="280" w:after="0" w:line="360" w:lineRule="auto"/>
        <w:rPr>
          <w:rFonts w:ascii="Times New Roman" w:eastAsia="SimSun" w:hAnsi="Times New Roman" w:cs="Times New Roman"/>
          <w:color w:val="000000"/>
        </w:rPr>
      </w:pPr>
      <w:bookmarkStart w:id="2" w:name="_Ref214986864"/>
      <w:r w:rsidRPr="00F257AC">
        <w:rPr>
          <w:rFonts w:ascii="Times New Roman" w:eastAsia="SimSun" w:hAnsi="Times New Roman" w:cs="Times New Roman"/>
          <w:b/>
          <w:bCs/>
          <w:color w:val="000000"/>
        </w:rPr>
        <w:lastRenderedPageBreak/>
        <w:t>Table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Table_S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2</w:t>
      </w:r>
      <w:r w:rsidRPr="00F257AC">
        <w:rPr>
          <w:rFonts w:ascii="Times New Roman" w:eastAsia="SimSun" w:hAnsi="Times New Roman" w:cs="Times New Roman"/>
          <w:b/>
          <w:bCs/>
          <w:color w:val="000000"/>
        </w:rPr>
        <w:fldChar w:fldCharType="end"/>
      </w:r>
      <w:bookmarkEnd w:id="2"/>
      <w:r w:rsidRPr="00F257AC">
        <w:rPr>
          <w:rFonts w:ascii="Times New Roman" w:eastAsia="SimSun" w:hAnsi="Times New Roman" w:cs="Times New Roman"/>
          <w:color w:val="000000"/>
        </w:rPr>
        <w:t xml:space="preserve">. Primary energy source EIA match with LCI </w:t>
      </w:r>
      <w:proofErr w:type="spell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3.11 process, along with electricity balancing regions.</w:t>
      </w:r>
    </w:p>
    <w:tbl>
      <w:tblPr>
        <w:tblStyle w:val="PlainTable21"/>
        <w:tblW w:w="10915" w:type="dxa"/>
        <w:tblInd w:w="-709" w:type="dxa"/>
        <w:tblLayout w:type="fixed"/>
        <w:tblLook w:val="04A0" w:firstRow="1" w:lastRow="0" w:firstColumn="1" w:lastColumn="0" w:noHBand="0" w:noVBand="1"/>
      </w:tblPr>
      <w:tblGrid>
        <w:gridCol w:w="2410"/>
        <w:gridCol w:w="5103"/>
        <w:gridCol w:w="3402"/>
      </w:tblGrid>
      <w:tr w:rsidR="00F257AC" w:rsidRPr="00F257AC" w14:paraId="0B37C2B8" w14:textId="77777777" w:rsidTr="00D435E4">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1621EAF4" w14:textId="77777777" w:rsidR="00F257AC" w:rsidRPr="00F257AC" w:rsidRDefault="00F257AC" w:rsidP="00B24E42">
            <w:pPr>
              <w:keepNext/>
              <w:keepLines/>
              <w:jc w:val="left"/>
              <w:rPr>
                <w:rFonts w:eastAsia="Times New Roman"/>
                <w:color w:val="000000"/>
              </w:rPr>
            </w:pPr>
            <w:r w:rsidRPr="00F257AC">
              <w:rPr>
                <w:rFonts w:eastAsia="Times New Roman"/>
                <w:color w:val="000000"/>
              </w:rPr>
              <w:t>EIA Energy Source</w:t>
            </w:r>
          </w:p>
        </w:tc>
        <w:tc>
          <w:tcPr>
            <w:tcW w:w="5103" w:type="dxa"/>
            <w:noWrap/>
            <w:vAlign w:val="center"/>
            <w:hideMark/>
          </w:tcPr>
          <w:p w14:paraId="2E3F5242" w14:textId="77777777" w:rsidR="00F257AC" w:rsidRPr="00F257AC" w:rsidRDefault="00F257AC" w:rsidP="00B24E42">
            <w:pPr>
              <w:keepNext/>
              <w:keepLines/>
              <w:jc w:val="left"/>
              <w:cnfStyle w:val="100000000000" w:firstRow="1" w:lastRow="0" w:firstColumn="0" w:lastColumn="0" w:oddVBand="0" w:evenVBand="0" w:oddHBand="0" w:evenHBand="0" w:firstRowFirstColumn="0" w:firstRowLastColumn="0" w:lastRowFirstColumn="0" w:lastRowLastColumn="0"/>
              <w:rPr>
                <w:rFonts w:eastAsia="Times New Roman"/>
                <w:color w:val="000000"/>
              </w:rPr>
            </w:pPr>
            <w:proofErr w:type="spellStart"/>
            <w:r w:rsidRPr="00F257AC">
              <w:rPr>
                <w:rFonts w:eastAsia="Times New Roman"/>
                <w:color w:val="000000"/>
              </w:rPr>
              <w:t>ecoinvent</w:t>
            </w:r>
            <w:proofErr w:type="spellEnd"/>
            <w:r w:rsidRPr="00F257AC">
              <w:rPr>
                <w:rFonts w:eastAsia="Times New Roman"/>
                <w:color w:val="000000"/>
              </w:rPr>
              <w:t xml:space="preserve"> 3.11 process</w:t>
            </w:r>
          </w:p>
        </w:tc>
        <w:tc>
          <w:tcPr>
            <w:tcW w:w="3402" w:type="dxa"/>
            <w:noWrap/>
            <w:vAlign w:val="center"/>
            <w:hideMark/>
          </w:tcPr>
          <w:p w14:paraId="4E43699E" w14:textId="77777777" w:rsidR="00F257AC" w:rsidRPr="00F257AC" w:rsidRDefault="00F257AC" w:rsidP="00B24E42">
            <w:pPr>
              <w:keepNext/>
              <w:keepLines/>
              <w:jc w:val="left"/>
              <w:cnfStyle w:val="100000000000" w:firstRow="1" w:lastRow="0" w:firstColumn="0" w:lastColumn="0" w:oddVBand="0" w:evenVBand="0" w:oddHBand="0" w:evenHBand="0" w:firstRowFirstColumn="0" w:firstRowLastColumn="0" w:lastRowFirstColumn="0" w:lastRowLastColumn="0"/>
              <w:rPr>
                <w:rFonts w:eastAsia="Times New Roman"/>
                <w:color w:val="000000"/>
              </w:rPr>
            </w:pPr>
            <w:r w:rsidRPr="00F257AC">
              <w:rPr>
                <w:rFonts w:eastAsia="Times New Roman"/>
                <w:color w:val="000000"/>
              </w:rPr>
              <w:t>Region available</w:t>
            </w:r>
          </w:p>
        </w:tc>
      </w:tr>
      <w:tr w:rsidR="00F257AC" w:rsidRPr="00F257AC" w14:paraId="51B3BA11"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7535CB08"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Distributed Generation</w:t>
            </w:r>
          </w:p>
        </w:tc>
        <w:tc>
          <w:tcPr>
            <w:tcW w:w="5103" w:type="dxa"/>
            <w:noWrap/>
            <w:vAlign w:val="center"/>
            <w:hideMark/>
          </w:tcPr>
          <w:p w14:paraId="2BBAE8F8"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photovoltaic, 3kWp slanted-roof installation, multi-Si, panel, mounted</w:t>
            </w:r>
          </w:p>
        </w:tc>
        <w:tc>
          <w:tcPr>
            <w:tcW w:w="3402" w:type="dxa"/>
            <w:noWrap/>
            <w:vAlign w:val="center"/>
            <w:hideMark/>
          </w:tcPr>
          <w:p w14:paraId="3C883DB2"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US-HICC, US-NPCC, US-RFC, US-SERC, US-TRE, US-WECC</w:t>
            </w:r>
          </w:p>
        </w:tc>
      </w:tr>
      <w:tr w:rsidR="00F257AC" w:rsidRPr="00F257AC" w14:paraId="0EDFDCCA"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76F6074C"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Nuclear</w:t>
            </w:r>
          </w:p>
        </w:tc>
        <w:tc>
          <w:tcPr>
            <w:tcW w:w="5103" w:type="dxa"/>
            <w:noWrap/>
            <w:vAlign w:val="center"/>
            <w:hideMark/>
          </w:tcPr>
          <w:p w14:paraId="5782E8BE"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nuclear, pressure water reactor</w:t>
            </w:r>
          </w:p>
        </w:tc>
        <w:tc>
          <w:tcPr>
            <w:tcW w:w="3402" w:type="dxa"/>
            <w:noWrap/>
            <w:vAlign w:val="center"/>
            <w:hideMark/>
          </w:tcPr>
          <w:p w14:paraId="54279DDC"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US-MRO, US-NPCC, US-RFC, US-SERC, US-TRE, US-WECC</w:t>
            </w:r>
          </w:p>
        </w:tc>
      </w:tr>
      <w:tr w:rsidR="00F257AC" w:rsidRPr="00F257AC" w14:paraId="0AF113F0"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3D25D905"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Pumped Storage/Other</w:t>
            </w:r>
          </w:p>
        </w:tc>
        <w:tc>
          <w:tcPr>
            <w:tcW w:w="5103" w:type="dxa"/>
            <w:noWrap/>
            <w:vAlign w:val="center"/>
            <w:hideMark/>
          </w:tcPr>
          <w:p w14:paraId="70037206"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hydro, pumped storage</w:t>
            </w:r>
          </w:p>
        </w:tc>
        <w:tc>
          <w:tcPr>
            <w:tcW w:w="3402" w:type="dxa"/>
            <w:noWrap/>
            <w:vAlign w:val="center"/>
            <w:hideMark/>
          </w:tcPr>
          <w:p w14:paraId="4F3A4EE2"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US-HICC, US-MRO, US-NPCC, US-RFC, US-SERC, US-TRE, US-WECC</w:t>
            </w:r>
          </w:p>
        </w:tc>
      </w:tr>
      <w:tr w:rsidR="00F257AC" w:rsidRPr="00F257AC" w14:paraId="6C9FF4F8"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5D969DE0"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Petroleum</w:t>
            </w:r>
          </w:p>
        </w:tc>
        <w:tc>
          <w:tcPr>
            <w:tcW w:w="5103" w:type="dxa"/>
            <w:noWrap/>
            <w:vAlign w:val="center"/>
            <w:hideMark/>
          </w:tcPr>
          <w:p w14:paraId="76338359"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gramStart"/>
            <w:r w:rsidRPr="00F257AC">
              <w:rPr>
                <w:rFonts w:eastAsia="Times New Roman"/>
                <w:color w:val="000000"/>
                <w:sz w:val="20"/>
                <w:szCs w:val="20"/>
              </w:rPr>
              <w:t>electricity</w:t>
            </w:r>
            <w:proofErr w:type="gramEnd"/>
            <w:r w:rsidRPr="00F257AC">
              <w:rPr>
                <w:rFonts w:eastAsia="Times New Roman"/>
                <w:color w:val="000000"/>
                <w:sz w:val="20"/>
                <w:szCs w:val="20"/>
              </w:rPr>
              <w:t xml:space="preserve"> production, oil</w:t>
            </w:r>
          </w:p>
        </w:tc>
        <w:tc>
          <w:tcPr>
            <w:tcW w:w="3402" w:type="dxa"/>
            <w:noWrap/>
            <w:vAlign w:val="center"/>
            <w:hideMark/>
          </w:tcPr>
          <w:p w14:paraId="3142D988"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US-HICC, US-MRO, US-NPCC, US-RFC, US-SERC, US-TRE, US-WECC</w:t>
            </w:r>
          </w:p>
        </w:tc>
      </w:tr>
      <w:tr w:rsidR="00F257AC" w:rsidRPr="00F257AC" w14:paraId="34C58499"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F85C1A2"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Coal</w:t>
            </w:r>
          </w:p>
        </w:tc>
        <w:tc>
          <w:tcPr>
            <w:tcW w:w="5103" w:type="dxa"/>
            <w:noWrap/>
            <w:vAlign w:val="center"/>
            <w:hideMark/>
          </w:tcPr>
          <w:p w14:paraId="59624149"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lignite</w:t>
            </w:r>
          </w:p>
        </w:tc>
        <w:tc>
          <w:tcPr>
            <w:tcW w:w="3402" w:type="dxa"/>
            <w:noWrap/>
            <w:vAlign w:val="center"/>
            <w:hideMark/>
          </w:tcPr>
          <w:p w14:paraId="296F7AC4"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US-HICC, US-MRO, US-NPCC, US-RFC, US-SERC, US-TRE, US-WECC</w:t>
            </w:r>
          </w:p>
        </w:tc>
      </w:tr>
      <w:tr w:rsidR="00F257AC" w:rsidRPr="00F257AC" w14:paraId="6563E5F1"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187CC1CB"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Natural Gas Combined Cycle</w:t>
            </w:r>
          </w:p>
        </w:tc>
        <w:tc>
          <w:tcPr>
            <w:tcW w:w="5103" w:type="dxa"/>
            <w:noWrap/>
            <w:vAlign w:val="center"/>
            <w:hideMark/>
          </w:tcPr>
          <w:p w14:paraId="052344EB"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natural gas, combined cycle power plant</w:t>
            </w:r>
          </w:p>
        </w:tc>
        <w:tc>
          <w:tcPr>
            <w:tcW w:w="3402" w:type="dxa"/>
            <w:noWrap/>
            <w:vAlign w:val="center"/>
            <w:hideMark/>
          </w:tcPr>
          <w:p w14:paraId="35179961"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US-MRO, US-NPCC, US-RFC, US-SERC, US-TRE, US-WECC</w:t>
            </w:r>
          </w:p>
        </w:tc>
      </w:tr>
      <w:tr w:rsidR="00F257AC" w:rsidRPr="00F257AC" w14:paraId="48364BE1"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479483C"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Natural Gas Conventional</w:t>
            </w:r>
          </w:p>
        </w:tc>
        <w:tc>
          <w:tcPr>
            <w:tcW w:w="5103" w:type="dxa"/>
            <w:noWrap/>
            <w:vAlign w:val="center"/>
            <w:hideMark/>
          </w:tcPr>
          <w:p w14:paraId="7BD4FF08"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natural gas, conventional power plant</w:t>
            </w:r>
          </w:p>
        </w:tc>
        <w:tc>
          <w:tcPr>
            <w:tcW w:w="3402" w:type="dxa"/>
            <w:noWrap/>
            <w:vAlign w:val="center"/>
            <w:hideMark/>
          </w:tcPr>
          <w:p w14:paraId="3548E2EC"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US-MRO, US-NPCC, US-RFC, US-SERC, US-TRE, US-WECC</w:t>
            </w:r>
          </w:p>
        </w:tc>
      </w:tr>
      <w:tr w:rsidR="00F257AC" w:rsidRPr="00F257AC" w14:paraId="3B9F1CAB"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6609CFE7"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Wind</w:t>
            </w:r>
          </w:p>
        </w:tc>
        <w:tc>
          <w:tcPr>
            <w:tcW w:w="5103" w:type="dxa"/>
            <w:noWrap/>
            <w:vAlign w:val="center"/>
            <w:hideMark/>
          </w:tcPr>
          <w:p w14:paraId="2179B09B"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wind, &gt;3MW turbine, onshore</w:t>
            </w:r>
          </w:p>
        </w:tc>
        <w:tc>
          <w:tcPr>
            <w:tcW w:w="3402" w:type="dxa"/>
            <w:noWrap/>
            <w:vAlign w:val="center"/>
            <w:hideMark/>
          </w:tcPr>
          <w:p w14:paraId="5478DC0F"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US-HICC, US-MRO, US-NPCC, US-RFC, US-SERC, US-TRE, US-WECC</w:t>
            </w:r>
          </w:p>
        </w:tc>
      </w:tr>
      <w:tr w:rsidR="00F257AC" w:rsidRPr="00F257AC" w14:paraId="1A8EE13E"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621B9134"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Offshore Wind</w:t>
            </w:r>
          </w:p>
        </w:tc>
        <w:tc>
          <w:tcPr>
            <w:tcW w:w="5103" w:type="dxa"/>
            <w:noWrap/>
            <w:vAlign w:val="center"/>
            <w:hideMark/>
          </w:tcPr>
          <w:p w14:paraId="569E63DC"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wind, 1-3MW turbine, offshore</w:t>
            </w:r>
          </w:p>
        </w:tc>
        <w:tc>
          <w:tcPr>
            <w:tcW w:w="3402" w:type="dxa"/>
            <w:noWrap/>
            <w:vAlign w:val="center"/>
            <w:hideMark/>
          </w:tcPr>
          <w:p w14:paraId="1569E550"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GB</w:t>
            </w:r>
          </w:p>
        </w:tc>
      </w:tr>
      <w:tr w:rsidR="00F257AC" w:rsidRPr="00F257AC" w14:paraId="177878D6"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7663BD52"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Solar Photovoltaic</w:t>
            </w:r>
          </w:p>
        </w:tc>
        <w:tc>
          <w:tcPr>
            <w:tcW w:w="5103" w:type="dxa"/>
            <w:noWrap/>
            <w:vAlign w:val="center"/>
            <w:hideMark/>
          </w:tcPr>
          <w:p w14:paraId="6B62DCA9"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photovoltaic, 570kWp open ground installation, multi-Si</w:t>
            </w:r>
          </w:p>
        </w:tc>
        <w:tc>
          <w:tcPr>
            <w:tcW w:w="3402" w:type="dxa"/>
            <w:noWrap/>
            <w:vAlign w:val="center"/>
            <w:hideMark/>
          </w:tcPr>
          <w:p w14:paraId="4AB8328F"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US-HICC, US-NPCC, US-RFC, US-SERC, US-WECC</w:t>
            </w:r>
          </w:p>
        </w:tc>
      </w:tr>
      <w:tr w:rsidR="00F257AC" w:rsidRPr="00F257AC" w14:paraId="3CC08F4C"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03C057E7"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Hydropower</w:t>
            </w:r>
          </w:p>
        </w:tc>
        <w:tc>
          <w:tcPr>
            <w:tcW w:w="5103" w:type="dxa"/>
            <w:noWrap/>
            <w:vAlign w:val="center"/>
            <w:hideMark/>
          </w:tcPr>
          <w:p w14:paraId="04F8E834"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roofErr w:type="gramStart"/>
            <w:r w:rsidRPr="00F257AC">
              <w:rPr>
                <w:rFonts w:eastAsia="Times New Roman"/>
                <w:color w:val="000000"/>
                <w:sz w:val="20"/>
                <w:szCs w:val="20"/>
              </w:rPr>
              <w:t>electricity production</w:t>
            </w:r>
            <w:proofErr w:type="gramEnd"/>
            <w:r w:rsidRPr="00F257AC">
              <w:rPr>
                <w:rFonts w:eastAsia="Times New Roman"/>
                <w:color w:val="000000"/>
                <w:sz w:val="20"/>
                <w:szCs w:val="20"/>
              </w:rPr>
              <w:t>, hydro, reservoir, non-alpine region</w:t>
            </w:r>
          </w:p>
        </w:tc>
        <w:tc>
          <w:tcPr>
            <w:tcW w:w="3402" w:type="dxa"/>
            <w:noWrap/>
            <w:vAlign w:val="center"/>
            <w:hideMark/>
          </w:tcPr>
          <w:p w14:paraId="5BF0B79B"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US-HICC, US-SERC, US-TRE</w:t>
            </w:r>
          </w:p>
        </w:tc>
      </w:tr>
      <w:tr w:rsidR="00F257AC" w:rsidRPr="00F257AC" w14:paraId="48232576"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2463638"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Solar Thermal</w:t>
            </w:r>
          </w:p>
        </w:tc>
        <w:tc>
          <w:tcPr>
            <w:tcW w:w="5103" w:type="dxa"/>
            <w:noWrap/>
            <w:vAlign w:val="center"/>
            <w:hideMark/>
          </w:tcPr>
          <w:p w14:paraId="1A9AD37E"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solar thermal parabolic trough, 50 MW</w:t>
            </w:r>
          </w:p>
        </w:tc>
        <w:tc>
          <w:tcPr>
            <w:tcW w:w="3402" w:type="dxa"/>
            <w:noWrap/>
            <w:vAlign w:val="center"/>
            <w:hideMark/>
          </w:tcPr>
          <w:p w14:paraId="40B057C0"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US-SERC, US-WECC</w:t>
            </w:r>
          </w:p>
        </w:tc>
      </w:tr>
      <w:tr w:rsidR="00F257AC" w:rsidRPr="00F257AC" w14:paraId="2ADCA6EC"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0760E900"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Geothermal</w:t>
            </w:r>
          </w:p>
        </w:tc>
        <w:tc>
          <w:tcPr>
            <w:tcW w:w="5103" w:type="dxa"/>
            <w:noWrap/>
            <w:vAlign w:val="center"/>
            <w:hideMark/>
          </w:tcPr>
          <w:p w14:paraId="2BD76344"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deep geothermal</w:t>
            </w:r>
          </w:p>
        </w:tc>
        <w:tc>
          <w:tcPr>
            <w:tcW w:w="3402" w:type="dxa"/>
            <w:noWrap/>
            <w:vAlign w:val="center"/>
            <w:hideMark/>
          </w:tcPr>
          <w:p w14:paraId="0107FF60"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US-HICC, US-SERC, US-WECC</w:t>
            </w:r>
          </w:p>
        </w:tc>
      </w:tr>
      <w:tr w:rsidR="00F257AC" w:rsidRPr="00F257AC" w14:paraId="7608B06C" w14:textId="77777777" w:rsidTr="00D435E4">
        <w:trPr>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6DFC632E"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Wood and Other Biomass</w:t>
            </w:r>
          </w:p>
        </w:tc>
        <w:tc>
          <w:tcPr>
            <w:tcW w:w="5103" w:type="dxa"/>
            <w:noWrap/>
            <w:vAlign w:val="center"/>
            <w:hideMark/>
          </w:tcPr>
          <w:p w14:paraId="0675D0F1"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production, natural gas, conventional power plant</w:t>
            </w:r>
          </w:p>
        </w:tc>
        <w:tc>
          <w:tcPr>
            <w:tcW w:w="3402" w:type="dxa"/>
            <w:noWrap/>
            <w:vAlign w:val="center"/>
            <w:hideMark/>
          </w:tcPr>
          <w:p w14:paraId="70DD54BC" w14:textId="77777777" w:rsidR="00F257AC" w:rsidRPr="00F257AC" w:rsidRDefault="00F257AC" w:rsidP="00B24E42">
            <w:pPr>
              <w:keepNext/>
              <w:keepLines/>
              <w:jc w:val="lef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US-ASCC, US-MRO, US-NPCC, US-RFC, US-SERC, US-TRE, US-WECC</w:t>
            </w:r>
          </w:p>
        </w:tc>
      </w:tr>
      <w:tr w:rsidR="00F257AC" w:rsidRPr="00F257AC" w14:paraId="3AAE1A20" w14:textId="77777777" w:rsidTr="00D435E4">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vAlign w:val="center"/>
            <w:hideMark/>
          </w:tcPr>
          <w:p w14:paraId="46651073" w14:textId="77777777" w:rsidR="00F257AC" w:rsidRPr="00F257AC" w:rsidRDefault="00F257AC" w:rsidP="00B24E42">
            <w:pPr>
              <w:keepNext/>
              <w:keepLines/>
              <w:jc w:val="left"/>
              <w:rPr>
                <w:rFonts w:eastAsia="Times New Roman"/>
                <w:color w:val="000000"/>
                <w:sz w:val="20"/>
                <w:szCs w:val="20"/>
              </w:rPr>
            </w:pPr>
            <w:r w:rsidRPr="00F257AC">
              <w:rPr>
                <w:rFonts w:eastAsia="Times New Roman"/>
                <w:color w:val="000000"/>
                <w:sz w:val="20"/>
                <w:szCs w:val="20"/>
              </w:rPr>
              <w:t>Biogenic Municipal Waste</w:t>
            </w:r>
          </w:p>
        </w:tc>
        <w:tc>
          <w:tcPr>
            <w:tcW w:w="5103" w:type="dxa"/>
            <w:noWrap/>
            <w:vAlign w:val="center"/>
            <w:hideMark/>
          </w:tcPr>
          <w:p w14:paraId="2E34F74D"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electricity, from municipal waste incineration to generic market for electricity, medium voltage</w:t>
            </w:r>
          </w:p>
        </w:tc>
        <w:tc>
          <w:tcPr>
            <w:tcW w:w="3402" w:type="dxa"/>
            <w:noWrap/>
            <w:vAlign w:val="center"/>
            <w:hideMark/>
          </w:tcPr>
          <w:p w14:paraId="4100118D" w14:textId="77777777" w:rsidR="00F257AC" w:rsidRPr="00F257AC" w:rsidRDefault="00F257AC" w:rsidP="00B24E42">
            <w:pPr>
              <w:keepNext/>
              <w:keepLines/>
              <w:jc w:val="lef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F257AC">
              <w:rPr>
                <w:rFonts w:eastAsia="Times New Roman"/>
                <w:color w:val="000000"/>
                <w:sz w:val="20"/>
                <w:szCs w:val="20"/>
              </w:rPr>
              <w:t>CA-ON</w:t>
            </w:r>
          </w:p>
        </w:tc>
      </w:tr>
    </w:tbl>
    <w:p w14:paraId="442D178A" w14:textId="77777777" w:rsid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17043E90" w14:textId="18E0CFE4" w:rsidR="00B24E42" w:rsidRDefault="00B24E42">
      <w:pPr>
        <w:jc w:val="left"/>
        <w:rPr>
          <w:rFonts w:ascii="Times New Roman" w:eastAsia="SimSun" w:hAnsi="Times New Roman" w:cs="Times New Roman"/>
          <w:color w:val="000000"/>
        </w:rPr>
      </w:pPr>
      <w:r>
        <w:rPr>
          <w:rFonts w:ascii="Times New Roman" w:eastAsia="SimSun" w:hAnsi="Times New Roman" w:cs="Times New Roman"/>
          <w:color w:val="000000"/>
        </w:rPr>
        <w:br w:type="page"/>
      </w:r>
    </w:p>
    <w:p w14:paraId="10ECE1C7"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b/>
          <w:bCs/>
          <w:color w:val="000000"/>
        </w:rPr>
        <w:lastRenderedPageBreak/>
        <w:t xml:space="preserve">Supporting Information S2: </w:t>
      </w:r>
      <w:r w:rsidRPr="00F257AC">
        <w:rPr>
          <w:rFonts w:ascii="Times New Roman" w:eastAsia="SimSun" w:hAnsi="Times New Roman" w:cs="Times New Roman"/>
          <w:color w:val="000000"/>
        </w:rPr>
        <w:t>Descriptive figures of data inputs.</w:t>
      </w:r>
    </w:p>
    <w:p w14:paraId="6A9E3E32"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drawing>
          <wp:inline distT="0" distB="0" distL="0" distR="0" wp14:anchorId="69FDB6F7" wp14:editId="7B046BA0">
            <wp:extent cx="5507542" cy="3166263"/>
            <wp:effectExtent l="0" t="0" r="0" b="0"/>
            <wp:docPr id="1947096919" name="Picture 4" descr="A colorful gradient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96919" name="Picture 4" descr="A colorful gradient of lin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12113" cy="3168891"/>
                    </a:xfrm>
                    <a:prstGeom prst="rect">
                      <a:avLst/>
                    </a:prstGeom>
                    <a:noFill/>
                    <a:ln>
                      <a:noFill/>
                    </a:ln>
                  </pic:spPr>
                </pic:pic>
              </a:graphicData>
            </a:graphic>
          </wp:inline>
        </w:drawing>
      </w:r>
    </w:p>
    <w:p w14:paraId="53C4F920"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color w:val="000000"/>
        </w:rPr>
      </w:pPr>
      <w:bookmarkStart w:id="3" w:name="_Ref203733883"/>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1</w:t>
      </w:r>
      <w:r w:rsidRPr="00F257AC">
        <w:rPr>
          <w:rFonts w:ascii="Times New Roman" w:eastAsia="SimSun" w:hAnsi="Times New Roman" w:cs="Times New Roman"/>
          <w:b/>
          <w:bCs/>
          <w:color w:val="000000"/>
        </w:rPr>
        <w:fldChar w:fldCharType="end"/>
      </w:r>
      <w:bookmarkEnd w:id="3"/>
      <w:r w:rsidRPr="00F257AC">
        <w:rPr>
          <w:rFonts w:ascii="Times New Roman" w:eastAsia="SimSun" w:hAnsi="Times New Roman" w:cs="Times New Roman"/>
          <w:color w:val="000000"/>
        </w:rPr>
        <w:t xml:space="preserve">. Vehicle sales disaggregation by state based on historical data of EV registrations (difference year-to-year) </w:t>
      </w:r>
      <w:sdt>
        <w:sdtPr>
          <w:rPr>
            <w:rFonts w:ascii="Times New Roman" w:eastAsia="SimSun" w:hAnsi="Times New Roman" w:cs="Times New Roman"/>
            <w:color w:val="000000"/>
          </w:rPr>
          <w:tag w:val="MENDELEY_CITATION_v3_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"/>
          <w:id w:val="2145380753"/>
          <w:placeholder>
            <w:docPart w:val="6E4C4EEF2C224938908CA8C998F0BD2D"/>
          </w:placeholder>
        </w:sdtPr>
        <w:sdtContent>
          <w:r w:rsidRPr="00F257AC">
            <w:rPr>
              <w:rFonts w:ascii="Times New Roman" w:eastAsia="SimSun" w:hAnsi="Times New Roman" w:cs="Times New Roman"/>
              <w:color w:val="000000"/>
            </w:rPr>
            <w:t>(DOE, 2024)</w:t>
          </w:r>
        </w:sdtContent>
      </w:sdt>
      <w:r w:rsidRPr="00F257AC">
        <w:rPr>
          <w:rFonts w:ascii="Times New Roman" w:eastAsia="SimSun" w:hAnsi="Times New Roman" w:cs="Times New Roman"/>
          <w:color w:val="000000"/>
        </w:rPr>
        <w:t xml:space="preserve"> and based on population shares by state </w:t>
      </w:r>
      <w:sdt>
        <w:sdtPr>
          <w:rPr>
            <w:rFonts w:ascii="Times New Roman" w:eastAsia="SimSun" w:hAnsi="Times New Roman" w:cs="Times New Roman"/>
            <w:color w:val="000000"/>
          </w:rPr>
          <w:tag w:val="MENDELEY_CITATION_v3_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"/>
          <w:id w:val="1037231421"/>
          <w:placeholder>
            <w:docPart w:val="6E4C4EEF2C224938908CA8C998F0BD2D"/>
          </w:placeholder>
        </w:sdtPr>
        <w:sdtContent>
          <w:r w:rsidRPr="00F257AC">
            <w:rPr>
              <w:rFonts w:ascii="Times New Roman" w:eastAsia="SimSun" w:hAnsi="Times New Roman" w:cs="Times New Roman"/>
              <w:color w:val="000000"/>
            </w:rPr>
            <w:t>(U.S. Census Bureau, 2025)</w:t>
          </w:r>
        </w:sdtContent>
      </w:sdt>
      <w:r w:rsidRPr="00F257AC">
        <w:rPr>
          <w:rFonts w:ascii="Times New Roman" w:eastAsia="SimSun" w:hAnsi="Times New Roman" w:cs="Times New Roman"/>
          <w:color w:val="000000"/>
        </w:rPr>
        <w:t xml:space="preserve">. From 2022 to 2035 a linear interpolation between 2022 EV registration shares and population shares was assumed. </w:t>
      </w:r>
    </w:p>
    <w:p w14:paraId="46962F3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0A9E5515"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color w:val="000000"/>
        </w:rPr>
      </w:pPr>
      <w:bookmarkStart w:id="4" w:name="OLE_LINK1"/>
      <w:r w:rsidRPr="00F257AC">
        <w:rPr>
          <w:rFonts w:ascii="Times New Roman" w:eastAsia="SimSun" w:hAnsi="Times New Roman" w:cs="Times New Roman"/>
          <w:noProof/>
          <w:color w:val="000000"/>
        </w:rPr>
        <w:lastRenderedPageBreak/>
        <w:drawing>
          <wp:inline distT="0" distB="0" distL="0" distR="0" wp14:anchorId="3A991CE9" wp14:editId="1EF6EA57">
            <wp:extent cx="5943600" cy="2971800"/>
            <wp:effectExtent l="0" t="0" r="0" b="0"/>
            <wp:docPr id="314" name="Google Shape;314;p18" descr="A screenshot of a graph&#10;&#10;AI-generated content may be incorrect."/>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14" name="Google Shape;314;p18" descr="A screenshot of a graph&#10;&#10;AI-generated content may be incorrect."/>
                    <pic:cNvPicPr preferRelativeResize="0">
                      <a:picLocks noGrp="1"/>
                    </pic:cNvPicPr>
                  </pic:nvPicPr>
                  <pic:blipFill rotWithShape="1">
                    <a:blip r:embed="rId8">
                      <a:alphaModFix/>
                    </a:blip>
                    <a:srcRect/>
                    <a:stretch/>
                  </pic:blipFill>
                  <pic:spPr>
                    <a:xfrm>
                      <a:off x="0" y="0"/>
                      <a:ext cx="5943600" cy="2971800"/>
                    </a:xfrm>
                    <a:prstGeom prst="rect">
                      <a:avLst/>
                    </a:prstGeom>
                    <a:noFill/>
                    <a:ln>
                      <a:noFill/>
                    </a:ln>
                  </pic:spPr>
                </pic:pic>
              </a:graphicData>
            </a:graphic>
          </wp:inline>
        </w:drawing>
      </w:r>
    </w:p>
    <w:p w14:paraId="7732C305"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b/>
          <w:color w:val="153D63"/>
        </w:rPr>
      </w:pPr>
      <w:bookmarkStart w:id="5" w:name="_Ref203733866"/>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2</w:t>
      </w:r>
      <w:r w:rsidRPr="00F257AC">
        <w:rPr>
          <w:rFonts w:ascii="Times New Roman" w:eastAsia="SimSun" w:hAnsi="Times New Roman" w:cs="Times New Roman"/>
          <w:b/>
          <w:bCs/>
          <w:color w:val="000000"/>
        </w:rPr>
        <w:fldChar w:fldCharType="end"/>
      </w:r>
      <w:bookmarkEnd w:id="5"/>
      <w:r w:rsidRPr="00F257AC">
        <w:rPr>
          <w:rFonts w:ascii="Times New Roman" w:eastAsia="SimSun" w:hAnsi="Times New Roman" w:cs="Times New Roman"/>
          <w:color w:val="000000"/>
        </w:rPr>
        <w:t xml:space="preserve">. Share of new vehicle sales by vehicle type (car or light truck) and transport region. Source: </w:t>
      </w:r>
      <w:sdt>
        <w:sdtPr>
          <w:rPr>
            <w:rFonts w:ascii="Times New Roman" w:eastAsia="SimSun" w:hAnsi="Times New Roman" w:cs="Times New Roman"/>
            <w:color w:val="000000"/>
          </w:rPr>
          <w:tag w:val="MENDELEY_CITATION_v3_eyJjaXRhdGlvbklEIjoiTUVOREVMRVlfQ0lUQVRJT05fNDdhOGVkYzEtZjlhOC00ZTIzLTkxMzktM2U0NWY2MzZmN2Y0IiwicHJvcGVydGllcyI6eyJub3RlSW5kZXgiOjB9LCJpc0VkaXRlZCI6ZmFsc2UsIm1hbnVhbE92ZXJyaWRlIjp7ImNpdGVwcm9jVGV4dCI6IihFSUEsIDIwMjViKSIsImlzTWFudWFsbHlPdmVycmlkZGVuIjpmYWxzZS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255984598"/>
          <w:placeholder>
            <w:docPart w:val="6E4C4EEF2C224938908CA8C998F0BD2D"/>
          </w:placeholder>
        </w:sdtPr>
        <w:sdtContent>
          <w:r w:rsidRPr="00F257AC">
            <w:rPr>
              <w:rFonts w:ascii="Times New Roman" w:eastAsia="SimSun" w:hAnsi="Times New Roman" w:cs="Times New Roman"/>
              <w:color w:val="000000"/>
            </w:rPr>
            <w:t>(EIA, 2025b)</w:t>
          </w:r>
        </w:sdtContent>
      </w:sdt>
      <w:r w:rsidRPr="00F257AC">
        <w:rPr>
          <w:rFonts w:ascii="Times New Roman" w:eastAsia="SimSun" w:hAnsi="Times New Roman" w:cs="Times New Roman"/>
          <w:color w:val="000000"/>
        </w:rPr>
        <w:t xml:space="preserve"> Table 38. Light-Duty Vehicle Sales by Technology Type.</w:t>
      </w:r>
    </w:p>
    <w:bookmarkEnd w:id="4"/>
    <w:p w14:paraId="71708017"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03EED424"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0188E154" wp14:editId="7B38FF32">
            <wp:extent cx="5943600" cy="3962400"/>
            <wp:effectExtent l="0" t="0" r="0" b="0"/>
            <wp:docPr id="1179589144" name="Picture 4"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89144" name="Picture 4" descr="A chart of different color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C4D1E33"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6" w:name="_Ref212035844"/>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3</w:t>
      </w:r>
      <w:r w:rsidRPr="00F257AC">
        <w:rPr>
          <w:rFonts w:ascii="Times New Roman" w:eastAsia="SimSun" w:hAnsi="Times New Roman" w:cs="Times New Roman"/>
          <w:b/>
          <w:bCs/>
          <w:color w:val="000000"/>
        </w:rPr>
        <w:fldChar w:fldCharType="end"/>
      </w:r>
      <w:bookmarkEnd w:id="6"/>
      <w:r w:rsidRPr="00F257AC">
        <w:rPr>
          <w:rFonts w:ascii="Times New Roman" w:eastAsia="SimSun" w:hAnsi="Times New Roman" w:cs="Times New Roman"/>
          <w:b/>
          <w:bCs/>
          <w:color w:val="000000"/>
        </w:rPr>
        <w:t xml:space="preserve">. </w:t>
      </w:r>
      <w:r w:rsidRPr="00F257AC">
        <w:rPr>
          <w:rFonts w:ascii="Times New Roman" w:eastAsia="SimSun" w:hAnsi="Times New Roman" w:cs="Times New Roman"/>
          <w:color w:val="000000"/>
        </w:rPr>
        <w:t>Average battery capacity by cathode chemistry and vehicle type. Source: EV Volumes</w:t>
      </w:r>
      <w:sdt>
        <w:sdtPr>
          <w:rPr>
            <w:rFonts w:ascii="Times New Roman" w:eastAsia="SimSun" w:hAnsi="Times New Roman" w:cs="Times New Roman"/>
            <w:color w:val="000000"/>
          </w:rPr>
          <w:tag w:val="MENDELEY_CITATION_v3_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"/>
          <w:id w:val="-781413690"/>
          <w:placeholder>
            <w:docPart w:val="EC4D9B2BE559479E868646A605525C94"/>
          </w:placeholder>
        </w:sdtPr>
        <w:sdtContent>
          <w:r w:rsidRPr="00F257AC">
            <w:rPr>
              <w:rFonts w:ascii="Times New Roman" w:eastAsia="SimSun" w:hAnsi="Times New Roman" w:cs="Times New Roman"/>
              <w:color w:val="000000"/>
            </w:rPr>
            <w:t>(J.D. Power, 2025)</w:t>
          </w:r>
        </w:sdtContent>
      </w:sdt>
      <w:r w:rsidRPr="00F257AC">
        <w:rPr>
          <w:rFonts w:ascii="Times New Roman" w:eastAsia="SimSun" w:hAnsi="Times New Roman" w:cs="Times New Roman"/>
          <w:color w:val="000000"/>
        </w:rPr>
        <w:t>.</w:t>
      </w:r>
    </w:p>
    <w:p w14:paraId="358C826A"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54A31D65" wp14:editId="10AB9737">
            <wp:extent cx="5943600" cy="4309110"/>
            <wp:effectExtent l="0" t="0" r="0" b="0"/>
            <wp:docPr id="974862091" name="Picture 12" descr="A graph of a vehicle fl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62091" name="Picture 12" descr="A graph of a vehicle flee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309110"/>
                    </a:xfrm>
                    <a:prstGeom prst="rect">
                      <a:avLst/>
                    </a:prstGeom>
                    <a:noFill/>
                    <a:ln>
                      <a:noFill/>
                    </a:ln>
                  </pic:spPr>
                </pic:pic>
              </a:graphicData>
            </a:graphic>
          </wp:inline>
        </w:drawing>
      </w:r>
    </w:p>
    <w:p w14:paraId="6A73E7F5"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7" w:name="_Ref212039006"/>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4</w:t>
      </w:r>
      <w:r w:rsidRPr="00F257AC">
        <w:rPr>
          <w:rFonts w:ascii="Times New Roman" w:eastAsia="SimSun" w:hAnsi="Times New Roman" w:cs="Times New Roman"/>
          <w:b/>
          <w:bCs/>
          <w:color w:val="000000"/>
        </w:rPr>
        <w:fldChar w:fldCharType="end"/>
      </w:r>
      <w:bookmarkEnd w:id="7"/>
      <w:r w:rsidRPr="00F257AC">
        <w:rPr>
          <w:rFonts w:ascii="Times New Roman" w:eastAsia="SimSun" w:hAnsi="Times New Roman" w:cs="Times New Roman"/>
          <w:b/>
          <w:bCs/>
          <w:color w:val="000000"/>
        </w:rPr>
        <w:t>.</w:t>
      </w:r>
      <w:r w:rsidRPr="00F257AC">
        <w:rPr>
          <w:rFonts w:ascii="Times New Roman" w:eastAsia="SimSun" w:hAnsi="Times New Roman" w:cs="Times New Roman"/>
          <w:color w:val="000000"/>
        </w:rPr>
        <w:t xml:space="preserve"> Vehicle fleet for EV in the US, or ICEV counterfactual. The model scope ignores current ICEV fleet or projected ICEV sales, it only considers a counterfactual scenario where each future EV sold becomes an ICEV.</w:t>
      </w:r>
    </w:p>
    <w:p w14:paraId="7B969ED5" w14:textId="77777777" w:rsidR="00F257AC" w:rsidRPr="00F257AC" w:rsidRDefault="00F257AC" w:rsidP="00F257AC">
      <w:pPr>
        <w:pBdr>
          <w:top w:val="nil"/>
          <w:left w:val="nil"/>
          <w:bottom w:val="nil"/>
          <w:right w:val="nil"/>
          <w:between w:val="nil"/>
        </w:pBdr>
        <w:spacing w:before="280" w:after="280" w:line="360" w:lineRule="auto"/>
        <w:jc w:val="center"/>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21D4E58F" wp14:editId="7F776AD9">
            <wp:extent cx="4696460" cy="3131185"/>
            <wp:effectExtent l="0" t="0" r="8890" b="0"/>
            <wp:docPr id="545069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96460" cy="3131185"/>
                    </a:xfrm>
                    <a:prstGeom prst="rect">
                      <a:avLst/>
                    </a:prstGeom>
                    <a:noFill/>
                    <a:ln>
                      <a:noFill/>
                    </a:ln>
                  </pic:spPr>
                </pic:pic>
              </a:graphicData>
            </a:graphic>
          </wp:inline>
        </w:drawing>
      </w:r>
    </w:p>
    <w:p w14:paraId="5C5842BE"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b/>
          <w:color w:val="153D63"/>
        </w:rPr>
      </w:pPr>
      <w:bookmarkStart w:id="8" w:name="_Ref203731626"/>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5</w:t>
      </w:r>
      <w:r w:rsidRPr="00F257AC">
        <w:rPr>
          <w:rFonts w:ascii="Times New Roman" w:eastAsia="SimSun" w:hAnsi="Times New Roman" w:cs="Times New Roman"/>
          <w:b/>
          <w:bCs/>
          <w:color w:val="000000"/>
        </w:rPr>
        <w:fldChar w:fldCharType="end"/>
      </w:r>
      <w:bookmarkEnd w:id="8"/>
      <w:r w:rsidRPr="00F257AC">
        <w:rPr>
          <w:rFonts w:ascii="Times New Roman" w:eastAsia="SimSun" w:hAnsi="Times New Roman" w:cs="Times New Roman"/>
          <w:color w:val="000000"/>
        </w:rPr>
        <w:t xml:space="preserve">. Annual miles traveled by vehicle age and type. Source: </w:t>
      </w:r>
      <w:sdt>
        <w:sdtPr>
          <w:rPr>
            <w:rFonts w:ascii="Times New Roman" w:eastAsia="SimSun" w:hAnsi="Times New Roman" w:cs="Times New Roman"/>
            <w:color w:val="000000"/>
          </w:rPr>
          <w:tag w:val="MENDELEY_CITATION_v3_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"/>
          <w:id w:val="530151320"/>
          <w:placeholder>
            <w:docPart w:val="997D0730D6E543568D52BCF6632D72B9"/>
          </w:placeholder>
        </w:sdtPr>
        <w:sdtContent>
          <w:r w:rsidRPr="00F257AC">
            <w:rPr>
              <w:rFonts w:ascii="Times New Roman" w:eastAsia="Times New Roman" w:hAnsi="Times New Roman" w:cs="Times New Roman"/>
              <w:color w:val="000000"/>
            </w:rPr>
            <w:t>(Davis &amp; Boundy, 2022)</w:t>
          </w:r>
        </w:sdtContent>
      </w:sdt>
      <w:r w:rsidRPr="00F257AC">
        <w:rPr>
          <w:rFonts w:ascii="Times New Roman" w:eastAsia="SimSun" w:hAnsi="Times New Roman" w:cs="Times New Roman"/>
          <w:color w:val="000000"/>
        </w:rPr>
        <w:t xml:space="preserve">. </w:t>
      </w:r>
    </w:p>
    <w:p w14:paraId="41056C7C"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234B071D" wp14:editId="105C95D1">
            <wp:extent cx="5943600" cy="3962400"/>
            <wp:effectExtent l="0" t="0" r="0" b="0"/>
            <wp:docPr id="177292140" name="Picture 14" descr="A graph of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92140" name="Picture 14" descr="A graph of a ca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81F9563"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9" w:name="_Ref212039768"/>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6</w:t>
      </w:r>
      <w:r w:rsidRPr="00F257AC">
        <w:rPr>
          <w:rFonts w:ascii="Times New Roman" w:eastAsia="SimSun" w:hAnsi="Times New Roman" w:cs="Times New Roman"/>
          <w:b/>
          <w:bCs/>
          <w:color w:val="000000"/>
        </w:rPr>
        <w:fldChar w:fldCharType="end"/>
      </w:r>
      <w:bookmarkEnd w:id="9"/>
      <w:r w:rsidRPr="00F257AC">
        <w:rPr>
          <w:rFonts w:ascii="Times New Roman" w:eastAsia="SimSun" w:hAnsi="Times New Roman" w:cs="Times New Roman"/>
          <w:color w:val="000000"/>
        </w:rPr>
        <w:t>. Energy consumption in miles per gallon equivalent (using EPA conversion factor of 33.7 kWh per gallon of gasoline). ICEV vehicles have a scenario with a further 15% improvement in their efficiency. Source: EIA Annual Energy Outlook 2025. Table 40</w:t>
      </w:r>
      <w:sdt>
        <w:sdtPr>
          <w:rPr>
            <w:rFonts w:ascii="Times New Roman" w:eastAsia="SimSun" w:hAnsi="Times New Roman" w:cs="Times New Roman"/>
            <w:color w:val="000000"/>
          </w:rPr>
          <w:tag w:val="MENDELEY_CITATION_v3_eyJjaXRhdGlvbklEIjoiTUVOREVMRVlfQ0lUQVRJT05fNTJlYTAyOGEtOGQwMy00YjA3LWIxY2UtMDJiYWVkNTdlY2Q2IiwicHJvcGVydGllcyI6eyJub3RlSW5kZXgiOjB9LCJpc0VkaXRlZCI6ZmFsc2UsIm1hbnVhbE92ZXJyaWRlIjp7ImlzTWFudWFsbHlPdmVycmlkZGVuIjpmYWxzZSwiY2l0ZXByb2NUZXh0IjoiKEVJQSwgMjAyNWIpIi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1230348659"/>
          <w:placeholder>
            <w:docPart w:val="EC4D9B2BE559479E868646A605525C94"/>
          </w:placeholder>
        </w:sdtPr>
        <w:sdtContent>
          <w:r w:rsidRPr="00F257AC">
            <w:rPr>
              <w:rFonts w:ascii="Times New Roman" w:eastAsia="SimSun" w:hAnsi="Times New Roman" w:cs="Times New Roman"/>
              <w:color w:val="000000"/>
            </w:rPr>
            <w:t>(EIA, 2025b)</w:t>
          </w:r>
        </w:sdtContent>
      </w:sdt>
      <w:r w:rsidRPr="00F257AC">
        <w:rPr>
          <w:rFonts w:ascii="Times New Roman" w:eastAsia="SimSun" w:hAnsi="Times New Roman" w:cs="Times New Roman"/>
          <w:color w:val="000000"/>
        </w:rPr>
        <w:t>.</w:t>
      </w:r>
    </w:p>
    <w:p w14:paraId="3EB29D41"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6547997B"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06D7FFD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4AEC21D5" wp14:editId="5FDAB6FA">
            <wp:extent cx="5943600" cy="3116580"/>
            <wp:effectExtent l="0" t="0" r="0" b="7620"/>
            <wp:docPr id="67559247" name="Picture 1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59247" name="Picture 16" descr="A screenshot of a grap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16580"/>
                    </a:xfrm>
                    <a:prstGeom prst="rect">
                      <a:avLst/>
                    </a:prstGeom>
                    <a:noFill/>
                    <a:ln>
                      <a:noFill/>
                    </a:ln>
                  </pic:spPr>
                </pic:pic>
              </a:graphicData>
            </a:graphic>
          </wp:inline>
        </w:drawing>
      </w:r>
    </w:p>
    <w:p w14:paraId="277EB41F"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b/>
          <w:color w:val="153D63"/>
        </w:rPr>
      </w:pPr>
      <w:bookmarkStart w:id="10" w:name="_Ref203731664"/>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7</w:t>
      </w:r>
      <w:r w:rsidRPr="00F257AC">
        <w:rPr>
          <w:rFonts w:ascii="Times New Roman" w:eastAsia="SimSun" w:hAnsi="Times New Roman" w:cs="Times New Roman"/>
          <w:b/>
          <w:bCs/>
          <w:color w:val="000000"/>
        </w:rPr>
        <w:fldChar w:fldCharType="end"/>
      </w:r>
      <w:bookmarkEnd w:id="10"/>
      <w:r w:rsidRPr="00F257AC">
        <w:rPr>
          <w:rFonts w:ascii="Times New Roman" w:eastAsia="SimSun" w:hAnsi="Times New Roman" w:cs="Times New Roman"/>
          <w:color w:val="000000"/>
        </w:rPr>
        <w:t xml:space="preserve">. Electricity generation forecast by EIA electricity market module region. Natural gas was disaggregated into conventional and combined cycle based on installed capacity. Source: EIA Annual Energy Outlook 2025 Electricity and renewable fuel tables (tables 54–56) </w:t>
      </w:r>
      <w:sdt>
        <w:sdtPr>
          <w:rPr>
            <w:rFonts w:ascii="Times New Roman" w:eastAsia="SimSun" w:hAnsi="Times New Roman" w:cs="Times New Roman"/>
            <w:color w:val="000000"/>
          </w:rPr>
          <w:tag w:val="MENDELEY_CITATION_v3_eyJjaXRhdGlvbklEIjoiTUVOREVMRVlfQ0lUQVRJT05fYzJhNTA4NmUtMzlmZi00MWEwLWI1YzItOGU2MjlkN2M1ZGI5IiwicHJvcGVydGllcyI6eyJub3RlSW5kZXgiOjB9LCJpc0VkaXRlZCI6ZmFsc2UsIm1hbnVhbE92ZXJyaWRlIjp7ImNpdGVwcm9jVGV4dCI6IihFSUEsIDIwMjViKSIsImlzTWFudWFsbHlPdmVycmlkZGVuIjpmYWxzZS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1872262145"/>
          <w:placeholder>
            <w:docPart w:val="EC4D9B2BE559479E868646A605525C94"/>
          </w:placeholder>
        </w:sdtPr>
        <w:sdtContent>
          <w:r w:rsidRPr="00F257AC">
            <w:rPr>
              <w:rFonts w:ascii="Times New Roman" w:eastAsia="SimSun" w:hAnsi="Times New Roman" w:cs="Times New Roman"/>
              <w:color w:val="000000"/>
            </w:rPr>
            <w:t>(EIA, 2025b)</w:t>
          </w:r>
        </w:sdtContent>
      </w:sdt>
      <w:r w:rsidRPr="00F257AC">
        <w:rPr>
          <w:rFonts w:ascii="Times New Roman" w:eastAsia="SimSun" w:hAnsi="Times New Roman" w:cs="Times New Roman"/>
          <w:color w:val="000000"/>
        </w:rPr>
        <w:t xml:space="preserve">. mix forecast for Alaska and Hawaii systems, based on 2023 mix provided by EPA </w:t>
      </w:r>
      <w:proofErr w:type="spellStart"/>
      <w:r w:rsidRPr="00F257AC">
        <w:rPr>
          <w:rFonts w:ascii="Times New Roman" w:eastAsia="SimSun" w:hAnsi="Times New Roman" w:cs="Times New Roman"/>
          <w:color w:val="000000"/>
        </w:rPr>
        <w:t>eGRID</w:t>
      </w:r>
      <w:proofErr w:type="spellEnd"/>
      <w:r w:rsidRPr="00F257AC">
        <w:rPr>
          <w:rFonts w:ascii="Times New Roman" w:eastAsia="SimSun" w:hAnsi="Times New Roman" w:cs="Times New Roman"/>
          <w:color w:val="000000"/>
        </w:rPr>
        <w:t xml:space="preserve">. For Alaska a constant value from 2023 was assumed, and for Hawaii the 2045 policy mandate of 100% renewable energy was assumed, with a linear interpolation </w:t>
      </w:r>
      <w:sdt>
        <w:sdtPr>
          <w:rPr>
            <w:rFonts w:ascii="Times New Roman" w:eastAsia="SimSun" w:hAnsi="Times New Roman" w:cs="Times New Roman"/>
            <w:color w:val="000000"/>
          </w:rPr>
          <w:tag w:val="MENDELEY_CITATION_v3_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"/>
          <w:id w:val="1206291381"/>
          <w:placeholder>
            <w:docPart w:val="DC6DCFA0401D4BB8A27D7903EADD4A31"/>
          </w:placeholder>
        </w:sdtPr>
        <w:sdtContent>
          <w:r w:rsidRPr="00F257AC">
            <w:rPr>
              <w:rFonts w:ascii="Times New Roman" w:eastAsia="SimSun" w:hAnsi="Times New Roman" w:cs="Times New Roman"/>
              <w:color w:val="000000"/>
            </w:rPr>
            <w:t>(EIA, 2025c, 2025a)</w:t>
          </w:r>
        </w:sdtContent>
      </w:sdt>
      <w:r w:rsidRPr="00F257AC">
        <w:rPr>
          <w:rFonts w:ascii="Times New Roman" w:eastAsia="SimSun" w:hAnsi="Times New Roman" w:cs="Times New Roman"/>
          <w:color w:val="000000"/>
        </w:rPr>
        <w:t xml:space="preserve">. Source: EPA </w:t>
      </w:r>
      <w:proofErr w:type="spellStart"/>
      <w:r w:rsidRPr="00F257AC">
        <w:rPr>
          <w:rFonts w:ascii="Times New Roman" w:eastAsia="SimSun" w:hAnsi="Times New Roman" w:cs="Times New Roman"/>
          <w:color w:val="000000"/>
        </w:rPr>
        <w:t>eGRID</w:t>
      </w:r>
      <w:proofErr w:type="spellEnd"/>
      <w:r w:rsidRPr="00F257AC">
        <w:rPr>
          <w:rFonts w:ascii="Times New Roman" w:eastAsia="SimSun" w:hAnsi="Times New Roman" w:cs="Times New Roman"/>
          <w:color w:val="000000"/>
        </w:rPr>
        <w:t xml:space="preserve"> </w:t>
      </w:r>
      <w:sdt>
        <w:sdtPr>
          <w:rPr>
            <w:rFonts w:ascii="Times New Roman" w:eastAsia="SimSun" w:hAnsi="Times New Roman" w:cs="Times New Roman"/>
            <w:color w:val="000000"/>
          </w:rPr>
          <w:tag w:val="MENDELEY_CITATION_v3_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"/>
          <w:id w:val="-720895805"/>
          <w:placeholder>
            <w:docPart w:val="DC6DCFA0401D4BB8A27D7903EADD4A31"/>
          </w:placeholder>
        </w:sdtPr>
        <w:sdtContent>
          <w:r w:rsidRPr="00F257AC">
            <w:rPr>
              <w:rFonts w:ascii="Times New Roman" w:eastAsia="SimSun" w:hAnsi="Times New Roman" w:cs="Times New Roman"/>
              <w:color w:val="000000"/>
            </w:rPr>
            <w:t>(EIA, 2025b)</w:t>
          </w:r>
        </w:sdtContent>
      </w:sdt>
      <w:r w:rsidRPr="00F257AC">
        <w:rPr>
          <w:rFonts w:ascii="Times New Roman" w:eastAsia="SimSun" w:hAnsi="Times New Roman" w:cs="Times New Roman"/>
          <w:color w:val="000000"/>
        </w:rPr>
        <w:t>.</w:t>
      </w:r>
    </w:p>
    <w:p w14:paraId="42D0DB02"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b/>
          <w:color w:val="153D63"/>
        </w:rPr>
      </w:pPr>
    </w:p>
    <w:p w14:paraId="616EBC15"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7032621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57EA2535"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64AA836A" wp14:editId="7C80573D">
            <wp:extent cx="5935980" cy="3726180"/>
            <wp:effectExtent l="0" t="0" r="0" b="0"/>
            <wp:docPr id="1654954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726180"/>
                    </a:xfrm>
                    <a:prstGeom prst="rect">
                      <a:avLst/>
                    </a:prstGeom>
                    <a:noFill/>
                    <a:ln>
                      <a:noFill/>
                    </a:ln>
                  </pic:spPr>
                </pic:pic>
              </a:graphicData>
            </a:graphic>
          </wp:inline>
        </w:drawing>
      </w:r>
    </w:p>
    <w:p w14:paraId="4CA25113"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11" w:name="_Ref203731771"/>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8</w:t>
      </w:r>
      <w:r w:rsidRPr="00F257AC">
        <w:rPr>
          <w:rFonts w:ascii="Times New Roman" w:eastAsia="SimSun" w:hAnsi="Times New Roman" w:cs="Times New Roman"/>
          <w:b/>
          <w:bCs/>
          <w:color w:val="000000"/>
        </w:rPr>
        <w:fldChar w:fldCharType="end"/>
      </w:r>
      <w:bookmarkEnd w:id="11"/>
      <w:r w:rsidRPr="00F257AC">
        <w:rPr>
          <w:rFonts w:ascii="Times New Roman" w:eastAsia="SimSun" w:hAnsi="Times New Roman" w:cs="Times New Roman"/>
          <w:color w:val="000000"/>
        </w:rPr>
        <w:t>. Carbon intensity of electricity by county, in kg CO</w:t>
      </w:r>
      <w:r w:rsidRPr="00F257AC">
        <w:rPr>
          <w:rFonts w:ascii="Times New Roman" w:eastAsia="SimSun" w:hAnsi="Times New Roman" w:cs="Times New Roman"/>
          <w:color w:val="000000"/>
          <w:vertAlign w:val="subscript"/>
        </w:rPr>
        <w:t>2</w:t>
      </w:r>
      <w:r w:rsidRPr="00F257AC">
        <w:rPr>
          <w:rFonts w:ascii="Times New Roman" w:eastAsia="SimSun" w:hAnsi="Times New Roman" w:cs="Times New Roman"/>
          <w:color w:val="000000"/>
        </w:rPr>
        <w:t xml:space="preserve">e per MWh of electricity generated. Transmission and distribution losses are assumed to be 5%. Electricity emissions are estimated based on the forecast of electricity generation </w:t>
      </w:r>
      <w:sdt>
        <w:sdtPr>
          <w:rPr>
            <w:rFonts w:ascii="Times New Roman" w:eastAsia="SimSun" w:hAnsi="Times New Roman" w:cs="Times New Roman"/>
            <w:color w:val="000000"/>
          </w:rPr>
          <w:tag w:val="MENDELEY_CITATION_v3_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"/>
          <w:id w:val="-2071100728"/>
          <w:placeholder>
            <w:docPart w:val="EC4D9B2BE559479E868646A605525C94"/>
          </w:placeholder>
        </w:sdtPr>
        <w:sdtContent>
          <w:r w:rsidRPr="00F257AC">
            <w:rPr>
              <w:rFonts w:ascii="Times New Roman" w:eastAsia="SimSun" w:hAnsi="Times New Roman" w:cs="Times New Roman"/>
              <w:color w:val="000000"/>
            </w:rPr>
            <w:t>(EIA, 2025b; EPA, 2025)</w:t>
          </w:r>
        </w:sdtContent>
      </w:sdt>
      <w:r w:rsidRPr="00F257AC">
        <w:rPr>
          <w:rFonts w:ascii="Times New Roman" w:eastAsia="SimSun" w:hAnsi="Times New Roman" w:cs="Times New Roman"/>
          <w:color w:val="000000"/>
        </w:rPr>
        <w:t xml:space="preserve">, </w:t>
      </w:r>
      <w:proofErr w:type="spell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3.9 life cycle inventory emissions </w:t>
      </w:r>
      <w:sdt>
        <w:sdtPr>
          <w:rPr>
            <w:rFonts w:ascii="Times New Roman" w:eastAsia="SimSun" w:hAnsi="Times New Roman" w:cs="Times New Roman"/>
            <w:color w:val="000000"/>
          </w:rPr>
          <w:tag w:val="MENDELEY_CITATION_v3_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"/>
          <w:id w:val="68631114"/>
          <w:placeholder>
            <w:docPart w:val="EC4D9B2BE559479E868646A605525C94"/>
          </w:placeholder>
        </w:sdtPr>
        <w:sdtContent>
          <w:r w:rsidRPr="00F257AC">
            <w:rPr>
              <w:rFonts w:ascii="Times New Roman" w:eastAsia="SimSun" w:hAnsi="Times New Roman" w:cs="Times New Roman"/>
              <w:color w:val="000000"/>
            </w:rPr>
            <w:t>(</w:t>
          </w:r>
          <w:proofErr w:type="spell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Association, 2022)</w:t>
          </w:r>
        </w:sdtContent>
      </w:sdt>
      <w:r w:rsidRPr="00F257AC">
        <w:rPr>
          <w:rFonts w:ascii="Times New Roman" w:eastAsia="SimSun" w:hAnsi="Times New Roman" w:cs="Times New Roman"/>
          <w:color w:val="000000"/>
        </w:rPr>
        <w:t xml:space="preserve"> using AR6 impact factors excluding biogenic.</w:t>
      </w:r>
    </w:p>
    <w:p w14:paraId="0A0D122F"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b/>
          <w:bCs/>
          <w:color w:val="000000"/>
        </w:rPr>
        <w:lastRenderedPageBreak/>
        <w:t xml:space="preserve">Supporting Information S3: </w:t>
      </w:r>
      <w:r w:rsidRPr="00F257AC">
        <w:rPr>
          <w:rFonts w:ascii="Times New Roman" w:eastAsia="SimSun" w:hAnsi="Times New Roman" w:cs="Times New Roman"/>
          <w:color w:val="000000"/>
        </w:rPr>
        <w:t>Additional results and scenarios.</w:t>
      </w:r>
    </w:p>
    <w:p w14:paraId="327F451B" w14:textId="77777777" w:rsidR="00F257AC" w:rsidRPr="00F257AC" w:rsidRDefault="00F257AC" w:rsidP="00F257AC">
      <w:pPr>
        <w:keepNext/>
        <w:keepLines/>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drawing>
          <wp:inline distT="0" distB="0" distL="0" distR="0" wp14:anchorId="629FC847" wp14:editId="26D33538">
            <wp:extent cx="5043170" cy="3131185"/>
            <wp:effectExtent l="0" t="0" r="5080" b="0"/>
            <wp:docPr id="102167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3170" cy="3131185"/>
                    </a:xfrm>
                    <a:prstGeom prst="rect">
                      <a:avLst/>
                    </a:prstGeom>
                    <a:noFill/>
                    <a:ln>
                      <a:noFill/>
                    </a:ln>
                  </pic:spPr>
                </pic:pic>
              </a:graphicData>
            </a:graphic>
          </wp:inline>
        </w:drawing>
      </w:r>
    </w:p>
    <w:p w14:paraId="578AE0D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12" w:name="_Ref214884813"/>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9</w:t>
      </w:r>
      <w:r w:rsidRPr="00F257AC">
        <w:rPr>
          <w:rFonts w:ascii="Times New Roman" w:eastAsia="SimSun" w:hAnsi="Times New Roman" w:cs="Times New Roman"/>
          <w:b/>
          <w:bCs/>
          <w:noProof/>
          <w:color w:val="000000"/>
        </w:rPr>
        <w:fldChar w:fldCharType="end"/>
      </w:r>
      <w:bookmarkEnd w:id="12"/>
      <w:r w:rsidRPr="00F257AC">
        <w:rPr>
          <w:rFonts w:ascii="Times New Roman" w:eastAsia="SimSun" w:hAnsi="Times New Roman" w:cs="Times New Roman"/>
          <w:color w:val="000000"/>
        </w:rPr>
        <w:t xml:space="preserve">. Cumulated GHG emissions (2025-2050) comparison between an EV fleet versus a counterfactual ICEV fleet using either </w:t>
      </w:r>
      <w:proofErr w:type="spell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3.11 or GREET 2024 for upstream emissions associated with vehicle manufacturing and LIB production</w:t>
      </w:r>
      <w:sdt>
        <w:sdtPr>
          <w:rPr>
            <w:rFonts w:ascii="Times New Roman" w:eastAsia="SimSun" w:hAnsi="Times New Roman" w:cs="Times New Roman"/>
            <w:color w:val="000000"/>
          </w:rPr>
          <w:tag w:val="MENDELEY_CITATION_v3_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"/>
          <w:id w:val="891241598"/>
          <w:placeholder>
            <w:docPart w:val="EC4D9B2BE559479E868646A605525C94"/>
          </w:placeholder>
        </w:sdtPr>
        <w:sdtContent>
          <w:r w:rsidRPr="00F257AC">
            <w:rPr>
              <w:rFonts w:ascii="Times New Roman" w:eastAsia="SimSun" w:hAnsi="Times New Roman" w:cs="Times New Roman"/>
              <w:color w:val="000000"/>
            </w:rPr>
            <w:t xml:space="preserve"> (Argonne National Laboratory, 2024; </w:t>
          </w:r>
          <w:proofErr w:type="spell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Association, 2022)</w:t>
          </w:r>
        </w:sdtContent>
      </w:sdt>
      <w:r w:rsidRPr="00F257AC">
        <w:rPr>
          <w:rFonts w:ascii="Times New Roman" w:eastAsia="SimSun" w:hAnsi="Times New Roman" w:cs="Times New Roman"/>
          <w:color w:val="000000"/>
        </w:rPr>
        <w:t xml:space="preserve">. GREET has lower unitary GHG emissions for vehicle and LIB manufacturing, increasing the difference between EVs and ICEVs. </w:t>
      </w:r>
    </w:p>
    <w:p w14:paraId="05E0959D"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13D86508"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0FAD6EA0" wp14:editId="0B79BC55">
            <wp:extent cx="5043170" cy="3131185"/>
            <wp:effectExtent l="0" t="0" r="5080" b="0"/>
            <wp:docPr id="2108247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3170" cy="3131185"/>
                    </a:xfrm>
                    <a:prstGeom prst="rect">
                      <a:avLst/>
                    </a:prstGeom>
                    <a:noFill/>
                    <a:ln>
                      <a:noFill/>
                    </a:ln>
                  </pic:spPr>
                </pic:pic>
              </a:graphicData>
            </a:graphic>
          </wp:inline>
        </w:drawing>
      </w:r>
    </w:p>
    <w:p w14:paraId="6FA891D6"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13" w:name="_Ref214958089"/>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10</w:t>
      </w:r>
      <w:r w:rsidRPr="00F257AC">
        <w:rPr>
          <w:rFonts w:ascii="Times New Roman" w:eastAsia="SimSun" w:hAnsi="Times New Roman" w:cs="Times New Roman"/>
          <w:b/>
          <w:bCs/>
          <w:color w:val="000000"/>
        </w:rPr>
        <w:fldChar w:fldCharType="end"/>
      </w:r>
      <w:bookmarkEnd w:id="13"/>
      <w:r w:rsidRPr="00F257AC">
        <w:rPr>
          <w:rFonts w:ascii="Times New Roman" w:eastAsia="SimSun" w:hAnsi="Times New Roman" w:cs="Times New Roman"/>
          <w:color w:val="000000"/>
        </w:rPr>
        <w:t xml:space="preserve">. Cumulated GHG emissions (2025-2050) comparison between an EV fleet versus a counterfactual ICEV fleet using different electricity grid GHG emission factors. Both average grid mix EIA and Cambium </w:t>
      </w:r>
      <w:proofErr w:type="gramStart"/>
      <w:r w:rsidRPr="00F257AC">
        <w:rPr>
          <w:rFonts w:ascii="Times New Roman" w:eastAsia="SimSun" w:hAnsi="Times New Roman" w:cs="Times New Roman"/>
          <w:color w:val="000000"/>
        </w:rPr>
        <w:t>uses</w:t>
      </w:r>
      <w:proofErr w:type="gramEnd"/>
      <w:r w:rsidRPr="00F257AC">
        <w:rPr>
          <w:rFonts w:ascii="Times New Roman" w:eastAsia="SimSun" w:hAnsi="Times New Roman" w:cs="Times New Roman"/>
          <w:color w:val="000000"/>
        </w:rPr>
        <w:t xml:space="preserve"> average share of primary energy used for electricity generation combined with </w:t>
      </w:r>
      <w:proofErr w:type="spellStart"/>
      <w:proofErr w:type="gramStart"/>
      <w:r w:rsidRPr="00F257AC">
        <w:rPr>
          <w:rFonts w:ascii="Times New Roman" w:eastAsia="SimSun" w:hAnsi="Times New Roman" w:cs="Times New Roman"/>
          <w:color w:val="000000"/>
        </w:rPr>
        <w:t>ecoinvent</w:t>
      </w:r>
      <w:proofErr w:type="spellEnd"/>
      <w:r w:rsidRPr="00F257AC">
        <w:rPr>
          <w:rFonts w:ascii="Times New Roman" w:eastAsia="SimSun" w:hAnsi="Times New Roman" w:cs="Times New Roman"/>
          <w:color w:val="000000"/>
        </w:rPr>
        <w:t xml:space="preserve"> upstream</w:t>
      </w:r>
      <w:proofErr w:type="gramEnd"/>
      <w:r w:rsidRPr="00F257AC">
        <w:rPr>
          <w:rFonts w:ascii="Times New Roman" w:eastAsia="SimSun" w:hAnsi="Times New Roman" w:cs="Times New Roman"/>
          <w:color w:val="000000"/>
        </w:rPr>
        <w:t xml:space="preserve"> impacts. Long-run marginal refers to estimated emissions factors by NREL Cambium model that </w:t>
      </w:r>
      <w:proofErr w:type="gramStart"/>
      <w:r w:rsidRPr="00F257AC">
        <w:rPr>
          <w:rFonts w:ascii="Times New Roman" w:eastAsia="SimSun" w:hAnsi="Times New Roman" w:cs="Times New Roman"/>
          <w:color w:val="000000"/>
        </w:rPr>
        <w:t>take into account</w:t>
      </w:r>
      <w:proofErr w:type="gramEnd"/>
      <w:r w:rsidRPr="00F257AC">
        <w:rPr>
          <w:rFonts w:ascii="Times New Roman" w:eastAsia="SimSun" w:hAnsi="Times New Roman" w:cs="Times New Roman"/>
          <w:color w:val="000000"/>
        </w:rPr>
        <w:t xml:space="preserve"> induces changes in the electricity grid </w:t>
      </w:r>
      <w:sdt>
        <w:sdtPr>
          <w:rPr>
            <w:rFonts w:ascii="Times New Roman" w:eastAsia="SimSun" w:hAnsi="Times New Roman" w:cs="Times New Roman"/>
            <w:color w:val="000000"/>
          </w:rPr>
          <w:tag w:val="MENDELEY_CITATION_v3_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"/>
          <w:id w:val="1861706847"/>
          <w:placeholder>
            <w:docPart w:val="EC4D9B2BE559479E868646A605525C94"/>
          </w:placeholder>
        </w:sdtPr>
        <w:sdtContent>
          <w:r w:rsidRPr="00F257AC">
            <w:rPr>
              <w:rFonts w:ascii="Times New Roman" w:eastAsia="SimSun" w:hAnsi="Times New Roman" w:cs="Times New Roman"/>
              <w:color w:val="000000"/>
            </w:rPr>
            <w:t>(NREL, 2025)</w:t>
          </w:r>
        </w:sdtContent>
      </w:sdt>
      <w:r w:rsidRPr="00F257AC">
        <w:rPr>
          <w:rFonts w:ascii="Times New Roman" w:eastAsia="SimSun" w:hAnsi="Times New Roman" w:cs="Times New Roman"/>
          <w:color w:val="000000"/>
        </w:rPr>
        <w:t>.</w:t>
      </w:r>
    </w:p>
    <w:p w14:paraId="30EFA5D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74BA26E8"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24739183"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583AB1F0" wp14:editId="5EC932B5">
            <wp:extent cx="5935980" cy="2971800"/>
            <wp:effectExtent l="0" t="0" r="7620" b="0"/>
            <wp:docPr id="266733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980" cy="2971800"/>
                    </a:xfrm>
                    <a:prstGeom prst="rect">
                      <a:avLst/>
                    </a:prstGeom>
                    <a:noFill/>
                    <a:ln>
                      <a:noFill/>
                    </a:ln>
                  </pic:spPr>
                </pic:pic>
              </a:graphicData>
            </a:graphic>
          </wp:inline>
        </w:drawing>
      </w:r>
    </w:p>
    <w:p w14:paraId="00A2128E"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14" w:name="_Ref212546453"/>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11</w:t>
      </w:r>
      <w:r w:rsidRPr="00F257AC">
        <w:rPr>
          <w:rFonts w:ascii="Times New Roman" w:eastAsia="SimSun" w:hAnsi="Times New Roman" w:cs="Times New Roman"/>
          <w:b/>
          <w:bCs/>
          <w:color w:val="000000"/>
        </w:rPr>
        <w:fldChar w:fldCharType="end"/>
      </w:r>
      <w:bookmarkEnd w:id="14"/>
      <w:r w:rsidRPr="00F257AC">
        <w:rPr>
          <w:rFonts w:ascii="Times New Roman" w:eastAsia="SimSun" w:hAnsi="Times New Roman" w:cs="Times New Roman"/>
          <w:color w:val="000000"/>
        </w:rPr>
        <w:t>. Cumulated GHG emissions (2025-2050) comparison between an EV fleet versus a counterfactual ICEV using standard GWP-100 factors or using time-adjusted global warming potentials</w:t>
      </w:r>
      <w:sdt>
        <w:sdtPr>
          <w:rPr>
            <w:rFonts w:ascii="Times New Roman" w:eastAsia="SimSun" w:hAnsi="Times New Roman" w:cs="Times New Roman"/>
            <w:color w:val="000000"/>
          </w:rPr>
          <w:tag w:val="MENDELEY_CITATION_v3_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"/>
          <w:id w:val="1732111482"/>
          <w:placeholder>
            <w:docPart w:val="EC4D9B2BE559479E868646A605525C94"/>
          </w:placeholder>
        </w:sdtPr>
        <w:sdtContent>
          <w:r w:rsidRPr="00F257AC">
            <w:rPr>
              <w:rFonts w:ascii="Times New Roman" w:eastAsia="SimSun" w:hAnsi="Times New Roman" w:cs="Times New Roman"/>
              <w:color w:val="000000"/>
            </w:rPr>
            <w:t>(Kendall, 2012)</w:t>
          </w:r>
        </w:sdtContent>
      </w:sdt>
      <w:r w:rsidRPr="00F257AC">
        <w:rPr>
          <w:rFonts w:ascii="Times New Roman" w:eastAsia="SimSun" w:hAnsi="Times New Roman" w:cs="Times New Roman"/>
          <w:color w:val="000000"/>
        </w:rPr>
        <w:t>. The discounted represents emissions of CO</w:t>
      </w:r>
      <w:r w:rsidRPr="00F257AC">
        <w:rPr>
          <w:rFonts w:ascii="Times New Roman" w:eastAsia="SimSun" w:hAnsi="Times New Roman" w:cs="Times New Roman"/>
          <w:color w:val="000000"/>
          <w:vertAlign w:val="subscript"/>
        </w:rPr>
        <w:t>2</w:t>
      </w:r>
      <w:r w:rsidRPr="00F257AC">
        <w:rPr>
          <w:rFonts w:ascii="Times New Roman" w:eastAsia="SimSun" w:hAnsi="Times New Roman" w:cs="Times New Roman"/>
          <w:color w:val="000000"/>
        </w:rPr>
        <w:t xml:space="preserve"> equivalent to present (2025) emissions, </w:t>
      </w:r>
      <w:proofErr w:type="gramStart"/>
      <w:r w:rsidRPr="00F257AC">
        <w:rPr>
          <w:rFonts w:ascii="Times New Roman" w:eastAsia="SimSun" w:hAnsi="Times New Roman" w:cs="Times New Roman"/>
          <w:color w:val="000000"/>
        </w:rPr>
        <w:t>taking into account</w:t>
      </w:r>
      <w:proofErr w:type="gramEnd"/>
      <w:r w:rsidRPr="00F257AC">
        <w:rPr>
          <w:rFonts w:ascii="Times New Roman" w:eastAsia="SimSun" w:hAnsi="Times New Roman" w:cs="Times New Roman"/>
          <w:color w:val="000000"/>
        </w:rPr>
        <w:t xml:space="preserve"> the radiate forcing profile of each climate pollutant and warming horizon of 100 years (2025 to 2125).</w:t>
      </w:r>
    </w:p>
    <w:p w14:paraId="64AE7B65"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p>
    <w:p w14:paraId="14C0B92C" w14:textId="77777777" w:rsidR="00F257AC" w:rsidRPr="00F257AC" w:rsidRDefault="00F257AC" w:rsidP="00F257AC">
      <w:pPr>
        <w:keepNext/>
        <w:pBdr>
          <w:top w:val="nil"/>
          <w:left w:val="nil"/>
          <w:bottom w:val="nil"/>
          <w:right w:val="nil"/>
          <w:between w:val="nil"/>
        </w:pBdr>
        <w:spacing w:before="280" w:after="280" w:line="360" w:lineRule="auto"/>
        <w:rPr>
          <w:rFonts w:ascii="Times New Roman" w:eastAsia="SimSun" w:hAnsi="Times New Roman" w:cs="Times New Roman"/>
          <w:color w:val="000000"/>
        </w:rPr>
      </w:pPr>
      <w:r w:rsidRPr="00F257AC">
        <w:rPr>
          <w:rFonts w:ascii="Times New Roman" w:eastAsia="SimSun" w:hAnsi="Times New Roman" w:cs="Times New Roman"/>
          <w:noProof/>
          <w:color w:val="000000"/>
        </w:rPr>
        <w:lastRenderedPageBreak/>
        <w:drawing>
          <wp:inline distT="0" distB="0" distL="0" distR="0" wp14:anchorId="67AB2085" wp14:editId="2B0B7532">
            <wp:extent cx="5943600" cy="4308475"/>
            <wp:effectExtent l="0" t="0" r="0" b="0"/>
            <wp:docPr id="76356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308475"/>
                    </a:xfrm>
                    <a:prstGeom prst="rect">
                      <a:avLst/>
                    </a:prstGeom>
                    <a:noFill/>
                    <a:ln>
                      <a:noFill/>
                    </a:ln>
                  </pic:spPr>
                </pic:pic>
              </a:graphicData>
            </a:graphic>
          </wp:inline>
        </w:drawing>
      </w:r>
    </w:p>
    <w:p w14:paraId="408C8601" w14:textId="77777777" w:rsidR="00F257AC" w:rsidRPr="00F257AC" w:rsidRDefault="00F257AC" w:rsidP="00F257AC">
      <w:pPr>
        <w:pBdr>
          <w:top w:val="nil"/>
          <w:left w:val="nil"/>
          <w:bottom w:val="nil"/>
          <w:right w:val="nil"/>
          <w:between w:val="nil"/>
        </w:pBdr>
        <w:spacing w:before="280" w:after="280" w:line="360" w:lineRule="auto"/>
        <w:rPr>
          <w:rFonts w:ascii="Times New Roman" w:eastAsia="SimSun" w:hAnsi="Times New Roman" w:cs="Times New Roman"/>
          <w:color w:val="000000"/>
        </w:rPr>
      </w:pPr>
      <w:bookmarkStart w:id="15" w:name="_Ref212554671"/>
      <w:r w:rsidRPr="00F257AC">
        <w:rPr>
          <w:rFonts w:ascii="Times New Roman" w:eastAsia="SimSun" w:hAnsi="Times New Roman" w:cs="Times New Roman"/>
          <w:b/>
          <w:bCs/>
          <w:color w:val="000000"/>
        </w:rPr>
        <w:t>Figure S</w:t>
      </w:r>
      <w:r w:rsidRPr="00F257AC">
        <w:rPr>
          <w:rFonts w:ascii="Times New Roman" w:eastAsia="SimSun" w:hAnsi="Times New Roman" w:cs="Times New Roman"/>
          <w:b/>
          <w:bCs/>
          <w:color w:val="000000"/>
        </w:rPr>
        <w:fldChar w:fldCharType="begin"/>
      </w:r>
      <w:r w:rsidRPr="00F257AC">
        <w:rPr>
          <w:rFonts w:ascii="Times New Roman" w:eastAsia="SimSun" w:hAnsi="Times New Roman" w:cs="Times New Roman"/>
          <w:b/>
          <w:bCs/>
          <w:color w:val="000000"/>
        </w:rPr>
        <w:instrText xml:space="preserve"> SEQ Figure_S \* ARABIC </w:instrText>
      </w:r>
      <w:r w:rsidRPr="00F257AC">
        <w:rPr>
          <w:rFonts w:ascii="Times New Roman" w:eastAsia="SimSun" w:hAnsi="Times New Roman" w:cs="Times New Roman"/>
          <w:b/>
          <w:bCs/>
          <w:color w:val="000000"/>
        </w:rPr>
        <w:fldChar w:fldCharType="separate"/>
      </w:r>
      <w:r w:rsidRPr="00F257AC">
        <w:rPr>
          <w:rFonts w:ascii="Times New Roman" w:eastAsia="SimSun" w:hAnsi="Times New Roman" w:cs="Times New Roman"/>
          <w:b/>
          <w:bCs/>
          <w:noProof/>
          <w:color w:val="000000"/>
        </w:rPr>
        <w:t>12</w:t>
      </w:r>
      <w:r w:rsidRPr="00F257AC">
        <w:rPr>
          <w:rFonts w:ascii="Times New Roman" w:eastAsia="SimSun" w:hAnsi="Times New Roman" w:cs="Times New Roman"/>
          <w:b/>
          <w:bCs/>
          <w:color w:val="000000"/>
        </w:rPr>
        <w:fldChar w:fldCharType="end"/>
      </w:r>
      <w:bookmarkEnd w:id="15"/>
      <w:r w:rsidRPr="00F257AC">
        <w:rPr>
          <w:rFonts w:ascii="Times New Roman" w:eastAsia="SimSun" w:hAnsi="Times New Roman" w:cs="Times New Roman"/>
          <w:color w:val="000000"/>
        </w:rPr>
        <w:t xml:space="preserve">. Fleet level impact for an EV fleet and a counterfactual ICEV fleet (2025-2050). All impacts equivalencies were calculated using TRACI 2.2 methodology </w:t>
      </w:r>
      <w:sdt>
        <w:sdtPr>
          <w:rPr>
            <w:rFonts w:ascii="Times New Roman" w:eastAsia="SimSun" w:hAnsi="Times New Roman" w:cs="Times New Roman"/>
            <w:color w:val="000000"/>
          </w:rPr>
          <w:tag w:val="MENDELEY_CITATION_v3_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"/>
          <w:id w:val="-980766276"/>
          <w:placeholder>
            <w:docPart w:val="EC4D9B2BE559479E868646A605525C94"/>
          </w:placeholder>
        </w:sdtPr>
        <w:sdtContent>
          <w:r w:rsidRPr="00F257AC">
            <w:rPr>
              <w:rFonts w:ascii="Times New Roman" w:eastAsia="SimSun" w:hAnsi="Times New Roman" w:cs="Times New Roman"/>
              <w:color w:val="000000"/>
            </w:rPr>
            <w:t>(EPA, 2021)</w:t>
          </w:r>
        </w:sdtContent>
      </w:sdt>
      <w:r w:rsidRPr="00F257AC">
        <w:rPr>
          <w:rFonts w:ascii="Times New Roman" w:eastAsia="SimSun" w:hAnsi="Times New Roman" w:cs="Times New Roman"/>
          <w:color w:val="000000"/>
        </w:rPr>
        <w:t xml:space="preserve">. </w:t>
      </w:r>
    </w:p>
    <w:p w14:paraId="7DDF8139" w14:textId="77777777" w:rsidR="00ED1680" w:rsidRDefault="00ED1680"/>
    <w:sectPr w:rsidR="00ED1680" w:rsidSect="006F55FF">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1FF457" w14:textId="77777777" w:rsidR="006A5A89" w:rsidRDefault="006A5A89" w:rsidP="004A6F56">
      <w:r>
        <w:separator/>
      </w:r>
    </w:p>
  </w:endnote>
  <w:endnote w:type="continuationSeparator" w:id="0">
    <w:p w14:paraId="20D998F1" w14:textId="77777777" w:rsidR="006A5A89" w:rsidRDefault="006A5A89" w:rsidP="004A6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5822270"/>
      <w:docPartObj>
        <w:docPartGallery w:val="Page Numbers (Bottom of Page)"/>
        <w:docPartUnique/>
      </w:docPartObj>
    </w:sdtPr>
    <w:sdtEndPr>
      <w:rPr>
        <w:noProof/>
      </w:rPr>
    </w:sdtEndPr>
    <w:sdtContent>
      <w:p w14:paraId="5B704528" w14:textId="4AB5E505" w:rsidR="00280218" w:rsidRDefault="002802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2620A6" w14:textId="77777777" w:rsidR="00280218" w:rsidRDefault="002802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6318D" w14:textId="77777777" w:rsidR="006A5A89" w:rsidRDefault="006A5A89" w:rsidP="004A6F56">
      <w:r>
        <w:separator/>
      </w:r>
    </w:p>
  </w:footnote>
  <w:footnote w:type="continuationSeparator" w:id="0">
    <w:p w14:paraId="6F72167C" w14:textId="77777777" w:rsidR="006A5A89" w:rsidRDefault="006A5A89" w:rsidP="004A6F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1B54" w14:textId="77777777" w:rsidR="009C640F" w:rsidRDefault="009C640F" w:rsidP="004A6F5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EE0C02E"/>
    <w:lvl w:ilvl="0">
      <w:start w:val="1"/>
      <w:numFmt w:val="decimal"/>
      <w:pStyle w:val="Heading1"/>
      <w:lvlText w:val="%1."/>
      <w:lvlJc w:val="left"/>
      <w:pPr>
        <w:ind w:left="432" w:hanging="432"/>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lang w:val="es-ES"/>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46" w:hanging="72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Heading4"/>
      <w:lvlText w:val="%1.%2.%3.%4"/>
      <w:lvlJc w:val="left"/>
      <w:pPr>
        <w:ind w:left="864" w:hanging="864"/>
      </w:pPr>
      <w:rPr>
        <w:rFonts w:asciiTheme="minorHAnsi" w:hAnsiTheme="minorHAnsi" w:cs="Times New Roman" w:hint="default"/>
        <w:b/>
        <w:bCs w:val="0"/>
        <w:i w:val="0"/>
        <w:iCs w:val="0"/>
        <w:caps w:val="0"/>
        <w:smallCaps w:val="0"/>
        <w:strike w:val="0"/>
        <w:dstrike w:val="0"/>
        <w:noProof w:val="0"/>
        <w:snapToGrid w:val="0"/>
        <w:vanish w:val="0"/>
        <w:color w:val="808080" w:themeColor="background1" w:themeShade="80"/>
        <w:spacing w:val="0"/>
        <w:w w:val="0"/>
        <w:kern w:val="0"/>
        <w:position w:val="0"/>
        <w:szCs w:val="0"/>
        <w:u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243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0095E23"/>
    <w:multiLevelType w:val="hybridMultilevel"/>
    <w:tmpl w:val="8D9AC7FC"/>
    <w:lvl w:ilvl="0" w:tplc="342E5A1E">
      <w:start w:val="1"/>
      <w:numFmt w:val="lowerRoman"/>
      <w:lvlText w:val="%1."/>
      <w:lvlJc w:val="right"/>
      <w:pPr>
        <w:ind w:left="720" w:hanging="360"/>
      </w:pPr>
    </w:lvl>
    <w:lvl w:ilvl="1" w:tplc="CDF23370" w:tentative="1">
      <w:start w:val="1"/>
      <w:numFmt w:val="lowerLetter"/>
      <w:lvlText w:val="%2."/>
      <w:lvlJc w:val="left"/>
      <w:pPr>
        <w:ind w:left="1440" w:hanging="360"/>
      </w:pPr>
    </w:lvl>
    <w:lvl w:ilvl="2" w:tplc="B3B0EB82" w:tentative="1">
      <w:start w:val="1"/>
      <w:numFmt w:val="lowerRoman"/>
      <w:lvlText w:val="%3."/>
      <w:lvlJc w:val="right"/>
      <w:pPr>
        <w:ind w:left="2160" w:hanging="180"/>
      </w:pPr>
    </w:lvl>
    <w:lvl w:ilvl="3" w:tplc="703AFB8E" w:tentative="1">
      <w:start w:val="1"/>
      <w:numFmt w:val="decimal"/>
      <w:lvlText w:val="%4."/>
      <w:lvlJc w:val="left"/>
      <w:pPr>
        <w:ind w:left="2880" w:hanging="360"/>
      </w:pPr>
    </w:lvl>
    <w:lvl w:ilvl="4" w:tplc="03ECEB02" w:tentative="1">
      <w:start w:val="1"/>
      <w:numFmt w:val="lowerLetter"/>
      <w:lvlText w:val="%5."/>
      <w:lvlJc w:val="left"/>
      <w:pPr>
        <w:ind w:left="3600" w:hanging="360"/>
      </w:pPr>
    </w:lvl>
    <w:lvl w:ilvl="5" w:tplc="6E4CE632" w:tentative="1">
      <w:start w:val="1"/>
      <w:numFmt w:val="lowerRoman"/>
      <w:lvlText w:val="%6."/>
      <w:lvlJc w:val="right"/>
      <w:pPr>
        <w:ind w:left="4320" w:hanging="180"/>
      </w:pPr>
    </w:lvl>
    <w:lvl w:ilvl="6" w:tplc="8DF46A88" w:tentative="1">
      <w:start w:val="1"/>
      <w:numFmt w:val="decimal"/>
      <w:lvlText w:val="%7."/>
      <w:lvlJc w:val="left"/>
      <w:pPr>
        <w:ind w:left="5040" w:hanging="360"/>
      </w:pPr>
    </w:lvl>
    <w:lvl w:ilvl="7" w:tplc="4AD4201E" w:tentative="1">
      <w:start w:val="1"/>
      <w:numFmt w:val="lowerLetter"/>
      <w:lvlText w:val="%8."/>
      <w:lvlJc w:val="left"/>
      <w:pPr>
        <w:ind w:left="5760" w:hanging="360"/>
      </w:pPr>
    </w:lvl>
    <w:lvl w:ilvl="8" w:tplc="7D0E1DE8" w:tentative="1">
      <w:start w:val="1"/>
      <w:numFmt w:val="lowerRoman"/>
      <w:lvlText w:val="%9."/>
      <w:lvlJc w:val="right"/>
      <w:pPr>
        <w:ind w:left="6480" w:hanging="180"/>
      </w:pPr>
    </w:lvl>
  </w:abstractNum>
  <w:abstractNum w:abstractNumId="2" w15:restartNumberingAfterBreak="0">
    <w:nsid w:val="1ECF28F7"/>
    <w:multiLevelType w:val="multilevel"/>
    <w:tmpl w:val="736455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32693589"/>
    <w:multiLevelType w:val="multilevel"/>
    <w:tmpl w:val="FCD4F38C"/>
    <w:lvl w:ilvl="0">
      <w:start w:val="1"/>
      <w:numFmt w:val="upperRoman"/>
      <w:lvlText w:val="%1."/>
      <w:lvlJc w:val="left"/>
      <w:pPr>
        <w:ind w:left="432" w:hanging="432"/>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exo2"/>
      <w:lvlText w:val="%1.%2"/>
      <w:lvlJc w:val="left"/>
      <w:pPr>
        <w:ind w:left="576" w:hanging="576"/>
      </w:pPr>
      <w:rPr>
        <w:i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5790FEA"/>
    <w:multiLevelType w:val="hybridMultilevel"/>
    <w:tmpl w:val="F99A3F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3071A"/>
    <w:multiLevelType w:val="multilevel"/>
    <w:tmpl w:val="429827FC"/>
    <w:lvl w:ilvl="0">
      <w:start w:val="1"/>
      <w:numFmt w:val="decimal"/>
      <w:pStyle w:val="Anexo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D54269A"/>
    <w:multiLevelType w:val="multilevel"/>
    <w:tmpl w:val="27043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26677638">
    <w:abstractNumId w:val="3"/>
  </w:num>
  <w:num w:numId="2" w16cid:durableId="1775007161">
    <w:abstractNumId w:val="0"/>
  </w:num>
  <w:num w:numId="3" w16cid:durableId="2102605755">
    <w:abstractNumId w:val="0"/>
  </w:num>
  <w:num w:numId="4" w16cid:durableId="1679654511">
    <w:abstractNumId w:val="0"/>
  </w:num>
  <w:num w:numId="5" w16cid:durableId="364134738">
    <w:abstractNumId w:val="3"/>
  </w:num>
  <w:num w:numId="6" w16cid:durableId="1392652686">
    <w:abstractNumId w:val="6"/>
  </w:num>
  <w:num w:numId="7" w16cid:durableId="1461268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855616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00286029">
    <w:abstractNumId w:val="0"/>
  </w:num>
  <w:num w:numId="10" w16cid:durableId="1907646256">
    <w:abstractNumId w:val="0"/>
  </w:num>
  <w:num w:numId="11" w16cid:durableId="500315030">
    <w:abstractNumId w:val="0"/>
  </w:num>
  <w:num w:numId="12" w16cid:durableId="1362781405">
    <w:abstractNumId w:val="0"/>
  </w:num>
  <w:num w:numId="13" w16cid:durableId="788158817">
    <w:abstractNumId w:val="3"/>
  </w:num>
  <w:num w:numId="14" w16cid:durableId="543952007">
    <w:abstractNumId w:val="2"/>
  </w:num>
  <w:num w:numId="15" w16cid:durableId="16281966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5994907">
    <w:abstractNumId w:val="0"/>
  </w:num>
  <w:num w:numId="17" w16cid:durableId="132453722">
    <w:abstractNumId w:val="0"/>
  </w:num>
  <w:num w:numId="18" w16cid:durableId="866336285">
    <w:abstractNumId w:val="0"/>
  </w:num>
  <w:num w:numId="19" w16cid:durableId="415133599">
    <w:abstractNumId w:val="0"/>
  </w:num>
  <w:num w:numId="20" w16cid:durableId="450562538">
    <w:abstractNumId w:val="3"/>
  </w:num>
  <w:num w:numId="21" w16cid:durableId="106319851">
    <w:abstractNumId w:val="3"/>
  </w:num>
  <w:num w:numId="22" w16cid:durableId="1757360876">
    <w:abstractNumId w:val="0"/>
  </w:num>
  <w:num w:numId="23" w16cid:durableId="2047677328">
    <w:abstractNumId w:val="0"/>
  </w:num>
  <w:num w:numId="24" w16cid:durableId="402606743">
    <w:abstractNumId w:val="0"/>
  </w:num>
  <w:num w:numId="25" w16cid:durableId="564265940">
    <w:abstractNumId w:val="0"/>
  </w:num>
  <w:num w:numId="26" w16cid:durableId="1962878273">
    <w:abstractNumId w:val="3"/>
  </w:num>
  <w:num w:numId="27" w16cid:durableId="1990817542">
    <w:abstractNumId w:val="3"/>
  </w:num>
  <w:num w:numId="28" w16cid:durableId="471872101">
    <w:abstractNumId w:val="0"/>
  </w:num>
  <w:num w:numId="29" w16cid:durableId="595869764">
    <w:abstractNumId w:val="0"/>
  </w:num>
  <w:num w:numId="30" w16cid:durableId="573511445">
    <w:abstractNumId w:val="0"/>
  </w:num>
  <w:num w:numId="31" w16cid:durableId="437681703">
    <w:abstractNumId w:val="4"/>
  </w:num>
  <w:num w:numId="32" w16cid:durableId="1868056218">
    <w:abstractNumId w:val="3"/>
  </w:num>
  <w:num w:numId="33" w16cid:durableId="281002">
    <w:abstractNumId w:val="1"/>
  </w:num>
  <w:num w:numId="34" w16cid:durableId="43262042">
    <w:abstractNumId w:val="5"/>
  </w:num>
  <w:num w:numId="35" w16cid:durableId="9139278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15494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AC"/>
    <w:rsid w:val="00031593"/>
    <w:rsid w:val="00043C47"/>
    <w:rsid w:val="00051405"/>
    <w:rsid w:val="00072A9E"/>
    <w:rsid w:val="000A6A97"/>
    <w:rsid w:val="000C6686"/>
    <w:rsid w:val="000D1BA5"/>
    <w:rsid w:val="000F0DDB"/>
    <w:rsid w:val="000F78A3"/>
    <w:rsid w:val="0010043D"/>
    <w:rsid w:val="001116D4"/>
    <w:rsid w:val="00120077"/>
    <w:rsid w:val="001820CF"/>
    <w:rsid w:val="001872A0"/>
    <w:rsid w:val="00187E8D"/>
    <w:rsid w:val="00197863"/>
    <w:rsid w:val="001A7F75"/>
    <w:rsid w:val="001D006C"/>
    <w:rsid w:val="001F7878"/>
    <w:rsid w:val="00214C64"/>
    <w:rsid w:val="00224A98"/>
    <w:rsid w:val="00245315"/>
    <w:rsid w:val="002670A0"/>
    <w:rsid w:val="00280218"/>
    <w:rsid w:val="002934E9"/>
    <w:rsid w:val="002A5623"/>
    <w:rsid w:val="002D6B60"/>
    <w:rsid w:val="0030034E"/>
    <w:rsid w:val="00314447"/>
    <w:rsid w:val="00327506"/>
    <w:rsid w:val="00327BF5"/>
    <w:rsid w:val="00365D5A"/>
    <w:rsid w:val="00383544"/>
    <w:rsid w:val="003A3D36"/>
    <w:rsid w:val="003B4AD4"/>
    <w:rsid w:val="00416F69"/>
    <w:rsid w:val="00422096"/>
    <w:rsid w:val="004306B1"/>
    <w:rsid w:val="004533AE"/>
    <w:rsid w:val="004836EE"/>
    <w:rsid w:val="004A2638"/>
    <w:rsid w:val="004A6F56"/>
    <w:rsid w:val="004C2382"/>
    <w:rsid w:val="004F401F"/>
    <w:rsid w:val="0051087E"/>
    <w:rsid w:val="00540A33"/>
    <w:rsid w:val="0054614F"/>
    <w:rsid w:val="00557C8B"/>
    <w:rsid w:val="00582D32"/>
    <w:rsid w:val="00597AD1"/>
    <w:rsid w:val="005C1746"/>
    <w:rsid w:val="005E0A8D"/>
    <w:rsid w:val="005F43A4"/>
    <w:rsid w:val="00606FB3"/>
    <w:rsid w:val="006258D5"/>
    <w:rsid w:val="006A5A89"/>
    <w:rsid w:val="006C21EE"/>
    <w:rsid w:val="006F55FF"/>
    <w:rsid w:val="006F6507"/>
    <w:rsid w:val="007232BA"/>
    <w:rsid w:val="007937C6"/>
    <w:rsid w:val="007D57E9"/>
    <w:rsid w:val="008131CF"/>
    <w:rsid w:val="0085415A"/>
    <w:rsid w:val="00854162"/>
    <w:rsid w:val="008A6191"/>
    <w:rsid w:val="008E7108"/>
    <w:rsid w:val="00933B03"/>
    <w:rsid w:val="009779F5"/>
    <w:rsid w:val="009C640F"/>
    <w:rsid w:val="009C6819"/>
    <w:rsid w:val="00A451B0"/>
    <w:rsid w:val="00A5152D"/>
    <w:rsid w:val="00A841D6"/>
    <w:rsid w:val="00B167F4"/>
    <w:rsid w:val="00B24E42"/>
    <w:rsid w:val="00B33F07"/>
    <w:rsid w:val="00B371E0"/>
    <w:rsid w:val="00B4003D"/>
    <w:rsid w:val="00B43686"/>
    <w:rsid w:val="00B603E1"/>
    <w:rsid w:val="00B628E9"/>
    <w:rsid w:val="00BF1B7A"/>
    <w:rsid w:val="00BF412B"/>
    <w:rsid w:val="00BF7171"/>
    <w:rsid w:val="00C12C9D"/>
    <w:rsid w:val="00C2007A"/>
    <w:rsid w:val="00C93DF4"/>
    <w:rsid w:val="00CA44AF"/>
    <w:rsid w:val="00CB7D47"/>
    <w:rsid w:val="00CE3D7B"/>
    <w:rsid w:val="00CF3028"/>
    <w:rsid w:val="00CF745C"/>
    <w:rsid w:val="00D014ED"/>
    <w:rsid w:val="00D84949"/>
    <w:rsid w:val="00DA58F6"/>
    <w:rsid w:val="00DA7313"/>
    <w:rsid w:val="00DD6DD9"/>
    <w:rsid w:val="00E1378D"/>
    <w:rsid w:val="00E13813"/>
    <w:rsid w:val="00E317F2"/>
    <w:rsid w:val="00E54897"/>
    <w:rsid w:val="00E75075"/>
    <w:rsid w:val="00EA3E5B"/>
    <w:rsid w:val="00EA5759"/>
    <w:rsid w:val="00ED14BD"/>
    <w:rsid w:val="00ED1680"/>
    <w:rsid w:val="00EE571A"/>
    <w:rsid w:val="00F248FE"/>
    <w:rsid w:val="00F257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DF337"/>
  <w15:chartTrackingRefBased/>
  <w15:docId w15:val="{42FBB938-0A77-42AB-9ABF-064EA1C35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7D47"/>
    <w:pPr>
      <w:jc w:val="both"/>
    </w:pPr>
    <w:rPr>
      <w:kern w:val="0"/>
      <w:sz w:val="24"/>
      <w:szCs w:val="24"/>
      <w14:ligatures w14:val="none"/>
    </w:rPr>
  </w:style>
  <w:style w:type="paragraph" w:styleId="Heading1">
    <w:name w:val="heading 1"/>
    <w:aliases w:val="h1"/>
    <w:basedOn w:val="Normal"/>
    <w:next w:val="Normal"/>
    <w:link w:val="Heading1Char"/>
    <w:uiPriority w:val="9"/>
    <w:qFormat/>
    <w:rsid w:val="00CB7D47"/>
    <w:pPr>
      <w:keepNext/>
      <w:keepLines/>
      <w:pageBreakBefore/>
      <w:numPr>
        <w:numId w:val="36"/>
      </w:numPr>
      <w:shd w:val="clear" w:color="auto" w:fill="FFFFFF" w:themeFill="background1"/>
      <w:tabs>
        <w:tab w:val="left" w:pos="1134"/>
      </w:tabs>
      <w:spacing w:before="240" w:after="240" w:line="280" w:lineRule="atLeast"/>
      <w:ind w:right="28"/>
      <w:jc w:val="left"/>
      <w:outlineLvl w:val="0"/>
    </w:pPr>
    <w:rPr>
      <w:rFonts w:asciiTheme="majorHAnsi" w:eastAsiaTheme="majorEastAsia" w:hAnsiTheme="majorHAnsi" w:cstheme="majorBidi"/>
      <w:b/>
      <w:bCs/>
      <w:sz w:val="32"/>
      <w:szCs w:val="28"/>
    </w:rPr>
  </w:style>
  <w:style w:type="paragraph" w:styleId="Heading2">
    <w:name w:val="heading 2"/>
    <w:aliases w:val="h2"/>
    <w:basedOn w:val="Normal"/>
    <w:next w:val="Normal"/>
    <w:link w:val="Heading2Char"/>
    <w:uiPriority w:val="9"/>
    <w:qFormat/>
    <w:rsid w:val="00CB7D47"/>
    <w:pPr>
      <w:keepNext/>
      <w:keepLines/>
      <w:numPr>
        <w:ilvl w:val="1"/>
        <w:numId w:val="36"/>
      </w:numPr>
      <w:tabs>
        <w:tab w:val="left" w:pos="1134"/>
      </w:tabs>
      <w:spacing w:before="240" w:after="240"/>
      <w:jc w:val="left"/>
      <w:outlineLvl w:val="1"/>
    </w:pPr>
    <w:rPr>
      <w:rFonts w:asciiTheme="majorHAnsi" w:eastAsiaTheme="majorEastAsia" w:hAnsiTheme="majorHAnsi" w:cstheme="majorBidi"/>
      <w:b/>
      <w:sz w:val="28"/>
      <w:szCs w:val="20"/>
      <w:lang w:val="es-ES"/>
    </w:rPr>
  </w:style>
  <w:style w:type="paragraph" w:styleId="Heading3">
    <w:name w:val="heading 3"/>
    <w:aliases w:val="h3,H3,Level 1 - 1"/>
    <w:basedOn w:val="Normal"/>
    <w:next w:val="Normal"/>
    <w:link w:val="Heading3Char"/>
    <w:uiPriority w:val="99"/>
    <w:qFormat/>
    <w:rsid w:val="00C93DF4"/>
    <w:pPr>
      <w:keepNext/>
      <w:keepLines/>
      <w:numPr>
        <w:ilvl w:val="2"/>
        <w:numId w:val="36"/>
      </w:numPr>
      <w:tabs>
        <w:tab w:val="left" w:pos="810"/>
      </w:tabs>
      <w:spacing w:before="240" w:after="120"/>
      <w:outlineLvl w:val="2"/>
    </w:pPr>
    <w:rPr>
      <w:rFonts w:asciiTheme="majorHAnsi" w:eastAsiaTheme="majorEastAsia" w:hAnsiTheme="majorHAnsi" w:cstheme="majorBidi"/>
      <w:b/>
      <w:bCs/>
      <w:szCs w:val="28"/>
      <w:lang w:val="es-ES"/>
    </w:rPr>
  </w:style>
  <w:style w:type="paragraph" w:styleId="Heading4">
    <w:name w:val="heading 4"/>
    <w:aliases w:val="h4,Título 4amb"/>
    <w:basedOn w:val="Heading3"/>
    <w:next w:val="Normal"/>
    <w:link w:val="Heading4Char"/>
    <w:uiPriority w:val="9"/>
    <w:qFormat/>
    <w:rsid w:val="00CB7D47"/>
    <w:pPr>
      <w:numPr>
        <w:ilvl w:val="3"/>
      </w:numPr>
      <w:tabs>
        <w:tab w:val="left" w:pos="851"/>
      </w:tabs>
      <w:spacing w:before="120"/>
      <w:jc w:val="left"/>
      <w:outlineLvl w:val="3"/>
    </w:pPr>
    <w:rPr>
      <w:color w:val="808080" w:themeColor="background1" w:themeShade="80"/>
    </w:rPr>
  </w:style>
  <w:style w:type="paragraph" w:styleId="Heading5">
    <w:name w:val="heading 5"/>
    <w:aliases w:val="table contents"/>
    <w:basedOn w:val="Normal"/>
    <w:next w:val="Normal"/>
    <w:link w:val="Heading5Char"/>
    <w:uiPriority w:val="9"/>
    <w:unhideWhenUsed/>
    <w:qFormat/>
    <w:rsid w:val="006258D5"/>
    <w:pPr>
      <w:keepNext/>
      <w:keepLines/>
      <w:spacing w:before="40"/>
      <w:outlineLvl w:val="4"/>
    </w:pPr>
    <w:rPr>
      <w:rFonts w:ascii="Lucida Sans" w:eastAsiaTheme="majorEastAsia" w:hAnsi="Lucida Sans" w:cstheme="majorBidi"/>
      <w:b/>
      <w:color w:val="808080"/>
      <w:sz w:val="28"/>
    </w:rPr>
  </w:style>
  <w:style w:type="paragraph" w:styleId="Heading6">
    <w:name w:val="heading 6"/>
    <w:aliases w:val="Main Title"/>
    <w:basedOn w:val="Normal"/>
    <w:next w:val="Normal"/>
    <w:link w:val="Heading6Char"/>
    <w:uiPriority w:val="9"/>
    <w:unhideWhenUsed/>
    <w:qFormat/>
    <w:rsid w:val="00606FB3"/>
    <w:pPr>
      <w:keepNext/>
      <w:keepLines/>
      <w:spacing w:before="40"/>
      <w:jc w:val="center"/>
      <w:outlineLvl w:val="5"/>
    </w:pPr>
    <w:rPr>
      <w:rFonts w:eastAsiaTheme="majorEastAsia" w:cstheme="majorBidi"/>
      <w:b/>
      <w:sz w:val="36"/>
    </w:rPr>
  </w:style>
  <w:style w:type="paragraph" w:styleId="Heading7">
    <w:name w:val="heading 7"/>
    <w:basedOn w:val="Normal"/>
    <w:next w:val="Normal"/>
    <w:link w:val="Heading7Char"/>
    <w:uiPriority w:val="9"/>
    <w:semiHidden/>
    <w:unhideWhenUsed/>
    <w:rsid w:val="00F257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rsid w:val="00F257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rsid w:val="00F257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iografia">
    <w:name w:val="Bibliografia"/>
    <w:basedOn w:val="Normal"/>
    <w:qFormat/>
    <w:rsid w:val="00CB7D47"/>
    <w:pPr>
      <w:keepLines/>
      <w:suppressLineNumbers/>
      <w:tabs>
        <w:tab w:val="left" w:pos="540"/>
      </w:tabs>
      <w:spacing w:before="120" w:after="40"/>
      <w:ind w:left="720" w:hanging="720"/>
      <w:jc w:val="left"/>
    </w:pPr>
    <w:rPr>
      <w:rFonts w:asciiTheme="majorHAnsi" w:eastAsia="MS Mincho" w:hAnsiTheme="majorHAnsi"/>
      <w:lang w:eastAsia="es-ES"/>
    </w:rPr>
  </w:style>
  <w:style w:type="paragraph" w:customStyle="1" w:styleId="Description">
    <w:name w:val="Description"/>
    <w:basedOn w:val="Normal"/>
    <w:qFormat/>
    <w:rsid w:val="00CB7D47"/>
    <w:pPr>
      <w:spacing w:before="120" w:after="40"/>
      <w:ind w:left="2160" w:right="357" w:hanging="2160"/>
      <w:jc w:val="left"/>
    </w:pPr>
    <w:rPr>
      <w:rFonts w:asciiTheme="majorHAnsi" w:eastAsia="MS Mincho" w:hAnsiTheme="majorHAnsi"/>
      <w:lang w:eastAsia="es-ES"/>
    </w:rPr>
  </w:style>
  <w:style w:type="paragraph" w:customStyle="1" w:styleId="FixedWidth">
    <w:name w:val="Fixed Width"/>
    <w:aliases w:val="fijo"/>
    <w:basedOn w:val="Normal"/>
    <w:qFormat/>
    <w:rsid w:val="00CB7D47"/>
    <w:pPr>
      <w:keepNext/>
      <w:keepLines/>
      <w:ind w:left="720"/>
      <w:jc w:val="left"/>
    </w:pPr>
    <w:rPr>
      <w:rFonts w:ascii="Courier New" w:eastAsia="MS Mincho" w:hAnsi="Courier New"/>
      <w:b/>
      <w:lang w:eastAsia="es-ES"/>
    </w:rPr>
  </w:style>
  <w:style w:type="paragraph" w:customStyle="1" w:styleId="Table">
    <w:name w:val="Table"/>
    <w:aliases w:val="table,tab"/>
    <w:basedOn w:val="TablaSmall"/>
    <w:link w:val="TableChar"/>
    <w:qFormat/>
    <w:rsid w:val="00E75075"/>
    <w:rPr>
      <w:sz w:val="20"/>
    </w:rPr>
  </w:style>
  <w:style w:type="paragraph" w:customStyle="1" w:styleId="TablaSmall">
    <w:name w:val="TablaSmall"/>
    <w:aliases w:val="tabs"/>
    <w:basedOn w:val="Normal"/>
    <w:link w:val="TableSmallChar"/>
    <w:qFormat/>
    <w:rsid w:val="001A7F75"/>
    <w:pPr>
      <w:keepNext/>
      <w:keepLines/>
      <w:contextualSpacing/>
      <w:jc w:val="left"/>
    </w:pPr>
    <w:rPr>
      <w:color w:val="000000" w:themeColor="text1"/>
      <w:sz w:val="16"/>
      <w:szCs w:val="20"/>
      <w:lang w:val="es-ES" w:eastAsia="es-ES"/>
    </w:rPr>
  </w:style>
  <w:style w:type="paragraph" w:customStyle="1" w:styleId="TableFooter">
    <w:name w:val="Table Footer"/>
    <w:aliases w:val="tabf"/>
    <w:basedOn w:val="Caption"/>
    <w:next w:val="Normal"/>
    <w:qFormat/>
    <w:rsid w:val="001A7F75"/>
    <w:pPr>
      <w:keepNext w:val="0"/>
      <w:spacing w:before="0"/>
      <w:ind w:left="1077" w:right="1077"/>
    </w:pPr>
    <w:rPr>
      <w:sz w:val="20"/>
      <w:szCs w:val="20"/>
      <w:lang w:val="es-CL"/>
    </w:rPr>
  </w:style>
  <w:style w:type="paragraph" w:styleId="Caption">
    <w:name w:val="caption"/>
    <w:aliases w:val="cap,Epígrafe anexo,Caption Char Char,Caption Char1 Char Char,Caption Char Char1 Char Char,Caption Char4 Char Char Char Char,Caption Char3 Char Char Char Char Char,Caption Char2 Char Char Char Char Char Char"/>
    <w:basedOn w:val="Normal"/>
    <w:next w:val="Normal"/>
    <w:link w:val="CaptionChar"/>
    <w:qFormat/>
    <w:rsid w:val="001A7F75"/>
    <w:pPr>
      <w:keepNext/>
      <w:keepLines/>
      <w:spacing w:before="120"/>
      <w:contextualSpacing/>
      <w:jc w:val="center"/>
    </w:pPr>
    <w:rPr>
      <w:rFonts w:eastAsia="MS Mincho"/>
      <w:bCs/>
      <w:lang w:eastAsia="es-ES"/>
    </w:rPr>
  </w:style>
  <w:style w:type="paragraph" w:customStyle="1" w:styleId="Instrucciones">
    <w:name w:val="Instrucciones"/>
    <w:basedOn w:val="Normal"/>
    <w:next w:val="Normal"/>
    <w:qFormat/>
    <w:rsid w:val="00CB7D47"/>
    <w:pPr>
      <w:pBdr>
        <w:top w:val="single" w:sz="4" w:space="1" w:color="auto"/>
        <w:left w:val="single" w:sz="4" w:space="4" w:color="auto"/>
        <w:bottom w:val="single" w:sz="4" w:space="1" w:color="auto"/>
        <w:right w:val="single" w:sz="4" w:space="4" w:color="auto"/>
      </w:pBdr>
      <w:shd w:val="clear" w:color="auto" w:fill="FFFDB8"/>
      <w:tabs>
        <w:tab w:val="left" w:pos="1134"/>
        <w:tab w:val="left" w:pos="1276"/>
      </w:tabs>
      <w:spacing w:before="120" w:after="40" w:line="360" w:lineRule="auto"/>
    </w:pPr>
    <w:rPr>
      <w:rFonts w:asciiTheme="majorHAnsi" w:eastAsia="MS Mincho" w:hAnsiTheme="majorHAnsi" w:cs="Arial"/>
      <w:i/>
      <w:sz w:val="18"/>
      <w:lang w:eastAsia="es-ES"/>
    </w:rPr>
  </w:style>
  <w:style w:type="paragraph" w:customStyle="1" w:styleId="Anexo1">
    <w:name w:val="Anexo1"/>
    <w:aliases w:val=" ha1"/>
    <w:basedOn w:val="Heading2"/>
    <w:next w:val="Normal"/>
    <w:link w:val="Anexo1Char"/>
    <w:qFormat/>
    <w:rsid w:val="00CB7D47"/>
    <w:pPr>
      <w:numPr>
        <w:ilvl w:val="0"/>
        <w:numId w:val="35"/>
      </w:numPr>
      <w:spacing w:after="120" w:line="360" w:lineRule="auto"/>
      <w:jc w:val="both"/>
    </w:pPr>
    <w:rPr>
      <w:lang w:val="es-CL"/>
    </w:rPr>
  </w:style>
  <w:style w:type="character" w:customStyle="1" w:styleId="Anexo1Char">
    <w:name w:val="Anexo1 Char"/>
    <w:aliases w:val=" ha1 Char"/>
    <w:basedOn w:val="Heading2Char"/>
    <w:link w:val="Anexo1"/>
    <w:rsid w:val="00CB7D47"/>
    <w:rPr>
      <w:rFonts w:asciiTheme="majorHAnsi" w:eastAsiaTheme="majorEastAsia" w:hAnsiTheme="majorHAnsi" w:cstheme="majorBidi"/>
      <w:b/>
      <w:sz w:val="28"/>
      <w:lang w:val="es-CL"/>
    </w:rPr>
  </w:style>
  <w:style w:type="character" w:customStyle="1" w:styleId="Heading2Char">
    <w:name w:val="Heading 2 Char"/>
    <w:aliases w:val="h2 Char"/>
    <w:basedOn w:val="DefaultParagraphFont"/>
    <w:link w:val="Heading2"/>
    <w:uiPriority w:val="9"/>
    <w:rsid w:val="00CB7D47"/>
    <w:rPr>
      <w:rFonts w:asciiTheme="majorHAnsi" w:eastAsiaTheme="majorEastAsia" w:hAnsiTheme="majorHAnsi" w:cstheme="majorBidi"/>
      <w:b/>
      <w:sz w:val="28"/>
      <w:lang w:val="es-ES"/>
    </w:rPr>
  </w:style>
  <w:style w:type="paragraph" w:customStyle="1" w:styleId="Anexo2">
    <w:name w:val="Anexo2"/>
    <w:aliases w:val=" ha2"/>
    <w:basedOn w:val="Anexo1"/>
    <w:next w:val="Normal"/>
    <w:link w:val="Anexo2Char"/>
    <w:qFormat/>
    <w:rsid w:val="00CB7D47"/>
    <w:pPr>
      <w:numPr>
        <w:ilvl w:val="1"/>
        <w:numId w:val="21"/>
      </w:numPr>
    </w:pPr>
    <w:rPr>
      <w:rFonts w:asciiTheme="minorHAnsi" w:hAnsiTheme="minorHAnsi"/>
    </w:rPr>
  </w:style>
  <w:style w:type="character" w:customStyle="1" w:styleId="Anexo2Char">
    <w:name w:val="Anexo2 Char"/>
    <w:aliases w:val=" ha2 Char"/>
    <w:basedOn w:val="Anexo1Char"/>
    <w:link w:val="Anexo2"/>
    <w:rsid w:val="00CB7D47"/>
    <w:rPr>
      <w:rFonts w:asciiTheme="minorHAnsi" w:eastAsiaTheme="majorEastAsia" w:hAnsiTheme="minorHAnsi" w:cstheme="majorBidi"/>
      <w:b/>
      <w:sz w:val="28"/>
      <w:lang w:val="es-CL"/>
    </w:rPr>
  </w:style>
  <w:style w:type="character" w:customStyle="1" w:styleId="Heading1Char">
    <w:name w:val="Heading 1 Char"/>
    <w:aliases w:val="h1 Char"/>
    <w:basedOn w:val="DefaultParagraphFont"/>
    <w:link w:val="Heading1"/>
    <w:uiPriority w:val="9"/>
    <w:rsid w:val="00CB7D47"/>
    <w:rPr>
      <w:rFonts w:asciiTheme="majorHAnsi" w:eastAsiaTheme="majorEastAsia" w:hAnsiTheme="majorHAnsi" w:cstheme="majorBidi"/>
      <w:b/>
      <w:bCs/>
      <w:sz w:val="32"/>
      <w:szCs w:val="28"/>
      <w:shd w:val="clear" w:color="auto" w:fill="FFFFFF" w:themeFill="background1"/>
      <w:lang w:val="es-ES_tradnl"/>
    </w:rPr>
  </w:style>
  <w:style w:type="character" w:customStyle="1" w:styleId="Heading3Char">
    <w:name w:val="Heading 3 Char"/>
    <w:aliases w:val="h3 Char,H3 Char,Level 1 - 1 Char"/>
    <w:basedOn w:val="DefaultParagraphFont"/>
    <w:link w:val="Heading3"/>
    <w:uiPriority w:val="99"/>
    <w:rsid w:val="00C93DF4"/>
    <w:rPr>
      <w:rFonts w:asciiTheme="majorHAnsi" w:eastAsiaTheme="majorEastAsia" w:hAnsiTheme="majorHAnsi" w:cstheme="majorBidi"/>
      <w:b/>
      <w:bCs/>
      <w:sz w:val="24"/>
      <w:szCs w:val="28"/>
      <w:lang w:val="es-ES"/>
    </w:rPr>
  </w:style>
  <w:style w:type="character" w:customStyle="1" w:styleId="Heading4Char">
    <w:name w:val="Heading 4 Char"/>
    <w:aliases w:val="h4 Char,Título 4amb Char"/>
    <w:basedOn w:val="DefaultParagraphFont"/>
    <w:link w:val="Heading4"/>
    <w:uiPriority w:val="9"/>
    <w:rsid w:val="00CB7D47"/>
    <w:rPr>
      <w:rFonts w:asciiTheme="majorHAnsi" w:eastAsiaTheme="majorEastAsia" w:hAnsiTheme="majorHAnsi" w:cstheme="majorBidi"/>
      <w:b/>
      <w:bCs/>
      <w:color w:val="808080" w:themeColor="background1" w:themeShade="80"/>
      <w:sz w:val="24"/>
      <w:szCs w:val="28"/>
      <w:lang w:val="es-ES"/>
    </w:rPr>
  </w:style>
  <w:style w:type="paragraph" w:styleId="Header">
    <w:name w:val="header"/>
    <w:aliases w:val="Heading,titulo"/>
    <w:basedOn w:val="Normal"/>
    <w:next w:val="NormalWeb"/>
    <w:link w:val="HeaderChar"/>
    <w:qFormat/>
    <w:rsid w:val="004A2638"/>
    <w:pPr>
      <w:keepNext/>
      <w:keepLines/>
      <w:suppressLineNumbers/>
      <w:suppressAutoHyphens/>
      <w:spacing w:after="240"/>
      <w:jc w:val="left"/>
      <w:outlineLvl w:val="0"/>
    </w:pPr>
    <w:rPr>
      <w:rFonts w:asciiTheme="majorHAnsi" w:eastAsia="MS Mincho" w:hAnsiTheme="majorHAnsi"/>
      <w:b/>
      <w:sz w:val="32"/>
      <w:lang w:val="es-ES" w:eastAsia="es-ES"/>
    </w:rPr>
  </w:style>
  <w:style w:type="character" w:customStyle="1" w:styleId="HeaderChar">
    <w:name w:val="Header Char"/>
    <w:aliases w:val="Heading Char,titulo Char"/>
    <w:link w:val="Header"/>
    <w:rsid w:val="004A2638"/>
    <w:rPr>
      <w:rFonts w:asciiTheme="majorHAnsi" w:eastAsia="MS Mincho" w:hAnsiTheme="majorHAnsi"/>
      <w:b/>
      <w:sz w:val="32"/>
      <w:szCs w:val="24"/>
      <w:lang w:val="es-ES" w:eastAsia="es-ES"/>
    </w:rPr>
  </w:style>
  <w:style w:type="paragraph" w:styleId="NormalWeb">
    <w:name w:val="Normal (Web)"/>
    <w:basedOn w:val="Normal"/>
    <w:uiPriority w:val="99"/>
    <w:semiHidden/>
    <w:unhideWhenUsed/>
    <w:rsid w:val="00DA58F6"/>
    <w:rPr>
      <w:rFonts w:ascii="Times New Roman" w:hAnsi="Times New Roman"/>
    </w:rPr>
  </w:style>
  <w:style w:type="character" w:customStyle="1" w:styleId="CaptionChar">
    <w:name w:val="Caption Char"/>
    <w:aliases w:val="cap Char,Epígrafe anexo Char,Caption Char Char Char,Caption Char1 Char Char Char,Caption Char Char1 Char Char Char,Caption Char4 Char Char Char Char Char,Caption Char3 Char Char Char Char Char Char"/>
    <w:basedOn w:val="DefaultParagraphFont"/>
    <w:link w:val="Caption"/>
    <w:rsid w:val="001A7F75"/>
    <w:rPr>
      <w:rFonts w:asciiTheme="minorHAnsi" w:eastAsia="MS Mincho" w:hAnsiTheme="minorHAnsi"/>
      <w:bCs/>
      <w:sz w:val="24"/>
      <w:szCs w:val="24"/>
      <w:lang w:val="es-ES_tradnl" w:eastAsia="es-ES"/>
    </w:rPr>
  </w:style>
  <w:style w:type="paragraph" w:styleId="TOCHeading">
    <w:name w:val="TOC Heading"/>
    <w:basedOn w:val="Heading1"/>
    <w:next w:val="Normal"/>
    <w:uiPriority w:val="39"/>
    <w:semiHidden/>
    <w:unhideWhenUsed/>
    <w:qFormat/>
    <w:rsid w:val="00CB7D47"/>
    <w:pPr>
      <w:pageBreakBefore w:val="0"/>
      <w:numPr>
        <w:numId w:val="0"/>
      </w:numPr>
      <w:shd w:val="clear" w:color="auto" w:fill="auto"/>
      <w:tabs>
        <w:tab w:val="clear" w:pos="1134"/>
      </w:tabs>
      <w:spacing w:after="0" w:line="240" w:lineRule="auto"/>
      <w:ind w:right="0"/>
      <w:jc w:val="both"/>
      <w:outlineLvl w:val="9"/>
    </w:pPr>
    <w:rPr>
      <w:b w:val="0"/>
      <w:bCs w:val="0"/>
      <w:color w:val="365F91" w:themeColor="accent1" w:themeShade="BF"/>
      <w:szCs w:val="32"/>
    </w:rPr>
  </w:style>
  <w:style w:type="character" w:customStyle="1" w:styleId="TableSmallChar">
    <w:name w:val="TableSmall Char"/>
    <w:basedOn w:val="DefaultParagraphFont"/>
    <w:link w:val="TablaSmall"/>
    <w:rsid w:val="001A7F75"/>
    <w:rPr>
      <w:rFonts w:asciiTheme="minorHAnsi" w:hAnsiTheme="minorHAnsi"/>
      <w:color w:val="000000" w:themeColor="text1"/>
      <w:sz w:val="16"/>
      <w:lang w:val="es-ES" w:eastAsia="es-ES"/>
    </w:rPr>
  </w:style>
  <w:style w:type="character" w:customStyle="1" w:styleId="TableChar">
    <w:name w:val="Table Char"/>
    <w:basedOn w:val="DefaultParagraphFont"/>
    <w:link w:val="Table"/>
    <w:locked/>
    <w:rsid w:val="00E75075"/>
    <w:rPr>
      <w:rFonts w:asciiTheme="minorHAnsi" w:hAnsiTheme="minorHAnsi"/>
      <w:color w:val="000000" w:themeColor="text1"/>
      <w:lang w:val="es-ES" w:eastAsia="es-ES"/>
    </w:rPr>
  </w:style>
  <w:style w:type="character" w:customStyle="1" w:styleId="Heading5Char">
    <w:name w:val="Heading 5 Char"/>
    <w:aliases w:val="table contents Char"/>
    <w:basedOn w:val="DefaultParagraphFont"/>
    <w:link w:val="Heading5"/>
    <w:uiPriority w:val="9"/>
    <w:rsid w:val="006258D5"/>
    <w:rPr>
      <w:rFonts w:ascii="Lucida Sans" w:eastAsiaTheme="majorEastAsia" w:hAnsi="Lucida Sans" w:cstheme="majorBidi"/>
      <w:b/>
      <w:color w:val="808080"/>
      <w:sz w:val="28"/>
      <w:szCs w:val="24"/>
      <w:lang w:val="es-ES_tradnl"/>
    </w:rPr>
  </w:style>
  <w:style w:type="character" w:customStyle="1" w:styleId="Heading6Char">
    <w:name w:val="Heading 6 Char"/>
    <w:aliases w:val="Main Title Char"/>
    <w:basedOn w:val="DefaultParagraphFont"/>
    <w:link w:val="Heading6"/>
    <w:uiPriority w:val="9"/>
    <w:rsid w:val="00606FB3"/>
    <w:rPr>
      <w:rFonts w:asciiTheme="minorHAnsi" w:eastAsiaTheme="majorEastAsia" w:hAnsiTheme="minorHAnsi" w:cstheme="majorBidi"/>
      <w:b/>
      <w:sz w:val="36"/>
      <w:szCs w:val="24"/>
      <w:lang w:val="es-ES_tradnl"/>
    </w:rPr>
  </w:style>
  <w:style w:type="paragraph" w:styleId="Footer">
    <w:name w:val="footer"/>
    <w:basedOn w:val="Normal"/>
    <w:link w:val="FooterChar"/>
    <w:uiPriority w:val="99"/>
    <w:unhideWhenUsed/>
    <w:rsid w:val="004A6F56"/>
    <w:pPr>
      <w:tabs>
        <w:tab w:val="center" w:pos="4419"/>
        <w:tab w:val="right" w:pos="8838"/>
      </w:tabs>
    </w:pPr>
  </w:style>
  <w:style w:type="character" w:customStyle="1" w:styleId="FooterChar">
    <w:name w:val="Footer Char"/>
    <w:basedOn w:val="DefaultParagraphFont"/>
    <w:link w:val="Footer"/>
    <w:uiPriority w:val="99"/>
    <w:rsid w:val="004A6F56"/>
    <w:rPr>
      <w:rFonts w:asciiTheme="minorHAnsi" w:hAnsiTheme="minorHAnsi"/>
      <w:sz w:val="24"/>
      <w:szCs w:val="24"/>
      <w:lang w:val="es-ES_tradnl"/>
    </w:rPr>
  </w:style>
  <w:style w:type="table" w:styleId="PlainTable5">
    <w:name w:val="Plain Table 5"/>
    <w:basedOn w:val="TableNormal"/>
    <w:uiPriority w:val="45"/>
    <w:rsid w:val="00214C64"/>
    <w:tblPr>
      <w:tblStyleRowBandSize w:val="1"/>
      <w:tblStyleColBandSize w:val="1"/>
    </w:tblPr>
    <w:tblStylePr w:type="firstRow">
      <w:rPr>
        <w:rFonts w:asciiTheme="majorHAnsi" w:eastAsiaTheme="majorEastAsia" w:hAnsiTheme="majorHAnsi" w:cstheme="majorBidi"/>
        <w:b/>
        <w:i w:val="0"/>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i w:val="0"/>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b/>
        <w:i w:val="0"/>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7Char">
    <w:name w:val="Heading 7 Char"/>
    <w:basedOn w:val="DefaultParagraphFont"/>
    <w:link w:val="Heading7"/>
    <w:uiPriority w:val="9"/>
    <w:semiHidden/>
    <w:rsid w:val="00F257AC"/>
    <w:rPr>
      <w:rFonts w:eastAsiaTheme="majorEastAsia" w:cstheme="majorBidi"/>
      <w:color w:val="595959" w:themeColor="text1" w:themeTint="A6"/>
      <w:kern w:val="0"/>
      <w:sz w:val="24"/>
      <w:szCs w:val="24"/>
      <w14:ligatures w14:val="none"/>
    </w:rPr>
  </w:style>
  <w:style w:type="character" w:customStyle="1" w:styleId="Heading8Char">
    <w:name w:val="Heading 8 Char"/>
    <w:basedOn w:val="DefaultParagraphFont"/>
    <w:link w:val="Heading8"/>
    <w:uiPriority w:val="9"/>
    <w:semiHidden/>
    <w:rsid w:val="00F257AC"/>
    <w:rPr>
      <w:rFonts w:eastAsiaTheme="majorEastAsia" w:cstheme="majorBidi"/>
      <w:i/>
      <w:iCs/>
      <w:color w:val="272727" w:themeColor="text1" w:themeTint="D8"/>
      <w:kern w:val="0"/>
      <w:sz w:val="24"/>
      <w:szCs w:val="24"/>
      <w14:ligatures w14:val="none"/>
    </w:rPr>
  </w:style>
  <w:style w:type="character" w:customStyle="1" w:styleId="Heading9Char">
    <w:name w:val="Heading 9 Char"/>
    <w:basedOn w:val="DefaultParagraphFont"/>
    <w:link w:val="Heading9"/>
    <w:uiPriority w:val="9"/>
    <w:semiHidden/>
    <w:rsid w:val="00F257AC"/>
    <w:rPr>
      <w:rFonts w:eastAsiaTheme="majorEastAsia" w:cstheme="majorBidi"/>
      <w:color w:val="272727" w:themeColor="text1" w:themeTint="D8"/>
      <w:kern w:val="0"/>
      <w:sz w:val="24"/>
      <w:szCs w:val="24"/>
      <w14:ligatures w14:val="none"/>
    </w:rPr>
  </w:style>
  <w:style w:type="paragraph" w:styleId="Title">
    <w:name w:val="Title"/>
    <w:basedOn w:val="Normal"/>
    <w:next w:val="Normal"/>
    <w:link w:val="TitleChar"/>
    <w:uiPriority w:val="10"/>
    <w:rsid w:val="00F257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7AC"/>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rsid w:val="00F257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7AC"/>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rsid w:val="00F257AC"/>
    <w:pPr>
      <w:spacing w:before="160"/>
      <w:jc w:val="center"/>
    </w:pPr>
    <w:rPr>
      <w:i/>
      <w:iCs/>
      <w:color w:val="404040" w:themeColor="text1" w:themeTint="BF"/>
    </w:rPr>
  </w:style>
  <w:style w:type="character" w:customStyle="1" w:styleId="QuoteChar">
    <w:name w:val="Quote Char"/>
    <w:basedOn w:val="DefaultParagraphFont"/>
    <w:link w:val="Quote"/>
    <w:uiPriority w:val="29"/>
    <w:rsid w:val="00F257AC"/>
    <w:rPr>
      <w:i/>
      <w:iCs/>
      <w:color w:val="404040" w:themeColor="text1" w:themeTint="BF"/>
      <w:kern w:val="0"/>
      <w:sz w:val="24"/>
      <w:szCs w:val="24"/>
      <w14:ligatures w14:val="none"/>
    </w:rPr>
  </w:style>
  <w:style w:type="paragraph" w:styleId="ListParagraph">
    <w:name w:val="List Paragraph"/>
    <w:basedOn w:val="Normal"/>
    <w:uiPriority w:val="34"/>
    <w:rsid w:val="00F257AC"/>
    <w:pPr>
      <w:ind w:left="720"/>
      <w:contextualSpacing/>
    </w:pPr>
  </w:style>
  <w:style w:type="character" w:styleId="IntenseEmphasis">
    <w:name w:val="Intense Emphasis"/>
    <w:basedOn w:val="DefaultParagraphFont"/>
    <w:uiPriority w:val="21"/>
    <w:rsid w:val="00F257AC"/>
    <w:rPr>
      <w:i/>
      <w:iCs/>
      <w:color w:val="365F91" w:themeColor="accent1" w:themeShade="BF"/>
    </w:rPr>
  </w:style>
  <w:style w:type="paragraph" w:styleId="IntenseQuote">
    <w:name w:val="Intense Quote"/>
    <w:basedOn w:val="Normal"/>
    <w:next w:val="Normal"/>
    <w:link w:val="IntenseQuoteChar"/>
    <w:uiPriority w:val="30"/>
    <w:rsid w:val="00F257A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257AC"/>
    <w:rPr>
      <w:i/>
      <w:iCs/>
      <w:color w:val="365F91" w:themeColor="accent1" w:themeShade="BF"/>
      <w:kern w:val="0"/>
      <w:sz w:val="24"/>
      <w:szCs w:val="24"/>
      <w14:ligatures w14:val="none"/>
    </w:rPr>
  </w:style>
  <w:style w:type="character" w:styleId="IntenseReference">
    <w:name w:val="Intense Reference"/>
    <w:basedOn w:val="DefaultParagraphFont"/>
    <w:uiPriority w:val="32"/>
    <w:rsid w:val="00F257AC"/>
    <w:rPr>
      <w:b/>
      <w:bCs/>
      <w:smallCaps/>
      <w:color w:val="365F91" w:themeColor="accent1" w:themeShade="BF"/>
      <w:spacing w:val="5"/>
    </w:rPr>
  </w:style>
  <w:style w:type="table" w:customStyle="1" w:styleId="PlainTable21">
    <w:name w:val="Plain Table 21"/>
    <w:basedOn w:val="TableNormal"/>
    <w:next w:val="PlainTable2"/>
    <w:uiPriority w:val="42"/>
    <w:rsid w:val="00F257AC"/>
    <w:pPr>
      <w:spacing w:after="0" w:line="240" w:lineRule="auto"/>
    </w:pPr>
    <w:rPr>
      <w:rFonts w:ascii="Times New Roman" w:eastAsia="SimSun" w:hAnsi="Times New Roman" w:cs="Times New Roman"/>
      <w:kern w:val="0"/>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F257A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C4D9B2BE559479E868646A605525C94"/>
        <w:category>
          <w:name w:val="General"/>
          <w:gallery w:val="placeholder"/>
        </w:category>
        <w:types>
          <w:type w:val="bbPlcHdr"/>
        </w:types>
        <w:behaviors>
          <w:behavior w:val="content"/>
        </w:behaviors>
        <w:guid w:val="{333B3213-DD1F-4A9E-BB86-4C25D83064CE}"/>
      </w:docPartPr>
      <w:docPartBody>
        <w:p w:rsidR="002D41CB" w:rsidRDefault="000E095E" w:rsidP="000E095E">
          <w:pPr>
            <w:pStyle w:val="EC4D9B2BE559479E868646A605525C94"/>
          </w:pPr>
          <w:r w:rsidRPr="000D6016">
            <w:rPr>
              <w:rStyle w:val="PlaceholderText"/>
            </w:rPr>
            <w:t>Click or tap here to enter text.</w:t>
          </w:r>
        </w:p>
      </w:docPartBody>
    </w:docPart>
    <w:docPart>
      <w:docPartPr>
        <w:name w:val="6E4C4EEF2C224938908CA8C998F0BD2D"/>
        <w:category>
          <w:name w:val="General"/>
          <w:gallery w:val="placeholder"/>
        </w:category>
        <w:types>
          <w:type w:val="bbPlcHdr"/>
        </w:types>
        <w:behaviors>
          <w:behavior w:val="content"/>
        </w:behaviors>
        <w:guid w:val="{28B34394-E4B1-4DCF-BE33-76419CE48620}"/>
      </w:docPartPr>
      <w:docPartBody>
        <w:p w:rsidR="002D41CB" w:rsidRDefault="000E095E" w:rsidP="000E095E">
          <w:pPr>
            <w:pStyle w:val="6E4C4EEF2C224938908CA8C998F0BD2D"/>
          </w:pPr>
          <w:r w:rsidRPr="000D6016">
            <w:rPr>
              <w:rStyle w:val="PlaceholderText"/>
            </w:rPr>
            <w:t>Click or tap here to enter text.</w:t>
          </w:r>
        </w:p>
      </w:docPartBody>
    </w:docPart>
    <w:docPart>
      <w:docPartPr>
        <w:name w:val="997D0730D6E543568D52BCF6632D72B9"/>
        <w:category>
          <w:name w:val="General"/>
          <w:gallery w:val="placeholder"/>
        </w:category>
        <w:types>
          <w:type w:val="bbPlcHdr"/>
        </w:types>
        <w:behaviors>
          <w:behavior w:val="content"/>
        </w:behaviors>
        <w:guid w:val="{1C187E03-5FA4-4516-938D-B8D9016DFD5C}"/>
      </w:docPartPr>
      <w:docPartBody>
        <w:p w:rsidR="002D41CB" w:rsidRDefault="000E095E" w:rsidP="000E095E">
          <w:pPr>
            <w:pStyle w:val="997D0730D6E543568D52BCF6632D72B9"/>
          </w:pPr>
          <w:r w:rsidRPr="000D6016">
            <w:rPr>
              <w:rStyle w:val="PlaceholderText"/>
            </w:rPr>
            <w:t>Click or tap here to enter text.</w:t>
          </w:r>
        </w:p>
      </w:docPartBody>
    </w:docPart>
    <w:docPart>
      <w:docPartPr>
        <w:name w:val="DC6DCFA0401D4BB8A27D7903EADD4A31"/>
        <w:category>
          <w:name w:val="General"/>
          <w:gallery w:val="placeholder"/>
        </w:category>
        <w:types>
          <w:type w:val="bbPlcHdr"/>
        </w:types>
        <w:behaviors>
          <w:behavior w:val="content"/>
        </w:behaviors>
        <w:guid w:val="{A8E7AED6-8C66-45D5-A03C-CEED35D59D87}"/>
      </w:docPartPr>
      <w:docPartBody>
        <w:p w:rsidR="002D41CB" w:rsidRDefault="000E095E" w:rsidP="000E095E">
          <w:pPr>
            <w:pStyle w:val="DC6DCFA0401D4BB8A27D7903EADD4A31"/>
          </w:pPr>
          <w:r w:rsidRPr="000D60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95E"/>
    <w:rsid w:val="000951FF"/>
    <w:rsid w:val="000E095E"/>
    <w:rsid w:val="002D41CB"/>
    <w:rsid w:val="0071796A"/>
    <w:rsid w:val="009779F5"/>
    <w:rsid w:val="00EA3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095E"/>
    <w:rPr>
      <w:color w:val="666666"/>
    </w:rPr>
  </w:style>
  <w:style w:type="paragraph" w:customStyle="1" w:styleId="EC4D9B2BE559479E868646A605525C94">
    <w:name w:val="EC4D9B2BE559479E868646A605525C94"/>
    <w:rsid w:val="000E095E"/>
  </w:style>
  <w:style w:type="paragraph" w:customStyle="1" w:styleId="6E4C4EEF2C224938908CA8C998F0BD2D">
    <w:name w:val="6E4C4EEF2C224938908CA8C998F0BD2D"/>
    <w:rsid w:val="000E095E"/>
  </w:style>
  <w:style w:type="paragraph" w:customStyle="1" w:styleId="997D0730D6E543568D52BCF6632D72B9">
    <w:name w:val="997D0730D6E543568D52BCF6632D72B9"/>
    <w:rsid w:val="000E095E"/>
  </w:style>
  <w:style w:type="paragraph" w:customStyle="1" w:styleId="DC6DCFA0401D4BB8A27D7903EADD4A31">
    <w:name w:val="DC6DCFA0401D4BB8A27D7903EADD4A31"/>
    <w:rsid w:val="000E09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1491</Words>
  <Characters>8503</Characters>
  <Application>Microsoft Office Word</Application>
  <DocSecurity>0</DocSecurity>
  <Lines>70</Lines>
  <Paragraphs>19</Paragraphs>
  <ScaleCrop>false</ScaleCrop>
  <Company/>
  <LinksUpToDate>false</LinksUpToDate>
  <CharactersWithSpaces>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Busch</dc:creator>
  <cp:keywords/>
  <dc:description/>
  <cp:lastModifiedBy>Pablo Busch</cp:lastModifiedBy>
  <cp:revision>5</cp:revision>
  <dcterms:created xsi:type="dcterms:W3CDTF">2025-12-19T13:51:00Z</dcterms:created>
  <dcterms:modified xsi:type="dcterms:W3CDTF">2025-12-23T13:37:00Z</dcterms:modified>
</cp:coreProperties>
</file>