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505AF" w14:textId="0F3AFB21" w:rsidR="00A956CE" w:rsidRDefault="00A956CE" w:rsidP="00A956CE">
      <w:pPr>
        <w:spacing w:line="480" w:lineRule="auto"/>
        <w:jc w:val="both"/>
        <w:rPr>
          <w:rFonts w:ascii="Times New Roman" w:hAnsi="Times New Roman" w:cs="Times New Roman"/>
          <w:b/>
          <w:bCs/>
          <w:color w:val="000000"/>
        </w:rPr>
      </w:pPr>
      <w:r>
        <w:rPr>
          <w:rFonts w:ascii="Times New Roman" w:hAnsi="Times New Roman" w:cs="Times New Roman"/>
          <w:b/>
          <w:bCs/>
          <w:color w:val="000000"/>
        </w:rPr>
        <w:t>SUPPLEMENTAL</w:t>
      </w:r>
      <w:r w:rsidRPr="0003321D">
        <w:rPr>
          <w:rFonts w:ascii="Times New Roman" w:hAnsi="Times New Roman" w:cs="Times New Roman"/>
          <w:b/>
          <w:bCs/>
          <w:color w:val="000000"/>
        </w:rPr>
        <w:t xml:space="preserve"> FIGURE</w:t>
      </w:r>
      <w:r>
        <w:rPr>
          <w:rFonts w:ascii="Times New Roman" w:hAnsi="Times New Roman" w:cs="Times New Roman"/>
          <w:b/>
          <w:bCs/>
          <w:color w:val="000000"/>
        </w:rPr>
        <w:t>S</w:t>
      </w:r>
    </w:p>
    <w:p w14:paraId="5F0E7010" w14:textId="7124D949" w:rsidR="00A956CE" w:rsidRPr="0003321D" w:rsidRDefault="00A956CE" w:rsidP="00A956CE">
      <w:pPr>
        <w:spacing w:line="480" w:lineRule="auto"/>
        <w:jc w:val="center"/>
        <w:rPr>
          <w:rFonts w:ascii="Times New Roman" w:hAnsi="Times New Roman" w:cs="Times New Roman"/>
          <w:b/>
          <w:bCs/>
          <w:color w:val="000000"/>
        </w:rPr>
      </w:pPr>
      <w:r w:rsidRPr="00A956CE">
        <w:rPr>
          <w:rFonts w:ascii="Times New Roman" w:hAnsi="Times New Roman" w:cs="Times New Roman"/>
          <w:b/>
          <w:bCs/>
          <w:color w:val="000000"/>
        </w:rPr>
        <w:drawing>
          <wp:inline distT="0" distB="0" distL="0" distR="0" wp14:anchorId="2DB0C739" wp14:editId="16318A28">
            <wp:extent cx="4746929" cy="3174038"/>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4750955" cy="3176730"/>
                    </a:xfrm>
                    <a:prstGeom prst="rect">
                      <a:avLst/>
                    </a:prstGeom>
                  </pic:spPr>
                </pic:pic>
              </a:graphicData>
            </a:graphic>
          </wp:inline>
        </w:drawing>
      </w:r>
    </w:p>
    <w:p w14:paraId="2477F726" w14:textId="77777777" w:rsidR="00A956CE" w:rsidRPr="0003321D" w:rsidRDefault="00A956CE" w:rsidP="00A956CE">
      <w:pPr>
        <w:spacing w:line="480" w:lineRule="auto"/>
        <w:jc w:val="both"/>
        <w:rPr>
          <w:rFonts w:ascii="Times New Roman" w:hAnsi="Times New Roman" w:cs="Times New Roman"/>
          <w:color w:val="000000"/>
        </w:rPr>
      </w:pPr>
      <w:r w:rsidRPr="0003321D">
        <w:rPr>
          <w:rFonts w:ascii="Times New Roman" w:hAnsi="Times New Roman" w:cs="Times New Roman"/>
          <w:b/>
          <w:bCs/>
          <w:color w:val="000000"/>
        </w:rPr>
        <w:t>Figure S1: Representation of the study design.</w:t>
      </w:r>
      <w:r w:rsidRPr="0003321D">
        <w:rPr>
          <w:rFonts w:ascii="Times New Roman" w:hAnsi="Times New Roman" w:cs="Times New Roman"/>
          <w:color w:val="000000"/>
        </w:rPr>
        <w:t xml:space="preserve"> Male Sprague Dawley rats were fed a daily in-house high-glucose (western) diet to induce T2DM and randomly assigned to an experimental group. Rats performed five days per week LVE or HVE training, and results were compared with SED control rats to evaluate the preventive mechanisms of exercise volume training in DCM progression. T2DM, type 2 diabetes; SED, sedentary; LVE, low-volume exercise; HVE, high-volume exercise; DCM, cardiomyopathy; OGTT, oral glucose tolerance test; LV, left ventricle.</w:t>
      </w:r>
    </w:p>
    <w:p w14:paraId="295127DA" w14:textId="767FF428" w:rsidR="00A956CE" w:rsidRPr="0003321D" w:rsidRDefault="00A956CE" w:rsidP="00A956CE">
      <w:pPr>
        <w:spacing w:line="480" w:lineRule="auto"/>
        <w:jc w:val="both"/>
        <w:rPr>
          <w:rFonts w:ascii="Times New Roman" w:hAnsi="Times New Roman" w:cs="Times New Roman"/>
          <w:color w:val="000000"/>
        </w:rPr>
      </w:pPr>
      <w:r w:rsidRPr="00A956CE">
        <w:rPr>
          <w:rFonts w:ascii="Times New Roman" w:hAnsi="Times New Roman" w:cs="Times New Roman"/>
          <w:color w:val="000000"/>
        </w:rPr>
        <w:drawing>
          <wp:inline distT="0" distB="0" distL="0" distR="0" wp14:anchorId="25C690C1" wp14:editId="04FB35D4">
            <wp:extent cx="5760720" cy="17430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60720" cy="1743075"/>
                    </a:xfrm>
                    <a:prstGeom prst="rect">
                      <a:avLst/>
                    </a:prstGeom>
                  </pic:spPr>
                </pic:pic>
              </a:graphicData>
            </a:graphic>
          </wp:inline>
        </w:drawing>
      </w:r>
    </w:p>
    <w:p w14:paraId="29728EC5" w14:textId="77777777" w:rsidR="00A956CE" w:rsidRPr="0003321D" w:rsidRDefault="00A956CE" w:rsidP="00A956CE">
      <w:pPr>
        <w:spacing w:line="480" w:lineRule="auto"/>
        <w:jc w:val="both"/>
        <w:rPr>
          <w:rFonts w:ascii="Times New Roman" w:hAnsi="Times New Roman" w:cs="Times New Roman"/>
          <w:color w:val="000000"/>
        </w:rPr>
      </w:pPr>
      <w:r w:rsidRPr="0003321D">
        <w:rPr>
          <w:rFonts w:ascii="Times New Roman" w:hAnsi="Times New Roman" w:cs="Times New Roman"/>
          <w:b/>
          <w:bCs/>
          <w:color w:val="000000"/>
        </w:rPr>
        <w:t>Figure S2: Body weight gain in T2DM rats is independent from training volume.</w:t>
      </w:r>
      <w:r w:rsidRPr="0003321D">
        <w:rPr>
          <w:rFonts w:ascii="Times New Roman" w:hAnsi="Times New Roman" w:cs="Times New Roman"/>
          <w:color w:val="000000"/>
        </w:rPr>
        <w:t xml:space="preserve"> (a) Mean body weight of rats at different time points over 18 weeks. (b) Mean body weight gain per group. (n = 6-8 per group). (c) Mean 24-hour food intake per cage. Each cage represents the housing of two rats from the </w:t>
      </w:r>
      <w:r w:rsidRPr="0003321D">
        <w:rPr>
          <w:rFonts w:ascii="Times New Roman" w:hAnsi="Times New Roman" w:cs="Times New Roman"/>
          <w:color w:val="000000"/>
        </w:rPr>
        <w:lastRenderedPageBreak/>
        <w:t xml:space="preserve">same group. (n = 3-4 per group). Data are presented as median [Q1, Q3]. (a) * denotes p &lt; 0.05; ** denotes p &lt; 0.01; *** denotes p &lt; 0.001 </w:t>
      </w:r>
      <w:r>
        <w:rPr>
          <w:rFonts w:ascii="Times New Roman" w:hAnsi="Times New Roman" w:cs="Times New Roman"/>
          <w:color w:val="000000"/>
        </w:rPr>
        <w:t xml:space="preserve">SED </w:t>
      </w:r>
      <w:r w:rsidRPr="0003321D">
        <w:rPr>
          <w:rFonts w:ascii="Times New Roman" w:hAnsi="Times New Roman" w:cs="Times New Roman"/>
          <w:color w:val="000000"/>
        </w:rPr>
        <w:t xml:space="preserve">vs HVE; # denotes p &lt; 0.05 </w:t>
      </w:r>
      <w:r>
        <w:rPr>
          <w:rFonts w:ascii="Times New Roman" w:hAnsi="Times New Roman" w:cs="Times New Roman"/>
          <w:color w:val="000000"/>
        </w:rPr>
        <w:t xml:space="preserve">SED </w:t>
      </w:r>
      <w:r w:rsidRPr="0003321D">
        <w:rPr>
          <w:rFonts w:ascii="Times New Roman" w:hAnsi="Times New Roman" w:cs="Times New Roman"/>
          <w:color w:val="000000"/>
        </w:rPr>
        <w:t>vs LVE. (b) * denotes p &lt; 0.05</w:t>
      </w:r>
      <w:r>
        <w:rPr>
          <w:rFonts w:ascii="Times New Roman" w:hAnsi="Times New Roman" w:cs="Times New Roman"/>
          <w:color w:val="000000"/>
        </w:rPr>
        <w:t xml:space="preserve"> </w:t>
      </w:r>
      <w:r w:rsidRPr="0003321D">
        <w:rPr>
          <w:rFonts w:ascii="Times New Roman" w:hAnsi="Times New Roman" w:cs="Times New Roman"/>
          <w:color w:val="000000"/>
        </w:rPr>
        <w:t>vs SED.</w:t>
      </w:r>
    </w:p>
    <w:p w14:paraId="2ADBD45D" w14:textId="3D4CCBCC" w:rsidR="00A956CE" w:rsidRPr="0003321D" w:rsidRDefault="00A956CE" w:rsidP="00A956CE">
      <w:pPr>
        <w:spacing w:line="480" w:lineRule="auto"/>
        <w:jc w:val="both"/>
        <w:rPr>
          <w:rFonts w:ascii="Times New Roman" w:hAnsi="Times New Roman" w:cs="Times New Roman"/>
          <w:color w:val="000000"/>
        </w:rPr>
      </w:pPr>
      <w:r w:rsidRPr="00A956CE">
        <w:rPr>
          <w:rFonts w:ascii="Times New Roman" w:hAnsi="Times New Roman" w:cs="Times New Roman"/>
          <w:color w:val="000000"/>
        </w:rPr>
        <w:drawing>
          <wp:inline distT="0" distB="0" distL="0" distR="0" wp14:anchorId="46331F1C" wp14:editId="0EFD37F0">
            <wp:extent cx="5760720" cy="19246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60720" cy="1924685"/>
                    </a:xfrm>
                    <a:prstGeom prst="rect">
                      <a:avLst/>
                    </a:prstGeom>
                  </pic:spPr>
                </pic:pic>
              </a:graphicData>
            </a:graphic>
          </wp:inline>
        </w:drawing>
      </w:r>
    </w:p>
    <w:p w14:paraId="4E6EC17C" w14:textId="77777777" w:rsidR="00A956CE" w:rsidRPr="0003321D" w:rsidRDefault="00A956CE" w:rsidP="00A956CE">
      <w:pPr>
        <w:spacing w:line="480" w:lineRule="auto"/>
        <w:jc w:val="both"/>
        <w:rPr>
          <w:rFonts w:ascii="Times New Roman" w:hAnsi="Times New Roman" w:cs="Times New Roman"/>
          <w:color w:val="000000"/>
        </w:rPr>
      </w:pPr>
      <w:r w:rsidRPr="0003321D">
        <w:rPr>
          <w:rFonts w:ascii="Times New Roman" w:hAnsi="Times New Roman" w:cs="Times New Roman"/>
          <w:b/>
          <w:bCs/>
          <w:color w:val="000000"/>
        </w:rPr>
        <w:t>Figure S3: Organ weights after 18 weeks.</w:t>
      </w:r>
      <w:r w:rsidRPr="0003321D">
        <w:rPr>
          <w:rFonts w:ascii="Times New Roman" w:hAnsi="Times New Roman" w:cs="Times New Roman"/>
          <w:color w:val="000000"/>
        </w:rPr>
        <w:t xml:space="preserve"> (a) Heart weight corrected by tibia length. (b) Lung weight corrected by tibia length. (c) Lung weight wet to dry ratio as an indicator for pulmonary oedema. (d) Liver weight corrected by tibia length. (n = 6-8 per group). Data are presented as median [Q1, Q3]. * denotes p &lt; 0.05 vs SED.</w:t>
      </w:r>
    </w:p>
    <w:p w14:paraId="0A0199C0" w14:textId="2065745D" w:rsidR="00A956CE" w:rsidRPr="0003321D" w:rsidRDefault="00A956CE" w:rsidP="00A956CE">
      <w:pPr>
        <w:spacing w:line="480" w:lineRule="auto"/>
        <w:jc w:val="both"/>
        <w:rPr>
          <w:rFonts w:ascii="Times New Roman" w:hAnsi="Times New Roman" w:cs="Times New Roman"/>
          <w:color w:val="000000"/>
        </w:rPr>
      </w:pPr>
      <w:r w:rsidRPr="00A956CE">
        <w:rPr>
          <w:rFonts w:ascii="Times New Roman" w:hAnsi="Times New Roman" w:cs="Times New Roman"/>
          <w:color w:val="000000"/>
        </w:rPr>
        <w:drawing>
          <wp:inline distT="0" distB="0" distL="0" distR="0" wp14:anchorId="6F2DDB7D" wp14:editId="1F631707">
            <wp:extent cx="5760720" cy="1709420"/>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60720" cy="1709420"/>
                    </a:xfrm>
                    <a:prstGeom prst="rect">
                      <a:avLst/>
                    </a:prstGeom>
                  </pic:spPr>
                </pic:pic>
              </a:graphicData>
            </a:graphic>
          </wp:inline>
        </w:drawing>
      </w:r>
    </w:p>
    <w:p w14:paraId="7A741D35" w14:textId="77777777" w:rsidR="00A956CE" w:rsidRPr="0003321D" w:rsidRDefault="00A956CE" w:rsidP="00A956CE">
      <w:pPr>
        <w:spacing w:line="480" w:lineRule="auto"/>
        <w:jc w:val="both"/>
        <w:rPr>
          <w:rFonts w:ascii="Times New Roman" w:hAnsi="Times New Roman" w:cs="Times New Roman"/>
          <w:color w:val="000000"/>
        </w:rPr>
      </w:pPr>
      <w:r w:rsidRPr="0003321D">
        <w:rPr>
          <w:rFonts w:ascii="Times New Roman" w:hAnsi="Times New Roman" w:cs="Times New Roman"/>
          <w:b/>
          <w:bCs/>
          <w:color w:val="000000"/>
        </w:rPr>
        <w:t>Figure S4: HVE training prevents diastolic LV hypertrophy.</w:t>
      </w:r>
      <w:r w:rsidRPr="0003321D">
        <w:rPr>
          <w:rFonts w:ascii="Times New Roman" w:hAnsi="Times New Roman" w:cs="Times New Roman"/>
          <w:color w:val="000000"/>
        </w:rPr>
        <w:t xml:space="preserve"> Conventional echocardiography in M-mode was performed to evaluate anterior and posterior wall thickness. Data represents percentage change in (a, b) systolic and (c, d) diastolic LV anterior and posterior wall thickness after 18 weeks. Data are presented as median [Q1, Q3]. # denotes p &lt; 0.05; # # denotes p &lt; 0.01 vs baseline (value = 0). LV, left ventricular; LVAW,</w:t>
      </w:r>
      <w:r>
        <w:rPr>
          <w:rFonts w:ascii="Times New Roman" w:hAnsi="Times New Roman" w:cs="Times New Roman"/>
          <w:color w:val="000000"/>
        </w:rPr>
        <w:t xml:space="preserve"> </w:t>
      </w:r>
      <w:r w:rsidRPr="0003321D">
        <w:rPr>
          <w:rFonts w:ascii="Times New Roman" w:hAnsi="Times New Roman" w:cs="Times New Roman"/>
          <w:color w:val="000000"/>
        </w:rPr>
        <w:t>left ventricular anterior wall thickness; LVPW</w:t>
      </w:r>
      <w:r>
        <w:rPr>
          <w:rFonts w:ascii="Times New Roman" w:hAnsi="Times New Roman" w:cs="Times New Roman"/>
          <w:color w:val="000000"/>
        </w:rPr>
        <w:t>s</w:t>
      </w:r>
      <w:r w:rsidRPr="0003321D">
        <w:rPr>
          <w:rFonts w:ascii="Times New Roman" w:hAnsi="Times New Roman" w:cs="Times New Roman"/>
          <w:color w:val="000000"/>
        </w:rPr>
        <w:t>, left ventricular posterior wall thickness.</w:t>
      </w:r>
    </w:p>
    <w:p w14:paraId="2569A76C" w14:textId="77777777" w:rsidR="00D9235A" w:rsidRDefault="00D9235A"/>
    <w:sectPr w:rsidR="00D923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6CE"/>
    <w:rsid w:val="007D623A"/>
    <w:rsid w:val="00A956CE"/>
    <w:rsid w:val="00AA5206"/>
    <w:rsid w:val="00D9235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8094A"/>
  <w15:chartTrackingRefBased/>
  <w15:docId w15:val="{C9F1245C-8651-4142-BD53-73A746BE8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6CE"/>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298</Words>
  <Characters>1639</Characters>
  <Application>Microsoft Office Word</Application>
  <DocSecurity>0</DocSecurity>
  <Lines>13</Lines>
  <Paragraphs>3</Paragraphs>
  <ScaleCrop>false</ScaleCrop>
  <Company>UHasselt</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Dorien</dc:creator>
  <cp:keywords/>
  <dc:description/>
  <cp:lastModifiedBy>Dorien</cp:lastModifiedBy>
  <cp:revision>1</cp:revision>
  <dcterms:created xsi:type="dcterms:W3CDTF">2025-12-11T13:03:00Z</dcterms:created>
  <dcterms:modified xsi:type="dcterms:W3CDTF">2025-12-11T13:05:00Z</dcterms:modified>
</cp:coreProperties>
</file>