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350" w:right="-1260"/>
        <w:jc w:val="center"/>
        <w:rPr>
          <w:b/>
          <w:sz w:val="28"/>
          <w:szCs w:val="28"/>
        </w:rPr>
      </w:pPr>
    </w:p>
    <w:p>
      <w:pPr>
        <w:ind w:left="-1350" w:right="-1260"/>
        <w:jc w:val="center"/>
        <w:rPr>
          <w:b/>
          <w:sz w:val="28"/>
          <w:szCs w:val="28"/>
        </w:rPr>
      </w:pPr>
    </w:p>
    <w:p>
      <w:pPr>
        <w:ind w:left="-1350" w:right="-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Supplemental Information for:</w:t>
      </w:r>
    </w:p>
    <w:p>
      <w:pPr>
        <w:ind w:left="-1350" w:right="-1260"/>
        <w:jc w:val="center"/>
        <w:rPr>
          <w:b/>
          <w:sz w:val="28"/>
          <w:szCs w:val="28"/>
        </w:rPr>
      </w:pPr>
    </w:p>
    <w:p>
      <w:pPr>
        <w:spacing w:line="240" w:lineRule="auto"/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Deletion of an enhancer in FGF5 is associated with ectopic expression in goat hair follicle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 xml:space="preserve"> and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</w:rPr>
        <w:t>cashmere growth phenotype</w:t>
      </w:r>
    </w:p>
    <w:p>
      <w:pPr>
        <w:spacing w:line="240" w:lineRule="auto"/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</w:pP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>Yefang Li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eastAsia="zh-CN"/>
        </w:rPr>
        <w:t>1,2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>, Shen Song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eastAsia="zh-CN"/>
        </w:rPr>
        <w:t>1,2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 xml:space="preserve"> ,Xuexue Liu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eastAsia="zh-CN"/>
        </w:rPr>
        <w:t>1,2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>, Yanli Zhang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eastAsia="zh-CN"/>
        </w:rPr>
        <w:t>1,2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>, Dandan Wang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eastAsia="zh-CN"/>
        </w:rPr>
        <w:t>1,2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>, Xiaohong He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eastAsia="zh-CN"/>
        </w:rPr>
        <w:t>1,2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>, Qianjun Zhao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eastAsia="zh-CN"/>
        </w:rPr>
        <w:t>1,2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>, Yabin Pu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eastAsia="zh-CN"/>
        </w:rPr>
        <w:t>1,2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>, Weijun Guan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eastAsia="zh-CN"/>
        </w:rPr>
        <w:t>1,2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>,</w:t>
      </w:r>
      <w:r>
        <w:rPr>
          <w:rFonts w:hint="eastAsia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>YuehuiMa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eastAsia="zh-CN"/>
        </w:rPr>
        <w:t>1,2*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 xml:space="preserve">, Lin Jiang 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eastAsia="zh-CN"/>
        </w:rPr>
        <w:t>1,2*</w:t>
      </w:r>
    </w:p>
    <w:p>
      <w:pPr>
        <w:widowControl w:val="0"/>
        <w:adjustRightInd w:val="0"/>
        <w:snapToGrid w:val="0"/>
        <w:spacing w:line="240" w:lineRule="auto"/>
        <w:jc w:val="left"/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val="en-GB" w:eastAsia="zh-CN"/>
        </w:rPr>
      </w:pPr>
    </w:p>
    <w:p>
      <w:pPr>
        <w:widowControl w:val="0"/>
        <w:adjustRightInd w:val="0"/>
        <w:snapToGrid w:val="0"/>
        <w:spacing w:line="240" w:lineRule="auto"/>
        <w:jc w:val="left"/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val="en-GB" w:eastAsia="zh-CN"/>
        </w:rPr>
      </w:pP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val="en-GB" w:eastAsia="zh-CN"/>
        </w:rPr>
        <w:t>1</w:t>
      </w:r>
      <w:bookmarkStart w:id="0" w:name="OLE_LINK20"/>
      <w:bookmarkStart w:id="1" w:name="OLE_LINK25"/>
      <w:r>
        <w:rPr>
          <w:rFonts w:hint="eastAsia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val="en-GB" w:eastAsia="zh-CN"/>
        </w:rPr>
        <w:t>Institute of Animal Science</w:t>
      </w:r>
      <w:bookmarkEnd w:id="0"/>
      <w:bookmarkEnd w:id="1"/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val="en-GB" w:eastAsia="zh-CN"/>
        </w:rPr>
        <w:t xml:space="preserve">, </w:t>
      </w:r>
      <w:bookmarkStart w:id="2" w:name="OLE_LINK69"/>
      <w:bookmarkStart w:id="3" w:name="OLE_LINK70"/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val="en-GB" w:eastAsia="zh-CN"/>
        </w:rPr>
        <w:t>Chinese Academy of Agricultural Sciences (CAAS)</w:t>
      </w:r>
      <w:bookmarkEnd w:id="2"/>
      <w:bookmarkEnd w:id="3"/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eastAsia="zh-CN"/>
        </w:rPr>
        <w:t xml:space="preserve">, 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val="en-GB" w:eastAsia="zh-CN"/>
        </w:rPr>
        <w:t>Beijing 100193, P. R. China</w:t>
      </w:r>
    </w:p>
    <w:p>
      <w:pPr>
        <w:widowControl w:val="0"/>
        <w:adjustRightInd w:val="0"/>
        <w:snapToGrid w:val="0"/>
        <w:spacing w:line="240" w:lineRule="auto"/>
        <w:jc w:val="left"/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val="en-GB" w:eastAsia="zh-CN"/>
        </w:rPr>
      </w:pP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vertAlign w:val="superscript"/>
          <w:lang w:val="en-GB" w:eastAsia="zh-CN"/>
        </w:rPr>
        <w:t>2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val="en-GB" w:eastAsia="zh-CN"/>
        </w:rPr>
        <w:t xml:space="preserve"> CAAS-ILRI Joint Laboratory on Livestock and Forage Genetic Resources, Institute of Animal Science, Chinese Academy of Agricultural Sciences (CAAS), Beijing, 100193, P.</w:t>
      </w:r>
      <w:r>
        <w:rPr>
          <w:rFonts w:hint="eastAsia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游明朝" w:cs="Times New Roman"/>
          <w:bCs/>
          <w:color w:val="000000"/>
          <w:kern w:val="0"/>
          <w:sz w:val="24"/>
          <w:szCs w:val="24"/>
          <w:shd w:val="clear" w:color="auto" w:fill="FFFFFF"/>
          <w:lang w:val="en-GB" w:eastAsia="zh-CN"/>
        </w:rPr>
        <w:t>R. China</w:t>
      </w:r>
    </w:p>
    <w:p>
      <w:pPr>
        <w:ind w:left="-1350" w:right="-1260"/>
        <w:jc w:val="center"/>
      </w:pPr>
    </w:p>
    <w:p>
      <w:pPr>
        <w:ind w:right="-1260"/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>
      <w:pPr>
        <w:widowControl w:val="0"/>
        <w:spacing w:line="240" w:lineRule="auto"/>
        <w:jc w:val="left"/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 xml:space="preserve">Fig. </w:t>
      </w:r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S1.</w:t>
      </w:r>
      <w:r>
        <w:rPr>
          <w:rFonts w:hint="default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 w:bidi="ar-SA"/>
        </w:rPr>
        <w:t>Distribution of mean size</w:t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(A)</w:t>
      </w:r>
      <w:r>
        <w:rPr>
          <w:rFonts w:hint="default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and number of ROH</w:t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(B)</w:t>
      </w:r>
      <w:r>
        <w:rPr>
          <w:rFonts w:hint="default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</w:t>
      </w:r>
    </w:p>
    <w:p>
      <w:pPr>
        <w:widowControl w:val="0"/>
        <w:spacing w:line="240" w:lineRule="auto"/>
        <w:jc w:val="left"/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eastAsia="宋体"/>
          <w:sz w:val="32"/>
          <w:szCs w:val="32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1272540</wp:posOffset>
            </wp:positionV>
            <wp:extent cx="5940425" cy="4333875"/>
            <wp:effectExtent l="0" t="0" r="3175" b="9525"/>
            <wp:wrapTopAndBottom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 w:bidi="ar-SA"/>
        </w:rPr>
        <w:t>TGB, Toggenburg dairy goat from Heilongjiang; LaSh, Laoshan dairy goat from Shandong; XiDo, Xiangdong black goat from Hunan; LiNi, Liaoning cashmere goat from Liaoning; ABS, Arbus cashmere goat; ELS, Erlangshan cashmere goat; ALS, Alashan cashmere goat from Inner Mongolia; TBG, Tibetan Bangor cashmere goat; TRT, Tibetan Ritu cashmere goat from Tibet; NPH, Nepalese Highland goat; NPL, Nepalese Lowand goat; TPR, Tapri goat; KMR, Kamori goat; PTR, Pateri goat; BTR, Bugi Toori goat.</w:t>
      </w:r>
    </w:p>
    <w:p>
      <w:pPr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br w:type="page"/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Decay of LD in the goat genome for each breed.</w:t>
      </w:r>
    </w:p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5941060" cy="5888990"/>
            <wp:effectExtent l="0" t="0" r="2540" b="3810"/>
            <wp:wrapTopAndBottom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88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>
      <w:pPr>
        <w:widowControl w:val="0"/>
        <w:spacing w:line="240" w:lineRule="auto"/>
        <w:jc w:val="left"/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 xml:space="preserve"> S</w:t>
      </w:r>
      <w:r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>PCA result of the first and third components of Chinese goats.</w:t>
      </w:r>
    </w:p>
    <w:p>
      <w:pPr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347980</wp:posOffset>
            </wp:positionH>
            <wp:positionV relativeFrom="paragraph">
              <wp:posOffset>306705</wp:posOffset>
            </wp:positionV>
            <wp:extent cx="5247005" cy="4271010"/>
            <wp:effectExtent l="0" t="0" r="10795" b="8890"/>
            <wp:wrapTopAndBottom/>
            <wp:docPr id="3" name="图片 3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 w:asciiTheme="minorHAnsi" w:hAnsiTheme="minorHAnsi" w:eastAsiaTheme="minorHAnsi" w:cstheme="minorBidi"/>
          <w:sz w:val="24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148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widowControl w:val="0"/>
        <w:spacing w:line="240" w:lineRule="auto"/>
        <w:jc w:val="left"/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 xml:space="preserve"> S</w:t>
      </w:r>
      <w:r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 xml:space="preserve">Genetic population structure </w:t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 xml:space="preserve">of the 115 goats conducted </w:t>
      </w:r>
      <w:r>
        <w:rPr>
          <w:rFonts w:hint="default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>by Admixture.</w:t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 xml:space="preserve"> </w:t>
      </w:r>
    </w:p>
    <w:p>
      <w:pPr>
        <w:widowControl w:val="0"/>
        <w:spacing w:line="240" w:lineRule="auto"/>
        <w:jc w:val="left"/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>The length of each colored segment represents the proportion of the individual genome inferred from ancestral populations</w:t>
      </w:r>
      <w:r>
        <w:rPr>
          <w:rFonts w:hint="default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 xml:space="preserve"> (K=2-7)</w:t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>.</w:t>
      </w:r>
    </w:p>
    <w:p>
      <w:pPr>
        <w:tabs>
          <w:tab w:val="left" w:pos="148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271145</wp:posOffset>
            </wp:positionV>
            <wp:extent cx="5589905" cy="7208520"/>
            <wp:effectExtent l="0" t="0" r="10795" b="5080"/>
            <wp:wrapTopAndBottom/>
            <wp:docPr id="4" name="图片 4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 S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9905" cy="7208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Theme="minorHAnsi" w:hAnsiTheme="minorHAnsi" w:eastAsiaTheme="minorHAnsi" w:cstheme="minorBidi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HAnsi" w:cstheme="minorBidi"/>
          <w:sz w:val="24"/>
          <w:szCs w:val="24"/>
          <w:lang w:val="en-US" w:eastAsia="zh-CN" w:bidi="ar-SA"/>
        </w:rPr>
        <w:br w:type="page"/>
      </w:r>
    </w:p>
    <w:p>
      <w:pPr>
        <w:widowControl w:val="0"/>
        <w:spacing w:line="240" w:lineRule="auto"/>
        <w:jc w:val="left"/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 xml:space="preserve"> S</w:t>
      </w:r>
      <w:r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>Migration analysis of 115 goats by Treemix software.</w:t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 xml:space="preserve"> </w:t>
      </w:r>
    </w:p>
    <w:p>
      <w:pPr>
        <w:widowControl w:val="0"/>
        <w:spacing w:line="240" w:lineRule="auto"/>
        <w:jc w:val="left"/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HAnsi" w:cstheme="minorBidi"/>
          <w:sz w:val="24"/>
          <w:szCs w:val="24"/>
          <w:lang w:val="en-US" w:eastAsia="zh-CN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747395</wp:posOffset>
            </wp:positionV>
            <wp:extent cx="5937250" cy="4469765"/>
            <wp:effectExtent l="0" t="0" r="6350" b="635"/>
            <wp:wrapTopAndBottom/>
            <wp:docPr id="6" name="图片 6" descr="Fig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 S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>(A-F) panels represent models of population affinities assuming 0-3 and 5-6 migration edges in TreeMix, respectively. The inferred migration weight is provided by the color of the arrow displayed.</w:t>
      </w:r>
    </w:p>
    <w:p>
      <w:pPr>
        <w:bidi w:val="0"/>
        <w:jc w:val="both"/>
        <w:rPr>
          <w:rFonts w:hint="eastAsia" w:asciiTheme="minorHAnsi" w:hAnsiTheme="minorHAnsi" w:eastAsiaTheme="minorHAnsi" w:cstheme="minorBidi"/>
          <w:sz w:val="24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HAnsi" w:cstheme="minorBidi"/>
          <w:sz w:val="24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84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widowControl w:val="0"/>
        <w:spacing w:line="240" w:lineRule="auto"/>
        <w:jc w:val="left"/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.</w:t>
      </w:r>
      <w:bookmarkStart w:id="4" w:name="_GoBack"/>
      <w:bookmarkEnd w:id="4"/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 xml:space="preserve"> S</w:t>
      </w:r>
      <w:r>
        <w:rPr>
          <w:rFonts w:hint="eastAsia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>The overlapped regions for selection signatures.</w:t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/>
        </w:rPr>
        <w:t xml:space="preserve"> </w:t>
      </w:r>
    </w:p>
    <w:p>
      <w:pPr>
        <w:widowControl w:val="0"/>
        <w:spacing w:line="240" w:lineRule="auto"/>
        <w:jc w:val="left"/>
        <w:rPr>
          <w:rFonts w:hint="default" w:ascii="Times New Roman" w:hAnsi="Times New Roman" w:eastAsia="游明朝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607060</wp:posOffset>
            </wp:positionV>
            <wp:extent cx="4826635" cy="4826635"/>
            <wp:effectExtent l="0" t="0" r="12065" b="12065"/>
            <wp:wrapTopAndBottom/>
            <wp:docPr id="7" name="图片 7" descr="Fig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 S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26635" cy="482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The overlapped regions by top 5% highest </w:t>
      </w:r>
      <w:r>
        <w:rPr>
          <w:rFonts w:hint="eastAsia" w:ascii="Times New Roman" w:hAnsi="Times New Roman" w:eastAsia="游明朝" w:cs="Times New Roman"/>
          <w:b w:val="0"/>
          <w:bCs w:val="0"/>
          <w:i/>
          <w:iCs/>
          <w:kern w:val="2"/>
          <w:sz w:val="24"/>
          <w:szCs w:val="24"/>
          <w:lang w:val="en-US" w:eastAsia="zh-CN" w:bidi="ar-SA"/>
        </w:rPr>
        <w:t>F</w:t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vertAlign w:val="subscript"/>
          <w:lang w:val="en-US" w:eastAsia="zh-CN" w:bidi="ar-SA"/>
        </w:rPr>
        <w:t>ST</w:t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and </w:t>
      </w:r>
      <w:r>
        <w:rPr>
          <w:rFonts w:hint="default" w:ascii="Times New Roman" w:hAnsi="Times New Roman" w:eastAsia="黑体" w:cs="Times New Roman"/>
          <w:kern w:val="2"/>
          <w:sz w:val="24"/>
          <w:szCs w:val="24"/>
          <w:lang w:eastAsia="zh-CN"/>
        </w:rPr>
        <w:t>θ</w:t>
      </w:r>
      <w:r>
        <w:rPr>
          <w:rFonts w:hint="default" w:ascii="Times New Roman" w:hAnsi="Times New Roman" w:eastAsia="黑体" w:cs="Times New Roman"/>
          <w:kern w:val="2"/>
          <w:sz w:val="24"/>
          <w:szCs w:val="24"/>
          <w:vertAlign w:val="subscript"/>
          <w:lang w:eastAsia="zh-CN"/>
        </w:rPr>
        <w:t>π</w:t>
      </w:r>
      <w:r>
        <w:rPr>
          <w:rFonts w:hint="default" w:ascii="Times New Roman" w:hAnsi="Times New Roman" w:eastAsia="黑体" w:cs="Times New Roman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游明朝" w:cs="Times New Roman"/>
          <w:b w:val="0"/>
          <w:bCs w:val="0"/>
          <w:kern w:val="2"/>
          <w:sz w:val="24"/>
          <w:szCs w:val="24"/>
          <w:lang w:val="en-US" w:eastAsia="zh-CN" w:bidi="ar-SA"/>
        </w:rPr>
        <w:t>ratio (noncash/cash) and ZHp for cashmere goats.</w:t>
      </w:r>
    </w:p>
    <w:p>
      <w:pPr>
        <w:tabs>
          <w:tab w:val="left" w:pos="848"/>
        </w:tabs>
        <w:bidi w:val="0"/>
        <w:jc w:val="left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7950238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30"/>
    <w:rsid w:val="00014E13"/>
    <w:rsid w:val="000C5B4D"/>
    <w:rsid w:val="001B41A5"/>
    <w:rsid w:val="002819E1"/>
    <w:rsid w:val="004034EA"/>
    <w:rsid w:val="00574328"/>
    <w:rsid w:val="005910E5"/>
    <w:rsid w:val="0063401C"/>
    <w:rsid w:val="007B5D30"/>
    <w:rsid w:val="007F0433"/>
    <w:rsid w:val="007F3854"/>
    <w:rsid w:val="00997FE7"/>
    <w:rsid w:val="009F0762"/>
    <w:rsid w:val="00BD4601"/>
    <w:rsid w:val="00C25B86"/>
    <w:rsid w:val="00CA03E7"/>
    <w:rsid w:val="00EC62E0"/>
    <w:rsid w:val="00F506EA"/>
    <w:rsid w:val="04C135E2"/>
    <w:rsid w:val="0A4045EC"/>
    <w:rsid w:val="48EF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rFonts w:ascii="Tahoma" w:hAnsi="Tahoma" w:cs="Tahoma"/>
      <w:sz w:val="16"/>
      <w:szCs w:val="16"/>
    </w:rPr>
  </w:style>
  <w:style w:type="paragraph" w:styleId="3">
    <w:name w:val="footer"/>
    <w:basedOn w:val="1"/>
    <w:link w:val="10"/>
    <w:unhideWhenUsed/>
    <w:uiPriority w:val="99"/>
    <w:pPr>
      <w:tabs>
        <w:tab w:val="center" w:pos="4680"/>
        <w:tab w:val="right" w:pos="9360"/>
      </w:tabs>
    </w:pPr>
  </w:style>
  <w:style w:type="paragraph" w:styleId="4">
    <w:name w:val="header"/>
    <w:basedOn w:val="1"/>
    <w:link w:val="9"/>
    <w:unhideWhenUsed/>
    <w:uiPriority w:val="99"/>
    <w:pPr>
      <w:tabs>
        <w:tab w:val="center" w:pos="4680"/>
        <w:tab w:val="right" w:pos="9360"/>
      </w:tabs>
    </w:p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Balloon Text Char"/>
    <w:basedOn w:val="7"/>
    <w:link w:val="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Header Char"/>
    <w:basedOn w:val="7"/>
    <w:link w:val="4"/>
    <w:qFormat/>
    <w:uiPriority w:val="99"/>
  </w:style>
  <w:style w:type="character" w:customStyle="1" w:styleId="10">
    <w:name w:val="Footer Char"/>
    <w:basedOn w:val="7"/>
    <w:link w:val="3"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Journals,%20In-house\MEC\MEC\Documents\MEC%20Supplemental%20Inform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MEC Supplemental Information.dotx</Template>
  <Company>John Wiley and Sons, Inc.</Company>
  <Pages>1</Pages>
  <Words>96</Words>
  <Characters>549</Characters>
  <Lines>4</Lines>
  <Paragraphs>1</Paragraphs>
  <TotalTime>1</TotalTime>
  <ScaleCrop>false</ScaleCrop>
  <LinksUpToDate>false</LinksUpToDate>
  <CharactersWithSpaces>644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2017-05-04T13:12:00Z</dcterms:created>
  <dc:creator>Chambers, Karen - Hoboken</dc:creator>
  <cp:lastModifiedBy>liyefang</cp:lastModifiedBy>
  <dcterms:modified xsi:type="dcterms:W3CDTF">2020-09-24T01:46:40Z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