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F4CAD" w14:textId="6319C460" w:rsidR="00D3137A" w:rsidRPr="00EF1BC0" w:rsidRDefault="009F0910" w:rsidP="006E5D63">
      <w:pPr>
        <w:jc w:val="center"/>
        <w:rPr>
          <w:b/>
          <w:bCs/>
          <w:sz w:val="36"/>
          <w:szCs w:val="36"/>
        </w:rPr>
      </w:pPr>
      <w:r w:rsidRPr="00EF1BC0">
        <w:rPr>
          <w:b/>
          <w:bCs/>
          <w:sz w:val="36"/>
          <w:szCs w:val="36"/>
        </w:rPr>
        <w:t>Supplementary Information</w:t>
      </w:r>
    </w:p>
    <w:p w14:paraId="714261B2" w14:textId="77777777" w:rsidR="00D3137A" w:rsidRPr="00BA04D2" w:rsidRDefault="00D3137A">
      <w:pPr>
        <w:spacing w:line="259" w:lineRule="auto"/>
        <w:jc w:val="left"/>
      </w:pPr>
      <w:r w:rsidRPr="00BA04D2">
        <w:br w:type="page"/>
      </w:r>
    </w:p>
    <w:sdt>
      <w:sdtPr>
        <w:rPr>
          <w:rFonts w:ascii="Times New Roman" w:eastAsiaTheme="minorHAnsi" w:hAnsi="Times New Roman" w:cstheme="minorBidi"/>
          <w:color w:val="auto"/>
          <w:sz w:val="20"/>
          <w:szCs w:val="22"/>
          <w:lang w:val="en-AU"/>
        </w:rPr>
        <w:id w:val="310919368"/>
        <w:docPartObj>
          <w:docPartGallery w:val="Table of Contents"/>
          <w:docPartUnique/>
        </w:docPartObj>
      </w:sdtPr>
      <w:sdtEndPr>
        <w:rPr>
          <w:b/>
          <w:bCs/>
          <w:noProof/>
        </w:rPr>
      </w:sdtEndPr>
      <w:sdtContent>
        <w:p w14:paraId="04CCC82A" w14:textId="4211589D" w:rsidR="00D3137A" w:rsidRPr="004635E3" w:rsidRDefault="009E6934">
          <w:pPr>
            <w:pStyle w:val="TOCHeading"/>
            <w:rPr>
              <w:color w:val="4472C4" w:themeColor="accent1"/>
              <w:sz w:val="40"/>
              <w:szCs w:val="40"/>
            </w:rPr>
          </w:pPr>
          <w:r w:rsidRPr="004635E3">
            <w:rPr>
              <w:rFonts w:ascii="Times New Roman" w:eastAsiaTheme="minorHAnsi" w:hAnsi="Times New Roman" w:cstheme="minorBidi"/>
              <w:color w:val="4472C4" w:themeColor="accent1"/>
              <w:sz w:val="24"/>
              <w:szCs w:val="28"/>
              <w:lang w:val="en-AU"/>
            </w:rPr>
            <w:t>Table of contents</w:t>
          </w:r>
        </w:p>
        <w:p w14:paraId="36C5C483" w14:textId="4AFC2F43" w:rsidR="00EF1BC0" w:rsidRDefault="00D3137A">
          <w:pPr>
            <w:pStyle w:val="TOC1"/>
            <w:tabs>
              <w:tab w:val="right" w:leader="dot" w:pos="9016"/>
            </w:tabs>
            <w:rPr>
              <w:rFonts w:asciiTheme="minorHAnsi" w:eastAsiaTheme="minorEastAsia" w:hAnsiTheme="minorHAnsi"/>
              <w:noProof/>
              <w:sz w:val="22"/>
              <w:lang w:val="en-US"/>
            </w:rPr>
          </w:pPr>
          <w:r w:rsidRPr="00BA04D2">
            <w:fldChar w:fldCharType="begin"/>
          </w:r>
          <w:r w:rsidRPr="00BA04D2">
            <w:instrText xml:space="preserve"> TOC \o "1-3" \h \z \u </w:instrText>
          </w:r>
          <w:r w:rsidRPr="00BA04D2">
            <w:fldChar w:fldCharType="separate"/>
          </w:r>
          <w:hyperlink w:anchor="_Toc217294913" w:history="1">
            <w:r w:rsidR="00EF1BC0" w:rsidRPr="00E7350F">
              <w:rPr>
                <w:rStyle w:val="Hyperlink"/>
                <w:noProof/>
              </w:rPr>
              <w:t>Methods</w:t>
            </w:r>
            <w:r w:rsidR="00EF1BC0">
              <w:rPr>
                <w:noProof/>
                <w:webHidden/>
              </w:rPr>
              <w:tab/>
            </w:r>
            <w:r w:rsidR="00EF1BC0">
              <w:rPr>
                <w:noProof/>
                <w:webHidden/>
              </w:rPr>
              <w:fldChar w:fldCharType="begin"/>
            </w:r>
            <w:r w:rsidR="00EF1BC0">
              <w:rPr>
                <w:noProof/>
                <w:webHidden/>
              </w:rPr>
              <w:instrText xml:space="preserve"> PAGEREF _Toc217294913 \h </w:instrText>
            </w:r>
            <w:r w:rsidR="00EF1BC0">
              <w:rPr>
                <w:noProof/>
                <w:webHidden/>
              </w:rPr>
            </w:r>
            <w:r w:rsidR="00EF1BC0">
              <w:rPr>
                <w:noProof/>
                <w:webHidden/>
              </w:rPr>
              <w:fldChar w:fldCharType="separate"/>
            </w:r>
            <w:r w:rsidR="004635E3">
              <w:rPr>
                <w:noProof/>
                <w:webHidden/>
              </w:rPr>
              <w:t>3</w:t>
            </w:r>
            <w:r w:rsidR="00EF1BC0">
              <w:rPr>
                <w:noProof/>
                <w:webHidden/>
              </w:rPr>
              <w:fldChar w:fldCharType="end"/>
            </w:r>
          </w:hyperlink>
        </w:p>
        <w:p w14:paraId="5C1098CD" w14:textId="20D6B1E0" w:rsidR="00EF1BC0" w:rsidRDefault="00205F55">
          <w:pPr>
            <w:pStyle w:val="TOC2"/>
            <w:tabs>
              <w:tab w:val="right" w:leader="dot" w:pos="9016"/>
            </w:tabs>
            <w:rPr>
              <w:rFonts w:asciiTheme="minorHAnsi" w:eastAsiaTheme="minorEastAsia" w:hAnsiTheme="minorHAnsi"/>
              <w:noProof/>
              <w:sz w:val="22"/>
              <w:lang w:val="en-US"/>
            </w:rPr>
          </w:pPr>
          <w:hyperlink w:anchor="_Toc217294914" w:history="1">
            <w:r w:rsidR="00EF1BC0" w:rsidRPr="00E7350F">
              <w:rPr>
                <w:rStyle w:val="Hyperlink"/>
                <w:noProof/>
              </w:rPr>
              <w:t>Lentiviral knockdown of SLC16A2 and thyroid hormone (TH) analog / peptide treatments in human oligodendrocyte (OL) lineage cells</w:t>
            </w:r>
            <w:r w:rsidR="00EF1BC0">
              <w:rPr>
                <w:noProof/>
                <w:webHidden/>
              </w:rPr>
              <w:tab/>
            </w:r>
            <w:r w:rsidR="00EF1BC0">
              <w:rPr>
                <w:noProof/>
                <w:webHidden/>
              </w:rPr>
              <w:fldChar w:fldCharType="begin"/>
            </w:r>
            <w:r w:rsidR="00EF1BC0">
              <w:rPr>
                <w:noProof/>
                <w:webHidden/>
              </w:rPr>
              <w:instrText xml:space="preserve"> PAGEREF _Toc217294914 \h </w:instrText>
            </w:r>
            <w:r w:rsidR="00EF1BC0">
              <w:rPr>
                <w:noProof/>
                <w:webHidden/>
              </w:rPr>
            </w:r>
            <w:r w:rsidR="00EF1BC0">
              <w:rPr>
                <w:noProof/>
                <w:webHidden/>
              </w:rPr>
              <w:fldChar w:fldCharType="separate"/>
            </w:r>
            <w:r w:rsidR="004635E3">
              <w:rPr>
                <w:noProof/>
                <w:webHidden/>
              </w:rPr>
              <w:t>3</w:t>
            </w:r>
            <w:r w:rsidR="00EF1BC0">
              <w:rPr>
                <w:noProof/>
                <w:webHidden/>
              </w:rPr>
              <w:fldChar w:fldCharType="end"/>
            </w:r>
          </w:hyperlink>
        </w:p>
        <w:p w14:paraId="03C2C7B1" w14:textId="21FA1345" w:rsidR="00EF1BC0" w:rsidRDefault="00205F55">
          <w:pPr>
            <w:pStyle w:val="TOC2"/>
            <w:tabs>
              <w:tab w:val="right" w:leader="dot" w:pos="9016"/>
            </w:tabs>
            <w:rPr>
              <w:rFonts w:asciiTheme="minorHAnsi" w:eastAsiaTheme="minorEastAsia" w:hAnsiTheme="minorHAnsi"/>
              <w:noProof/>
              <w:sz w:val="22"/>
              <w:lang w:val="en-US"/>
            </w:rPr>
          </w:pPr>
          <w:hyperlink w:anchor="_Toc217294915" w:history="1">
            <w:r w:rsidR="00EF1BC0" w:rsidRPr="00E7350F">
              <w:rPr>
                <w:rStyle w:val="Hyperlink"/>
                <w:noProof/>
              </w:rPr>
              <w:t>Co–culture and myelination assays with rat retinal ganglion cells and hESC–derived OPCs</w:t>
            </w:r>
            <w:r w:rsidR="00EF1BC0">
              <w:rPr>
                <w:noProof/>
                <w:webHidden/>
              </w:rPr>
              <w:tab/>
            </w:r>
            <w:r w:rsidR="00EF1BC0">
              <w:rPr>
                <w:noProof/>
                <w:webHidden/>
              </w:rPr>
              <w:fldChar w:fldCharType="begin"/>
            </w:r>
            <w:r w:rsidR="00EF1BC0">
              <w:rPr>
                <w:noProof/>
                <w:webHidden/>
              </w:rPr>
              <w:instrText xml:space="preserve"> PAGEREF _Toc217294915 \h </w:instrText>
            </w:r>
            <w:r w:rsidR="00EF1BC0">
              <w:rPr>
                <w:noProof/>
                <w:webHidden/>
              </w:rPr>
            </w:r>
            <w:r w:rsidR="00EF1BC0">
              <w:rPr>
                <w:noProof/>
                <w:webHidden/>
              </w:rPr>
              <w:fldChar w:fldCharType="separate"/>
            </w:r>
            <w:r w:rsidR="004635E3">
              <w:rPr>
                <w:noProof/>
                <w:webHidden/>
              </w:rPr>
              <w:t>4</w:t>
            </w:r>
            <w:r w:rsidR="00EF1BC0">
              <w:rPr>
                <w:noProof/>
                <w:webHidden/>
              </w:rPr>
              <w:fldChar w:fldCharType="end"/>
            </w:r>
          </w:hyperlink>
        </w:p>
        <w:p w14:paraId="62739542" w14:textId="172B7610" w:rsidR="00EF1BC0" w:rsidRDefault="00205F55">
          <w:pPr>
            <w:pStyle w:val="TOC2"/>
            <w:tabs>
              <w:tab w:val="right" w:leader="dot" w:pos="9016"/>
            </w:tabs>
            <w:rPr>
              <w:rFonts w:asciiTheme="minorHAnsi" w:eastAsiaTheme="minorEastAsia" w:hAnsiTheme="minorHAnsi"/>
              <w:noProof/>
              <w:sz w:val="22"/>
              <w:lang w:val="en-US"/>
            </w:rPr>
          </w:pPr>
          <w:hyperlink w:anchor="_Toc217294916" w:history="1">
            <w:r w:rsidR="00EF1BC0" w:rsidRPr="00E7350F">
              <w:rPr>
                <w:rStyle w:val="Hyperlink"/>
                <w:noProof/>
              </w:rPr>
              <w:t>Cell viability assessment of OLs following kinase inhibitor treatment</w:t>
            </w:r>
            <w:r w:rsidR="00EF1BC0">
              <w:rPr>
                <w:noProof/>
                <w:webHidden/>
              </w:rPr>
              <w:tab/>
            </w:r>
            <w:r w:rsidR="00EF1BC0">
              <w:rPr>
                <w:noProof/>
                <w:webHidden/>
              </w:rPr>
              <w:fldChar w:fldCharType="begin"/>
            </w:r>
            <w:r w:rsidR="00EF1BC0">
              <w:rPr>
                <w:noProof/>
                <w:webHidden/>
              </w:rPr>
              <w:instrText xml:space="preserve"> PAGEREF _Toc217294916 \h </w:instrText>
            </w:r>
            <w:r w:rsidR="00EF1BC0">
              <w:rPr>
                <w:noProof/>
                <w:webHidden/>
              </w:rPr>
            </w:r>
            <w:r w:rsidR="00EF1BC0">
              <w:rPr>
                <w:noProof/>
                <w:webHidden/>
              </w:rPr>
              <w:fldChar w:fldCharType="separate"/>
            </w:r>
            <w:r w:rsidR="004635E3">
              <w:rPr>
                <w:noProof/>
                <w:webHidden/>
              </w:rPr>
              <w:t>5</w:t>
            </w:r>
            <w:r w:rsidR="00EF1BC0">
              <w:rPr>
                <w:noProof/>
                <w:webHidden/>
              </w:rPr>
              <w:fldChar w:fldCharType="end"/>
            </w:r>
          </w:hyperlink>
        </w:p>
        <w:p w14:paraId="0731FB84" w14:textId="6F1E6F52" w:rsidR="00EF1BC0" w:rsidRDefault="00205F55">
          <w:pPr>
            <w:pStyle w:val="TOC2"/>
            <w:tabs>
              <w:tab w:val="right" w:leader="dot" w:pos="9016"/>
            </w:tabs>
            <w:rPr>
              <w:rFonts w:asciiTheme="minorHAnsi" w:eastAsiaTheme="minorEastAsia" w:hAnsiTheme="minorHAnsi"/>
              <w:noProof/>
              <w:sz w:val="22"/>
              <w:lang w:val="en-US"/>
            </w:rPr>
          </w:pPr>
          <w:hyperlink w:anchor="_Toc217294917" w:history="1">
            <w:r w:rsidR="00EF1BC0" w:rsidRPr="00E7350F">
              <w:rPr>
                <w:rStyle w:val="Hyperlink"/>
                <w:noProof/>
              </w:rPr>
              <w:t>In vitro evaluation of TH–mimetics on OL differentiation</w:t>
            </w:r>
            <w:r w:rsidR="00EF1BC0">
              <w:rPr>
                <w:noProof/>
                <w:webHidden/>
              </w:rPr>
              <w:tab/>
            </w:r>
            <w:r w:rsidR="00EF1BC0">
              <w:rPr>
                <w:noProof/>
                <w:webHidden/>
              </w:rPr>
              <w:fldChar w:fldCharType="begin"/>
            </w:r>
            <w:r w:rsidR="00EF1BC0">
              <w:rPr>
                <w:noProof/>
                <w:webHidden/>
              </w:rPr>
              <w:instrText xml:space="preserve"> PAGEREF _Toc217294917 \h </w:instrText>
            </w:r>
            <w:r w:rsidR="00EF1BC0">
              <w:rPr>
                <w:noProof/>
                <w:webHidden/>
              </w:rPr>
            </w:r>
            <w:r w:rsidR="00EF1BC0">
              <w:rPr>
                <w:noProof/>
                <w:webHidden/>
              </w:rPr>
              <w:fldChar w:fldCharType="separate"/>
            </w:r>
            <w:r w:rsidR="004635E3">
              <w:rPr>
                <w:noProof/>
                <w:webHidden/>
              </w:rPr>
              <w:t>5</w:t>
            </w:r>
            <w:r w:rsidR="00EF1BC0">
              <w:rPr>
                <w:noProof/>
                <w:webHidden/>
              </w:rPr>
              <w:fldChar w:fldCharType="end"/>
            </w:r>
          </w:hyperlink>
        </w:p>
        <w:p w14:paraId="238AB811" w14:textId="3E379D18" w:rsidR="00EF1BC0" w:rsidRDefault="00205F55">
          <w:pPr>
            <w:pStyle w:val="TOC2"/>
            <w:tabs>
              <w:tab w:val="right" w:leader="dot" w:pos="9016"/>
            </w:tabs>
            <w:rPr>
              <w:rFonts w:asciiTheme="minorHAnsi" w:eastAsiaTheme="minorEastAsia" w:hAnsiTheme="minorHAnsi"/>
              <w:noProof/>
              <w:sz w:val="22"/>
              <w:lang w:val="en-US"/>
            </w:rPr>
          </w:pPr>
          <w:hyperlink w:anchor="_Toc217294918" w:history="1">
            <w:r w:rsidR="00EF1BC0" w:rsidRPr="00E7350F">
              <w:rPr>
                <w:rStyle w:val="Hyperlink"/>
                <w:noProof/>
              </w:rPr>
              <w:t>ELISA binding assay</w:t>
            </w:r>
            <w:r w:rsidR="00EF1BC0">
              <w:rPr>
                <w:noProof/>
                <w:webHidden/>
              </w:rPr>
              <w:tab/>
            </w:r>
            <w:r w:rsidR="00EF1BC0">
              <w:rPr>
                <w:noProof/>
                <w:webHidden/>
              </w:rPr>
              <w:fldChar w:fldCharType="begin"/>
            </w:r>
            <w:r w:rsidR="00EF1BC0">
              <w:rPr>
                <w:noProof/>
                <w:webHidden/>
              </w:rPr>
              <w:instrText xml:space="preserve"> PAGEREF _Toc217294918 \h </w:instrText>
            </w:r>
            <w:r w:rsidR="00EF1BC0">
              <w:rPr>
                <w:noProof/>
                <w:webHidden/>
              </w:rPr>
            </w:r>
            <w:r w:rsidR="00EF1BC0">
              <w:rPr>
                <w:noProof/>
                <w:webHidden/>
              </w:rPr>
              <w:fldChar w:fldCharType="separate"/>
            </w:r>
            <w:r w:rsidR="004635E3">
              <w:rPr>
                <w:noProof/>
                <w:webHidden/>
              </w:rPr>
              <w:t>6</w:t>
            </w:r>
            <w:r w:rsidR="00EF1BC0">
              <w:rPr>
                <w:noProof/>
                <w:webHidden/>
              </w:rPr>
              <w:fldChar w:fldCharType="end"/>
            </w:r>
          </w:hyperlink>
        </w:p>
        <w:p w14:paraId="1BC43819" w14:textId="20B8F38D" w:rsidR="00EF1BC0" w:rsidRDefault="00205F55">
          <w:pPr>
            <w:pStyle w:val="TOC2"/>
            <w:tabs>
              <w:tab w:val="right" w:leader="dot" w:pos="9016"/>
            </w:tabs>
            <w:rPr>
              <w:rFonts w:asciiTheme="minorHAnsi" w:eastAsiaTheme="minorEastAsia" w:hAnsiTheme="minorHAnsi"/>
              <w:noProof/>
              <w:sz w:val="22"/>
              <w:lang w:val="en-US"/>
            </w:rPr>
          </w:pPr>
          <w:hyperlink w:anchor="_Toc217294919" w:history="1">
            <w:r w:rsidR="00EF1BC0" w:rsidRPr="00E7350F">
              <w:rPr>
                <w:rStyle w:val="Hyperlink"/>
                <w:noProof/>
              </w:rPr>
              <w:t>Animal breeding</w:t>
            </w:r>
            <w:r w:rsidR="00EF1BC0">
              <w:rPr>
                <w:noProof/>
                <w:webHidden/>
              </w:rPr>
              <w:tab/>
            </w:r>
            <w:r w:rsidR="00EF1BC0">
              <w:rPr>
                <w:noProof/>
                <w:webHidden/>
              </w:rPr>
              <w:fldChar w:fldCharType="begin"/>
            </w:r>
            <w:r w:rsidR="00EF1BC0">
              <w:rPr>
                <w:noProof/>
                <w:webHidden/>
              </w:rPr>
              <w:instrText xml:space="preserve"> PAGEREF _Toc217294919 \h </w:instrText>
            </w:r>
            <w:r w:rsidR="00EF1BC0">
              <w:rPr>
                <w:noProof/>
                <w:webHidden/>
              </w:rPr>
            </w:r>
            <w:r w:rsidR="00EF1BC0">
              <w:rPr>
                <w:noProof/>
                <w:webHidden/>
              </w:rPr>
              <w:fldChar w:fldCharType="separate"/>
            </w:r>
            <w:r w:rsidR="004635E3">
              <w:rPr>
                <w:noProof/>
                <w:webHidden/>
              </w:rPr>
              <w:t>7</w:t>
            </w:r>
            <w:r w:rsidR="00EF1BC0">
              <w:rPr>
                <w:noProof/>
                <w:webHidden/>
              </w:rPr>
              <w:fldChar w:fldCharType="end"/>
            </w:r>
          </w:hyperlink>
        </w:p>
        <w:p w14:paraId="51A8DB57" w14:textId="6525D9E4" w:rsidR="00EF1BC0" w:rsidRDefault="00205F55">
          <w:pPr>
            <w:pStyle w:val="TOC2"/>
            <w:tabs>
              <w:tab w:val="right" w:leader="dot" w:pos="9016"/>
            </w:tabs>
            <w:rPr>
              <w:rFonts w:asciiTheme="minorHAnsi" w:eastAsiaTheme="minorEastAsia" w:hAnsiTheme="minorHAnsi"/>
              <w:noProof/>
              <w:sz w:val="22"/>
              <w:lang w:val="en-US"/>
            </w:rPr>
          </w:pPr>
          <w:hyperlink w:anchor="_Toc217294920" w:history="1">
            <w:r w:rsidR="00EF1BC0" w:rsidRPr="00E7350F">
              <w:rPr>
                <w:rStyle w:val="Hyperlink"/>
                <w:noProof/>
              </w:rPr>
              <w:t>EAE Induction</w:t>
            </w:r>
            <w:r w:rsidR="00EF1BC0">
              <w:rPr>
                <w:noProof/>
                <w:webHidden/>
              </w:rPr>
              <w:tab/>
            </w:r>
            <w:r w:rsidR="00EF1BC0">
              <w:rPr>
                <w:noProof/>
                <w:webHidden/>
              </w:rPr>
              <w:fldChar w:fldCharType="begin"/>
            </w:r>
            <w:r w:rsidR="00EF1BC0">
              <w:rPr>
                <w:noProof/>
                <w:webHidden/>
              </w:rPr>
              <w:instrText xml:space="preserve"> PAGEREF _Toc217294920 \h </w:instrText>
            </w:r>
            <w:r w:rsidR="00EF1BC0">
              <w:rPr>
                <w:noProof/>
                <w:webHidden/>
              </w:rPr>
            </w:r>
            <w:r w:rsidR="00EF1BC0">
              <w:rPr>
                <w:noProof/>
                <w:webHidden/>
              </w:rPr>
              <w:fldChar w:fldCharType="separate"/>
            </w:r>
            <w:r w:rsidR="004635E3">
              <w:rPr>
                <w:noProof/>
                <w:webHidden/>
              </w:rPr>
              <w:t>7</w:t>
            </w:r>
            <w:r w:rsidR="00EF1BC0">
              <w:rPr>
                <w:noProof/>
                <w:webHidden/>
              </w:rPr>
              <w:fldChar w:fldCharType="end"/>
            </w:r>
          </w:hyperlink>
        </w:p>
        <w:p w14:paraId="55F384A7" w14:textId="30AC2D63" w:rsidR="00EF1BC0" w:rsidRDefault="00205F55">
          <w:pPr>
            <w:pStyle w:val="TOC2"/>
            <w:tabs>
              <w:tab w:val="right" w:leader="dot" w:pos="9016"/>
            </w:tabs>
            <w:rPr>
              <w:rFonts w:asciiTheme="minorHAnsi" w:eastAsiaTheme="minorEastAsia" w:hAnsiTheme="minorHAnsi"/>
              <w:noProof/>
              <w:sz w:val="22"/>
              <w:lang w:val="en-US"/>
            </w:rPr>
          </w:pPr>
          <w:hyperlink w:anchor="_Toc217294921" w:history="1">
            <w:r w:rsidR="00EF1BC0" w:rsidRPr="00E7350F">
              <w:rPr>
                <w:rStyle w:val="Hyperlink"/>
                <w:noProof/>
              </w:rPr>
              <w:t>DigiGait</w:t>
            </w:r>
            <w:r w:rsidR="00EF1BC0" w:rsidRPr="00E7350F">
              <w:rPr>
                <w:rStyle w:val="Hyperlink"/>
                <w:noProof/>
                <w:vertAlign w:val="superscript"/>
              </w:rPr>
              <w:t>TM</w:t>
            </w:r>
            <w:r w:rsidR="00EF1BC0" w:rsidRPr="00E7350F">
              <w:rPr>
                <w:rStyle w:val="Hyperlink"/>
                <w:noProof/>
              </w:rPr>
              <w:t xml:space="preserve"> mouse locomotor performance analysis</w:t>
            </w:r>
            <w:r w:rsidR="00EF1BC0">
              <w:rPr>
                <w:noProof/>
                <w:webHidden/>
              </w:rPr>
              <w:tab/>
            </w:r>
            <w:r w:rsidR="00EF1BC0">
              <w:rPr>
                <w:noProof/>
                <w:webHidden/>
              </w:rPr>
              <w:fldChar w:fldCharType="begin"/>
            </w:r>
            <w:r w:rsidR="00EF1BC0">
              <w:rPr>
                <w:noProof/>
                <w:webHidden/>
              </w:rPr>
              <w:instrText xml:space="preserve"> PAGEREF _Toc217294921 \h </w:instrText>
            </w:r>
            <w:r w:rsidR="00EF1BC0">
              <w:rPr>
                <w:noProof/>
                <w:webHidden/>
              </w:rPr>
            </w:r>
            <w:r w:rsidR="00EF1BC0">
              <w:rPr>
                <w:noProof/>
                <w:webHidden/>
              </w:rPr>
              <w:fldChar w:fldCharType="separate"/>
            </w:r>
            <w:r w:rsidR="004635E3">
              <w:rPr>
                <w:noProof/>
                <w:webHidden/>
              </w:rPr>
              <w:t>7</w:t>
            </w:r>
            <w:r w:rsidR="00EF1BC0">
              <w:rPr>
                <w:noProof/>
                <w:webHidden/>
              </w:rPr>
              <w:fldChar w:fldCharType="end"/>
            </w:r>
          </w:hyperlink>
        </w:p>
        <w:p w14:paraId="7A34D1A8" w14:textId="6DD4823D" w:rsidR="00EF1BC0" w:rsidRDefault="00205F55">
          <w:pPr>
            <w:pStyle w:val="TOC2"/>
            <w:tabs>
              <w:tab w:val="right" w:leader="dot" w:pos="9016"/>
            </w:tabs>
            <w:rPr>
              <w:rFonts w:asciiTheme="minorHAnsi" w:eastAsiaTheme="minorEastAsia" w:hAnsiTheme="minorHAnsi"/>
              <w:noProof/>
              <w:sz w:val="22"/>
              <w:lang w:val="en-US"/>
            </w:rPr>
          </w:pPr>
          <w:hyperlink w:anchor="_Toc217294922" w:history="1">
            <w:r w:rsidR="00EF1BC0" w:rsidRPr="00E7350F">
              <w:rPr>
                <w:rStyle w:val="Hyperlink"/>
                <w:noProof/>
              </w:rPr>
              <w:t>Stool grading assessment</w:t>
            </w:r>
            <w:r w:rsidR="00EF1BC0">
              <w:rPr>
                <w:noProof/>
                <w:webHidden/>
              </w:rPr>
              <w:tab/>
            </w:r>
            <w:r w:rsidR="00EF1BC0">
              <w:rPr>
                <w:noProof/>
                <w:webHidden/>
              </w:rPr>
              <w:fldChar w:fldCharType="begin"/>
            </w:r>
            <w:r w:rsidR="00EF1BC0">
              <w:rPr>
                <w:noProof/>
                <w:webHidden/>
              </w:rPr>
              <w:instrText xml:space="preserve"> PAGEREF _Toc217294922 \h </w:instrText>
            </w:r>
            <w:r w:rsidR="00EF1BC0">
              <w:rPr>
                <w:noProof/>
                <w:webHidden/>
              </w:rPr>
            </w:r>
            <w:r w:rsidR="00EF1BC0">
              <w:rPr>
                <w:noProof/>
                <w:webHidden/>
              </w:rPr>
              <w:fldChar w:fldCharType="separate"/>
            </w:r>
            <w:r w:rsidR="004635E3">
              <w:rPr>
                <w:noProof/>
                <w:webHidden/>
              </w:rPr>
              <w:t>8</w:t>
            </w:r>
            <w:r w:rsidR="00EF1BC0">
              <w:rPr>
                <w:noProof/>
                <w:webHidden/>
              </w:rPr>
              <w:fldChar w:fldCharType="end"/>
            </w:r>
          </w:hyperlink>
        </w:p>
        <w:p w14:paraId="575C15D0" w14:textId="22AACFB3" w:rsidR="00EF1BC0" w:rsidRDefault="00205F55">
          <w:pPr>
            <w:pStyle w:val="TOC2"/>
            <w:tabs>
              <w:tab w:val="right" w:leader="dot" w:pos="9016"/>
            </w:tabs>
            <w:rPr>
              <w:rFonts w:asciiTheme="minorHAnsi" w:eastAsiaTheme="minorEastAsia" w:hAnsiTheme="minorHAnsi"/>
              <w:noProof/>
              <w:sz w:val="22"/>
              <w:lang w:val="en-US"/>
            </w:rPr>
          </w:pPr>
          <w:hyperlink w:anchor="_Toc217294923" w:history="1">
            <w:r w:rsidR="00EF1BC0" w:rsidRPr="00E7350F">
              <w:rPr>
                <w:rStyle w:val="Hyperlink"/>
                <w:noProof/>
              </w:rPr>
              <w:t>Mouse periphery blood and serum collection</w:t>
            </w:r>
            <w:r w:rsidR="00EF1BC0">
              <w:rPr>
                <w:noProof/>
                <w:webHidden/>
              </w:rPr>
              <w:tab/>
            </w:r>
            <w:r w:rsidR="00EF1BC0">
              <w:rPr>
                <w:noProof/>
                <w:webHidden/>
              </w:rPr>
              <w:fldChar w:fldCharType="begin"/>
            </w:r>
            <w:r w:rsidR="00EF1BC0">
              <w:rPr>
                <w:noProof/>
                <w:webHidden/>
              </w:rPr>
              <w:instrText xml:space="preserve"> PAGEREF _Toc217294923 \h </w:instrText>
            </w:r>
            <w:r w:rsidR="00EF1BC0">
              <w:rPr>
                <w:noProof/>
                <w:webHidden/>
              </w:rPr>
            </w:r>
            <w:r w:rsidR="00EF1BC0">
              <w:rPr>
                <w:noProof/>
                <w:webHidden/>
              </w:rPr>
              <w:fldChar w:fldCharType="separate"/>
            </w:r>
            <w:r w:rsidR="004635E3">
              <w:rPr>
                <w:noProof/>
                <w:webHidden/>
              </w:rPr>
              <w:t>8</w:t>
            </w:r>
            <w:r w:rsidR="00EF1BC0">
              <w:rPr>
                <w:noProof/>
                <w:webHidden/>
              </w:rPr>
              <w:fldChar w:fldCharType="end"/>
            </w:r>
          </w:hyperlink>
        </w:p>
        <w:p w14:paraId="02BDA91A" w14:textId="33D551D4" w:rsidR="00EF1BC0" w:rsidRDefault="00205F55">
          <w:pPr>
            <w:pStyle w:val="TOC2"/>
            <w:tabs>
              <w:tab w:val="right" w:leader="dot" w:pos="9016"/>
            </w:tabs>
            <w:rPr>
              <w:rFonts w:asciiTheme="minorHAnsi" w:eastAsiaTheme="minorEastAsia" w:hAnsiTheme="minorHAnsi"/>
              <w:noProof/>
              <w:sz w:val="22"/>
              <w:lang w:val="en-US"/>
            </w:rPr>
          </w:pPr>
          <w:hyperlink w:anchor="_Toc217294924" w:history="1">
            <w:r w:rsidR="00EF1BC0" w:rsidRPr="00E7350F">
              <w:rPr>
                <w:rStyle w:val="Hyperlink"/>
                <w:noProof/>
              </w:rPr>
              <w:t>Metabolomics:</w:t>
            </w:r>
            <w:r w:rsidR="00EF1BC0">
              <w:rPr>
                <w:noProof/>
                <w:webHidden/>
              </w:rPr>
              <w:tab/>
            </w:r>
            <w:r w:rsidR="00EF1BC0">
              <w:rPr>
                <w:noProof/>
                <w:webHidden/>
              </w:rPr>
              <w:fldChar w:fldCharType="begin"/>
            </w:r>
            <w:r w:rsidR="00EF1BC0">
              <w:rPr>
                <w:noProof/>
                <w:webHidden/>
              </w:rPr>
              <w:instrText xml:space="preserve"> PAGEREF _Toc217294924 \h </w:instrText>
            </w:r>
            <w:r w:rsidR="00EF1BC0">
              <w:rPr>
                <w:noProof/>
                <w:webHidden/>
              </w:rPr>
            </w:r>
            <w:r w:rsidR="00EF1BC0">
              <w:rPr>
                <w:noProof/>
                <w:webHidden/>
              </w:rPr>
              <w:fldChar w:fldCharType="separate"/>
            </w:r>
            <w:r w:rsidR="004635E3">
              <w:rPr>
                <w:noProof/>
                <w:webHidden/>
              </w:rPr>
              <w:t>10</w:t>
            </w:r>
            <w:r w:rsidR="00EF1BC0">
              <w:rPr>
                <w:noProof/>
                <w:webHidden/>
              </w:rPr>
              <w:fldChar w:fldCharType="end"/>
            </w:r>
          </w:hyperlink>
        </w:p>
        <w:p w14:paraId="410D0A6F" w14:textId="37B47E0E" w:rsidR="00EF1BC0" w:rsidRDefault="00205F55">
          <w:pPr>
            <w:pStyle w:val="TOC2"/>
            <w:tabs>
              <w:tab w:val="right" w:leader="dot" w:pos="9016"/>
            </w:tabs>
            <w:rPr>
              <w:rFonts w:asciiTheme="minorHAnsi" w:eastAsiaTheme="minorEastAsia" w:hAnsiTheme="minorHAnsi"/>
              <w:noProof/>
              <w:sz w:val="22"/>
              <w:lang w:val="en-US"/>
            </w:rPr>
          </w:pPr>
          <w:hyperlink w:anchor="_Toc217294925" w:history="1">
            <w:r w:rsidR="00EF1BC0" w:rsidRPr="00E7350F">
              <w:rPr>
                <w:rStyle w:val="Hyperlink"/>
                <w:noProof/>
              </w:rPr>
              <w:t>Proteomics</w:t>
            </w:r>
            <w:r w:rsidR="00EF1BC0">
              <w:rPr>
                <w:noProof/>
                <w:webHidden/>
              </w:rPr>
              <w:tab/>
            </w:r>
            <w:r w:rsidR="00EF1BC0">
              <w:rPr>
                <w:noProof/>
                <w:webHidden/>
              </w:rPr>
              <w:fldChar w:fldCharType="begin"/>
            </w:r>
            <w:r w:rsidR="00EF1BC0">
              <w:rPr>
                <w:noProof/>
                <w:webHidden/>
              </w:rPr>
              <w:instrText xml:space="preserve"> PAGEREF _Toc217294925 \h </w:instrText>
            </w:r>
            <w:r w:rsidR="00EF1BC0">
              <w:rPr>
                <w:noProof/>
                <w:webHidden/>
              </w:rPr>
            </w:r>
            <w:r w:rsidR="00EF1BC0">
              <w:rPr>
                <w:noProof/>
                <w:webHidden/>
              </w:rPr>
              <w:fldChar w:fldCharType="separate"/>
            </w:r>
            <w:r w:rsidR="004635E3">
              <w:rPr>
                <w:noProof/>
                <w:webHidden/>
              </w:rPr>
              <w:t>11</w:t>
            </w:r>
            <w:r w:rsidR="00EF1BC0">
              <w:rPr>
                <w:noProof/>
                <w:webHidden/>
              </w:rPr>
              <w:fldChar w:fldCharType="end"/>
            </w:r>
          </w:hyperlink>
        </w:p>
        <w:p w14:paraId="2C5622D0" w14:textId="1C7D2313" w:rsidR="00EF1BC0" w:rsidRDefault="00205F55">
          <w:pPr>
            <w:pStyle w:val="TOC2"/>
            <w:tabs>
              <w:tab w:val="right" w:leader="dot" w:pos="9016"/>
            </w:tabs>
            <w:rPr>
              <w:rFonts w:asciiTheme="minorHAnsi" w:eastAsiaTheme="minorEastAsia" w:hAnsiTheme="minorHAnsi"/>
              <w:noProof/>
              <w:sz w:val="22"/>
              <w:lang w:val="en-US"/>
            </w:rPr>
          </w:pPr>
          <w:hyperlink w:anchor="_Toc217294926" w:history="1">
            <w:r w:rsidR="00EF1BC0" w:rsidRPr="00E7350F">
              <w:rPr>
                <w:rStyle w:val="Hyperlink"/>
                <w:noProof/>
              </w:rPr>
              <w:t>Ex vivo MRI acquisition and diffusion tensor imaging analysis</w:t>
            </w:r>
            <w:r w:rsidR="00EF1BC0">
              <w:rPr>
                <w:noProof/>
                <w:webHidden/>
              </w:rPr>
              <w:tab/>
            </w:r>
            <w:r w:rsidR="00EF1BC0">
              <w:rPr>
                <w:noProof/>
                <w:webHidden/>
              </w:rPr>
              <w:fldChar w:fldCharType="begin"/>
            </w:r>
            <w:r w:rsidR="00EF1BC0">
              <w:rPr>
                <w:noProof/>
                <w:webHidden/>
              </w:rPr>
              <w:instrText xml:space="preserve"> PAGEREF _Toc217294926 \h </w:instrText>
            </w:r>
            <w:r w:rsidR="00EF1BC0">
              <w:rPr>
                <w:noProof/>
                <w:webHidden/>
              </w:rPr>
            </w:r>
            <w:r w:rsidR="00EF1BC0">
              <w:rPr>
                <w:noProof/>
                <w:webHidden/>
              </w:rPr>
              <w:fldChar w:fldCharType="separate"/>
            </w:r>
            <w:r w:rsidR="004635E3">
              <w:rPr>
                <w:noProof/>
                <w:webHidden/>
              </w:rPr>
              <w:t>13</w:t>
            </w:r>
            <w:r w:rsidR="00EF1BC0">
              <w:rPr>
                <w:noProof/>
                <w:webHidden/>
              </w:rPr>
              <w:fldChar w:fldCharType="end"/>
            </w:r>
          </w:hyperlink>
        </w:p>
        <w:p w14:paraId="7F8251E9" w14:textId="189E639F" w:rsidR="00EF1BC0" w:rsidRDefault="00205F55">
          <w:pPr>
            <w:pStyle w:val="TOC2"/>
            <w:tabs>
              <w:tab w:val="right" w:leader="dot" w:pos="9016"/>
            </w:tabs>
            <w:rPr>
              <w:rFonts w:asciiTheme="minorHAnsi" w:eastAsiaTheme="minorEastAsia" w:hAnsiTheme="minorHAnsi"/>
              <w:noProof/>
              <w:sz w:val="22"/>
              <w:lang w:val="en-US"/>
            </w:rPr>
          </w:pPr>
          <w:hyperlink w:anchor="_Toc217294927" w:history="1">
            <w:r w:rsidR="00EF1BC0" w:rsidRPr="00E7350F">
              <w:rPr>
                <w:rStyle w:val="Hyperlink"/>
                <w:noProof/>
              </w:rPr>
              <w:t>Image acquisition and analysis for OL fate mapping</w:t>
            </w:r>
            <w:r w:rsidR="00EF1BC0">
              <w:rPr>
                <w:noProof/>
                <w:webHidden/>
              </w:rPr>
              <w:tab/>
            </w:r>
            <w:r w:rsidR="00EF1BC0">
              <w:rPr>
                <w:noProof/>
                <w:webHidden/>
              </w:rPr>
              <w:fldChar w:fldCharType="begin"/>
            </w:r>
            <w:r w:rsidR="00EF1BC0">
              <w:rPr>
                <w:noProof/>
                <w:webHidden/>
              </w:rPr>
              <w:instrText xml:space="preserve"> PAGEREF _Toc217294927 \h </w:instrText>
            </w:r>
            <w:r w:rsidR="00EF1BC0">
              <w:rPr>
                <w:noProof/>
                <w:webHidden/>
              </w:rPr>
            </w:r>
            <w:r w:rsidR="00EF1BC0">
              <w:rPr>
                <w:noProof/>
                <w:webHidden/>
              </w:rPr>
              <w:fldChar w:fldCharType="separate"/>
            </w:r>
            <w:r w:rsidR="004635E3">
              <w:rPr>
                <w:noProof/>
                <w:webHidden/>
              </w:rPr>
              <w:t>14</w:t>
            </w:r>
            <w:r w:rsidR="00EF1BC0">
              <w:rPr>
                <w:noProof/>
                <w:webHidden/>
              </w:rPr>
              <w:fldChar w:fldCharType="end"/>
            </w:r>
          </w:hyperlink>
        </w:p>
        <w:p w14:paraId="458D5B5E" w14:textId="64C16B9D" w:rsidR="00EF1BC0" w:rsidRDefault="00205F55">
          <w:pPr>
            <w:pStyle w:val="TOC2"/>
            <w:tabs>
              <w:tab w:val="right" w:leader="dot" w:pos="9016"/>
            </w:tabs>
            <w:rPr>
              <w:rFonts w:asciiTheme="minorHAnsi" w:eastAsiaTheme="minorEastAsia" w:hAnsiTheme="minorHAnsi"/>
              <w:noProof/>
              <w:sz w:val="22"/>
              <w:lang w:val="en-US"/>
            </w:rPr>
          </w:pPr>
          <w:hyperlink w:anchor="_Toc217294928" w:history="1">
            <w:r w:rsidR="00EF1BC0" w:rsidRPr="00E7350F">
              <w:rPr>
                <w:rStyle w:val="Hyperlink"/>
                <w:noProof/>
              </w:rPr>
              <w:t>Single molecule array (SIMOA) and detection of NfL</w:t>
            </w:r>
            <w:r w:rsidR="00EF1BC0">
              <w:rPr>
                <w:noProof/>
                <w:webHidden/>
              </w:rPr>
              <w:tab/>
            </w:r>
            <w:r w:rsidR="00EF1BC0">
              <w:rPr>
                <w:noProof/>
                <w:webHidden/>
              </w:rPr>
              <w:fldChar w:fldCharType="begin"/>
            </w:r>
            <w:r w:rsidR="00EF1BC0">
              <w:rPr>
                <w:noProof/>
                <w:webHidden/>
              </w:rPr>
              <w:instrText xml:space="preserve"> PAGEREF _Toc217294928 \h </w:instrText>
            </w:r>
            <w:r w:rsidR="00EF1BC0">
              <w:rPr>
                <w:noProof/>
                <w:webHidden/>
              </w:rPr>
            </w:r>
            <w:r w:rsidR="00EF1BC0">
              <w:rPr>
                <w:noProof/>
                <w:webHidden/>
              </w:rPr>
              <w:fldChar w:fldCharType="separate"/>
            </w:r>
            <w:r w:rsidR="004635E3">
              <w:rPr>
                <w:noProof/>
                <w:webHidden/>
              </w:rPr>
              <w:t>15</w:t>
            </w:r>
            <w:r w:rsidR="00EF1BC0">
              <w:rPr>
                <w:noProof/>
                <w:webHidden/>
              </w:rPr>
              <w:fldChar w:fldCharType="end"/>
            </w:r>
          </w:hyperlink>
        </w:p>
        <w:p w14:paraId="5AF70B93" w14:textId="00098E00" w:rsidR="00EF1BC0" w:rsidRDefault="00205F55">
          <w:pPr>
            <w:pStyle w:val="TOC2"/>
            <w:tabs>
              <w:tab w:val="right" w:leader="dot" w:pos="9016"/>
            </w:tabs>
            <w:rPr>
              <w:rFonts w:asciiTheme="minorHAnsi" w:eastAsiaTheme="minorEastAsia" w:hAnsiTheme="minorHAnsi"/>
              <w:noProof/>
              <w:sz w:val="22"/>
              <w:lang w:val="en-US"/>
            </w:rPr>
          </w:pPr>
          <w:hyperlink w:anchor="_Toc217294929" w:history="1">
            <w:r w:rsidR="00EF1BC0" w:rsidRPr="00E7350F">
              <w:rPr>
                <w:rStyle w:val="Hyperlink"/>
                <w:noProof/>
              </w:rPr>
              <w:t xml:space="preserve">Transmission electron microscopy (TEM) for </w:t>
            </w:r>
            <w:r w:rsidR="00EF1BC0" w:rsidRPr="00E7350F">
              <w:rPr>
                <w:rStyle w:val="Hyperlink"/>
                <w:bCs/>
                <w:iCs/>
                <w:noProof/>
              </w:rPr>
              <w:t>Optic nerve</w:t>
            </w:r>
            <w:r w:rsidR="00EF1BC0">
              <w:rPr>
                <w:noProof/>
                <w:webHidden/>
              </w:rPr>
              <w:tab/>
            </w:r>
            <w:r w:rsidR="00EF1BC0">
              <w:rPr>
                <w:noProof/>
                <w:webHidden/>
              </w:rPr>
              <w:fldChar w:fldCharType="begin"/>
            </w:r>
            <w:r w:rsidR="00EF1BC0">
              <w:rPr>
                <w:noProof/>
                <w:webHidden/>
              </w:rPr>
              <w:instrText xml:space="preserve"> PAGEREF _Toc217294929 \h </w:instrText>
            </w:r>
            <w:r w:rsidR="00EF1BC0">
              <w:rPr>
                <w:noProof/>
                <w:webHidden/>
              </w:rPr>
            </w:r>
            <w:r w:rsidR="00EF1BC0">
              <w:rPr>
                <w:noProof/>
                <w:webHidden/>
              </w:rPr>
              <w:fldChar w:fldCharType="separate"/>
            </w:r>
            <w:r w:rsidR="004635E3">
              <w:rPr>
                <w:noProof/>
                <w:webHidden/>
              </w:rPr>
              <w:t>15</w:t>
            </w:r>
            <w:r w:rsidR="00EF1BC0">
              <w:rPr>
                <w:noProof/>
                <w:webHidden/>
              </w:rPr>
              <w:fldChar w:fldCharType="end"/>
            </w:r>
          </w:hyperlink>
        </w:p>
        <w:p w14:paraId="5283EBDB" w14:textId="6B891AF6" w:rsidR="00EF1BC0" w:rsidRDefault="00205F55">
          <w:pPr>
            <w:pStyle w:val="TOC1"/>
            <w:tabs>
              <w:tab w:val="right" w:leader="dot" w:pos="9016"/>
            </w:tabs>
            <w:rPr>
              <w:rFonts w:asciiTheme="minorHAnsi" w:eastAsiaTheme="minorEastAsia" w:hAnsiTheme="minorHAnsi"/>
              <w:noProof/>
              <w:sz w:val="22"/>
              <w:lang w:val="en-US"/>
            </w:rPr>
          </w:pPr>
          <w:hyperlink w:anchor="_Toc217294930" w:history="1">
            <w:r w:rsidR="00EF1BC0" w:rsidRPr="00E7350F">
              <w:rPr>
                <w:rStyle w:val="Hyperlink"/>
                <w:noProof/>
              </w:rPr>
              <w:t>Results</w:t>
            </w:r>
            <w:r w:rsidR="00EF1BC0">
              <w:rPr>
                <w:noProof/>
                <w:webHidden/>
              </w:rPr>
              <w:tab/>
            </w:r>
            <w:r w:rsidR="00EF1BC0">
              <w:rPr>
                <w:noProof/>
                <w:webHidden/>
              </w:rPr>
              <w:fldChar w:fldCharType="begin"/>
            </w:r>
            <w:r w:rsidR="00EF1BC0">
              <w:rPr>
                <w:noProof/>
                <w:webHidden/>
              </w:rPr>
              <w:instrText xml:space="preserve"> PAGEREF _Toc217294930 \h </w:instrText>
            </w:r>
            <w:r w:rsidR="00EF1BC0">
              <w:rPr>
                <w:noProof/>
                <w:webHidden/>
              </w:rPr>
            </w:r>
            <w:r w:rsidR="00EF1BC0">
              <w:rPr>
                <w:noProof/>
                <w:webHidden/>
              </w:rPr>
              <w:fldChar w:fldCharType="separate"/>
            </w:r>
            <w:r w:rsidR="004635E3">
              <w:rPr>
                <w:noProof/>
                <w:webHidden/>
              </w:rPr>
              <w:t>16</w:t>
            </w:r>
            <w:r w:rsidR="00EF1BC0">
              <w:rPr>
                <w:noProof/>
                <w:webHidden/>
              </w:rPr>
              <w:fldChar w:fldCharType="end"/>
            </w:r>
          </w:hyperlink>
        </w:p>
        <w:p w14:paraId="29FC0827" w14:textId="0FD2599B" w:rsidR="00EF1BC0" w:rsidRDefault="00205F55">
          <w:pPr>
            <w:pStyle w:val="TOC2"/>
            <w:tabs>
              <w:tab w:val="right" w:leader="dot" w:pos="9016"/>
            </w:tabs>
            <w:rPr>
              <w:rFonts w:asciiTheme="minorHAnsi" w:eastAsiaTheme="minorEastAsia" w:hAnsiTheme="minorHAnsi"/>
              <w:noProof/>
              <w:sz w:val="22"/>
              <w:lang w:val="en-US"/>
            </w:rPr>
          </w:pPr>
          <w:hyperlink w:anchor="_Toc217294931" w:history="1">
            <w:r w:rsidR="00EF1BC0" w:rsidRPr="00E7350F">
              <w:rPr>
                <w:rStyle w:val="Hyperlink"/>
                <w:noProof/>
              </w:rPr>
              <w:t>Recovery of dysfunctional TH signaling in hESC–derived oligodendroglial lineage cells following DITPA administration and demonstration of integrin αVβ3 receptor activation</w:t>
            </w:r>
            <w:r w:rsidR="00EF1BC0">
              <w:rPr>
                <w:noProof/>
                <w:webHidden/>
              </w:rPr>
              <w:tab/>
            </w:r>
            <w:r w:rsidR="00EF1BC0">
              <w:rPr>
                <w:noProof/>
                <w:webHidden/>
              </w:rPr>
              <w:fldChar w:fldCharType="begin"/>
            </w:r>
            <w:r w:rsidR="00EF1BC0">
              <w:rPr>
                <w:noProof/>
                <w:webHidden/>
              </w:rPr>
              <w:instrText xml:space="preserve"> PAGEREF _Toc217294931 \h </w:instrText>
            </w:r>
            <w:r w:rsidR="00EF1BC0">
              <w:rPr>
                <w:noProof/>
                <w:webHidden/>
              </w:rPr>
            </w:r>
            <w:r w:rsidR="00EF1BC0">
              <w:rPr>
                <w:noProof/>
                <w:webHidden/>
              </w:rPr>
              <w:fldChar w:fldCharType="separate"/>
            </w:r>
            <w:r w:rsidR="004635E3">
              <w:rPr>
                <w:noProof/>
                <w:webHidden/>
              </w:rPr>
              <w:t>16</w:t>
            </w:r>
            <w:r w:rsidR="00EF1BC0">
              <w:rPr>
                <w:noProof/>
                <w:webHidden/>
              </w:rPr>
              <w:fldChar w:fldCharType="end"/>
            </w:r>
          </w:hyperlink>
        </w:p>
        <w:p w14:paraId="44D1809B" w14:textId="17171740" w:rsidR="00EF1BC0" w:rsidRDefault="00205F55">
          <w:pPr>
            <w:pStyle w:val="TOC2"/>
            <w:tabs>
              <w:tab w:val="right" w:leader="dot" w:pos="9016"/>
            </w:tabs>
            <w:rPr>
              <w:rFonts w:asciiTheme="minorHAnsi" w:eastAsiaTheme="minorEastAsia" w:hAnsiTheme="minorHAnsi"/>
              <w:noProof/>
              <w:sz w:val="22"/>
              <w:lang w:val="en-US"/>
            </w:rPr>
          </w:pPr>
          <w:hyperlink w:anchor="_Toc217294932" w:history="1">
            <w:r w:rsidR="00EF1BC0" w:rsidRPr="00E7350F">
              <w:rPr>
                <w:rStyle w:val="Hyperlink"/>
                <w:noProof/>
              </w:rPr>
              <w:t>Metabolomic profiling reveals distinct modulation of spinal cord metabolism in corn oil–treated EAE–induced mice compared with naïve controls</w:t>
            </w:r>
            <w:r w:rsidR="00EF1BC0">
              <w:rPr>
                <w:noProof/>
                <w:webHidden/>
              </w:rPr>
              <w:tab/>
            </w:r>
            <w:r w:rsidR="00EF1BC0">
              <w:rPr>
                <w:noProof/>
                <w:webHidden/>
              </w:rPr>
              <w:fldChar w:fldCharType="begin"/>
            </w:r>
            <w:r w:rsidR="00EF1BC0">
              <w:rPr>
                <w:noProof/>
                <w:webHidden/>
              </w:rPr>
              <w:instrText xml:space="preserve"> PAGEREF _Toc217294932 \h </w:instrText>
            </w:r>
            <w:r w:rsidR="00EF1BC0">
              <w:rPr>
                <w:noProof/>
                <w:webHidden/>
              </w:rPr>
            </w:r>
            <w:r w:rsidR="00EF1BC0">
              <w:rPr>
                <w:noProof/>
                <w:webHidden/>
              </w:rPr>
              <w:fldChar w:fldCharType="separate"/>
            </w:r>
            <w:r w:rsidR="004635E3">
              <w:rPr>
                <w:noProof/>
                <w:webHidden/>
              </w:rPr>
              <w:t>20</w:t>
            </w:r>
            <w:r w:rsidR="00EF1BC0">
              <w:rPr>
                <w:noProof/>
                <w:webHidden/>
              </w:rPr>
              <w:fldChar w:fldCharType="end"/>
            </w:r>
          </w:hyperlink>
        </w:p>
        <w:p w14:paraId="343F9C3E" w14:textId="272EFCC4" w:rsidR="00EF1BC0" w:rsidRDefault="00205F55">
          <w:pPr>
            <w:pStyle w:val="TOC2"/>
            <w:tabs>
              <w:tab w:val="right" w:leader="dot" w:pos="9016"/>
            </w:tabs>
            <w:rPr>
              <w:rFonts w:asciiTheme="minorHAnsi" w:eastAsiaTheme="minorEastAsia" w:hAnsiTheme="minorHAnsi"/>
              <w:noProof/>
              <w:sz w:val="22"/>
              <w:lang w:val="en-US"/>
            </w:rPr>
          </w:pPr>
          <w:hyperlink w:anchor="_Toc217294933" w:history="1">
            <w:r w:rsidR="00EF1BC0" w:rsidRPr="00E7350F">
              <w:rPr>
                <w:rStyle w:val="Hyperlink"/>
                <w:noProof/>
              </w:rPr>
              <w:t>Metabolomic profiling reveals distinct modulation of spinal cord metabolism in LT3, or TRIAC treated EAE–induced mice compared with corn oil, or DITPA treated EAE–induced mice</w:t>
            </w:r>
            <w:r w:rsidR="00EF1BC0">
              <w:rPr>
                <w:noProof/>
                <w:webHidden/>
              </w:rPr>
              <w:tab/>
            </w:r>
            <w:r w:rsidR="00EF1BC0">
              <w:rPr>
                <w:noProof/>
                <w:webHidden/>
              </w:rPr>
              <w:fldChar w:fldCharType="begin"/>
            </w:r>
            <w:r w:rsidR="00EF1BC0">
              <w:rPr>
                <w:noProof/>
                <w:webHidden/>
              </w:rPr>
              <w:instrText xml:space="preserve"> PAGEREF _Toc217294933 \h </w:instrText>
            </w:r>
            <w:r w:rsidR="00EF1BC0">
              <w:rPr>
                <w:noProof/>
                <w:webHidden/>
              </w:rPr>
            </w:r>
            <w:r w:rsidR="00EF1BC0">
              <w:rPr>
                <w:noProof/>
                <w:webHidden/>
              </w:rPr>
              <w:fldChar w:fldCharType="separate"/>
            </w:r>
            <w:r w:rsidR="004635E3">
              <w:rPr>
                <w:noProof/>
                <w:webHidden/>
              </w:rPr>
              <w:t>22</w:t>
            </w:r>
            <w:r w:rsidR="00EF1BC0">
              <w:rPr>
                <w:noProof/>
                <w:webHidden/>
              </w:rPr>
              <w:fldChar w:fldCharType="end"/>
            </w:r>
          </w:hyperlink>
        </w:p>
        <w:p w14:paraId="0759B983" w14:textId="3A005E1B" w:rsidR="00EF1BC0" w:rsidRDefault="00205F55">
          <w:pPr>
            <w:pStyle w:val="TOC1"/>
            <w:tabs>
              <w:tab w:val="right" w:leader="dot" w:pos="9016"/>
            </w:tabs>
            <w:rPr>
              <w:rFonts w:asciiTheme="minorHAnsi" w:eastAsiaTheme="minorEastAsia" w:hAnsiTheme="minorHAnsi"/>
              <w:noProof/>
              <w:sz w:val="22"/>
              <w:lang w:val="en-US"/>
            </w:rPr>
          </w:pPr>
          <w:hyperlink w:anchor="_Toc217294934" w:history="1">
            <w:r w:rsidR="00EF1BC0" w:rsidRPr="00E7350F">
              <w:rPr>
                <w:rStyle w:val="Hyperlink"/>
                <w:noProof/>
              </w:rPr>
              <w:t>Supplementary Figures</w:t>
            </w:r>
            <w:r w:rsidR="00EF1BC0">
              <w:rPr>
                <w:noProof/>
                <w:webHidden/>
              </w:rPr>
              <w:tab/>
            </w:r>
            <w:r w:rsidR="00EF1BC0">
              <w:rPr>
                <w:noProof/>
                <w:webHidden/>
              </w:rPr>
              <w:fldChar w:fldCharType="begin"/>
            </w:r>
            <w:r w:rsidR="00EF1BC0">
              <w:rPr>
                <w:noProof/>
                <w:webHidden/>
              </w:rPr>
              <w:instrText xml:space="preserve"> PAGEREF _Toc217294934 \h </w:instrText>
            </w:r>
            <w:r w:rsidR="00EF1BC0">
              <w:rPr>
                <w:noProof/>
                <w:webHidden/>
              </w:rPr>
            </w:r>
            <w:r w:rsidR="00EF1BC0">
              <w:rPr>
                <w:noProof/>
                <w:webHidden/>
              </w:rPr>
              <w:fldChar w:fldCharType="separate"/>
            </w:r>
            <w:r w:rsidR="004635E3">
              <w:rPr>
                <w:noProof/>
                <w:webHidden/>
              </w:rPr>
              <w:t>26</w:t>
            </w:r>
            <w:r w:rsidR="00EF1BC0">
              <w:rPr>
                <w:noProof/>
                <w:webHidden/>
              </w:rPr>
              <w:fldChar w:fldCharType="end"/>
            </w:r>
          </w:hyperlink>
        </w:p>
        <w:p w14:paraId="182E98E7" w14:textId="2D253237" w:rsidR="00EF1BC0" w:rsidRDefault="00205F55">
          <w:pPr>
            <w:pStyle w:val="TOC1"/>
            <w:tabs>
              <w:tab w:val="right" w:leader="dot" w:pos="9016"/>
            </w:tabs>
            <w:rPr>
              <w:rFonts w:asciiTheme="minorHAnsi" w:eastAsiaTheme="minorEastAsia" w:hAnsiTheme="minorHAnsi"/>
              <w:noProof/>
              <w:sz w:val="22"/>
              <w:lang w:val="en-US"/>
            </w:rPr>
          </w:pPr>
          <w:hyperlink w:anchor="_Toc217294935" w:history="1">
            <w:r w:rsidR="00EF1BC0" w:rsidRPr="00E7350F">
              <w:rPr>
                <w:rStyle w:val="Hyperlink"/>
                <w:noProof/>
              </w:rPr>
              <w:t>Supplementary</w:t>
            </w:r>
            <w:r w:rsidR="00026E6F">
              <w:rPr>
                <w:rStyle w:val="Hyperlink"/>
                <w:noProof/>
              </w:rPr>
              <w:t xml:space="preserve"> F</w:t>
            </w:r>
            <w:r w:rsidR="00EF1BC0" w:rsidRPr="00E7350F">
              <w:rPr>
                <w:rStyle w:val="Hyperlink"/>
                <w:noProof/>
              </w:rPr>
              <w:t xml:space="preserve">igure </w:t>
            </w:r>
            <w:r w:rsidR="00026E6F">
              <w:rPr>
                <w:rStyle w:val="Hyperlink"/>
                <w:noProof/>
              </w:rPr>
              <w:t>L</w:t>
            </w:r>
            <w:r w:rsidR="00EF1BC0" w:rsidRPr="00E7350F">
              <w:rPr>
                <w:rStyle w:val="Hyperlink"/>
                <w:noProof/>
              </w:rPr>
              <w:t>egends</w:t>
            </w:r>
            <w:r w:rsidR="00EF1BC0">
              <w:rPr>
                <w:noProof/>
                <w:webHidden/>
              </w:rPr>
              <w:tab/>
            </w:r>
            <w:r w:rsidR="00EF1BC0">
              <w:rPr>
                <w:noProof/>
                <w:webHidden/>
              </w:rPr>
              <w:fldChar w:fldCharType="begin"/>
            </w:r>
            <w:r w:rsidR="00EF1BC0">
              <w:rPr>
                <w:noProof/>
                <w:webHidden/>
              </w:rPr>
              <w:instrText xml:space="preserve"> PAGEREF _Toc217294935 \h </w:instrText>
            </w:r>
            <w:r w:rsidR="00EF1BC0">
              <w:rPr>
                <w:noProof/>
                <w:webHidden/>
              </w:rPr>
            </w:r>
            <w:r w:rsidR="00EF1BC0">
              <w:rPr>
                <w:noProof/>
                <w:webHidden/>
              </w:rPr>
              <w:fldChar w:fldCharType="separate"/>
            </w:r>
            <w:r w:rsidR="004635E3">
              <w:rPr>
                <w:noProof/>
                <w:webHidden/>
              </w:rPr>
              <w:t>42</w:t>
            </w:r>
            <w:r w:rsidR="00EF1BC0">
              <w:rPr>
                <w:noProof/>
                <w:webHidden/>
              </w:rPr>
              <w:fldChar w:fldCharType="end"/>
            </w:r>
          </w:hyperlink>
        </w:p>
        <w:p w14:paraId="4EACA63E" w14:textId="110519B6" w:rsidR="00EF1BC0" w:rsidRDefault="00205F55">
          <w:pPr>
            <w:pStyle w:val="TOC1"/>
            <w:tabs>
              <w:tab w:val="right" w:leader="dot" w:pos="9016"/>
            </w:tabs>
            <w:rPr>
              <w:rFonts w:asciiTheme="minorHAnsi" w:eastAsiaTheme="minorEastAsia" w:hAnsiTheme="minorHAnsi"/>
              <w:noProof/>
              <w:sz w:val="22"/>
              <w:lang w:val="en-US"/>
            </w:rPr>
          </w:pPr>
          <w:hyperlink w:anchor="_Toc217294936" w:history="1">
            <w:r w:rsidR="00EF1BC0" w:rsidRPr="00E7350F">
              <w:rPr>
                <w:rStyle w:val="Hyperlink"/>
                <w:noProof/>
              </w:rPr>
              <w:t>Supplementary Tables.</w:t>
            </w:r>
            <w:r w:rsidR="00EF1BC0">
              <w:rPr>
                <w:noProof/>
                <w:webHidden/>
              </w:rPr>
              <w:tab/>
            </w:r>
            <w:r w:rsidR="00EF1BC0">
              <w:rPr>
                <w:noProof/>
                <w:webHidden/>
              </w:rPr>
              <w:fldChar w:fldCharType="begin"/>
            </w:r>
            <w:r w:rsidR="00EF1BC0">
              <w:rPr>
                <w:noProof/>
                <w:webHidden/>
              </w:rPr>
              <w:instrText xml:space="preserve"> PAGEREF _Toc217294936 \h </w:instrText>
            </w:r>
            <w:r w:rsidR="00EF1BC0">
              <w:rPr>
                <w:noProof/>
                <w:webHidden/>
              </w:rPr>
            </w:r>
            <w:r w:rsidR="00EF1BC0">
              <w:rPr>
                <w:noProof/>
                <w:webHidden/>
              </w:rPr>
              <w:fldChar w:fldCharType="separate"/>
            </w:r>
            <w:r w:rsidR="004635E3">
              <w:rPr>
                <w:noProof/>
                <w:webHidden/>
              </w:rPr>
              <w:t>48</w:t>
            </w:r>
            <w:r w:rsidR="00EF1BC0">
              <w:rPr>
                <w:noProof/>
                <w:webHidden/>
              </w:rPr>
              <w:fldChar w:fldCharType="end"/>
            </w:r>
          </w:hyperlink>
        </w:p>
        <w:p w14:paraId="10DEB612" w14:textId="68960DF1" w:rsidR="00EF1BC0" w:rsidRDefault="00205F55">
          <w:pPr>
            <w:pStyle w:val="TOC1"/>
            <w:tabs>
              <w:tab w:val="right" w:leader="dot" w:pos="9016"/>
            </w:tabs>
            <w:rPr>
              <w:rFonts w:asciiTheme="minorHAnsi" w:eastAsiaTheme="minorEastAsia" w:hAnsiTheme="minorHAnsi"/>
              <w:noProof/>
              <w:sz w:val="22"/>
              <w:lang w:val="en-US"/>
            </w:rPr>
          </w:pPr>
          <w:hyperlink w:anchor="_Toc217294951" w:history="1">
            <w:r w:rsidR="00EF1BC0" w:rsidRPr="00E7350F">
              <w:rPr>
                <w:rStyle w:val="Hyperlink"/>
                <w:noProof/>
              </w:rPr>
              <w:t>References</w:t>
            </w:r>
            <w:r w:rsidR="00EF1BC0">
              <w:rPr>
                <w:noProof/>
                <w:webHidden/>
              </w:rPr>
              <w:tab/>
            </w:r>
            <w:r w:rsidR="00EF1BC0">
              <w:rPr>
                <w:noProof/>
                <w:webHidden/>
              </w:rPr>
              <w:fldChar w:fldCharType="begin"/>
            </w:r>
            <w:r w:rsidR="00EF1BC0">
              <w:rPr>
                <w:noProof/>
                <w:webHidden/>
              </w:rPr>
              <w:instrText xml:space="preserve"> PAGEREF _Toc217294951 \h </w:instrText>
            </w:r>
            <w:r w:rsidR="00EF1BC0">
              <w:rPr>
                <w:noProof/>
                <w:webHidden/>
              </w:rPr>
            </w:r>
            <w:r w:rsidR="00EF1BC0">
              <w:rPr>
                <w:noProof/>
                <w:webHidden/>
              </w:rPr>
              <w:fldChar w:fldCharType="separate"/>
            </w:r>
            <w:r w:rsidR="004635E3">
              <w:rPr>
                <w:noProof/>
                <w:webHidden/>
              </w:rPr>
              <w:t>65</w:t>
            </w:r>
            <w:r w:rsidR="00EF1BC0">
              <w:rPr>
                <w:noProof/>
                <w:webHidden/>
              </w:rPr>
              <w:fldChar w:fldCharType="end"/>
            </w:r>
          </w:hyperlink>
        </w:p>
        <w:p w14:paraId="41B23945" w14:textId="4AFB7A6C" w:rsidR="00711FCC" w:rsidRDefault="00D3137A" w:rsidP="00711FCC">
          <w:pPr>
            <w:pStyle w:val="TOC1"/>
            <w:tabs>
              <w:tab w:val="right" w:leader="dot" w:pos="9016"/>
            </w:tabs>
            <w:rPr>
              <w:b/>
              <w:bCs/>
              <w:noProof/>
            </w:rPr>
          </w:pPr>
          <w:r w:rsidRPr="00BA04D2">
            <w:rPr>
              <w:b/>
              <w:bCs/>
              <w:noProof/>
            </w:rPr>
            <w:fldChar w:fldCharType="end"/>
          </w:r>
        </w:p>
      </w:sdtContent>
    </w:sdt>
    <w:p w14:paraId="3BF3D582" w14:textId="3F6285C2" w:rsidR="008341D0" w:rsidRPr="00711FCC" w:rsidRDefault="009F0910" w:rsidP="00CD1F6B">
      <w:pPr>
        <w:pStyle w:val="Style11"/>
        <w:rPr>
          <w:rFonts w:cstheme="minorBidi"/>
          <w:sz w:val="20"/>
          <w:szCs w:val="22"/>
        </w:rPr>
      </w:pPr>
      <w:r w:rsidRPr="00BA04D2">
        <w:br w:type="page"/>
      </w:r>
      <w:bookmarkStart w:id="0" w:name="_Toc217294913"/>
      <w:r w:rsidRPr="00CD1F6B">
        <w:lastRenderedPageBreak/>
        <w:t>Methods</w:t>
      </w:r>
      <w:bookmarkEnd w:id="0"/>
    </w:p>
    <w:p w14:paraId="40131BCF" w14:textId="0C9ABF2B" w:rsidR="009F0910" w:rsidRPr="009F784F" w:rsidRDefault="009F0910" w:rsidP="00641B58">
      <w:pPr>
        <w:pStyle w:val="Style2"/>
        <w:spacing w:line="480" w:lineRule="auto"/>
        <w:rPr>
          <w:sz w:val="24"/>
          <w:szCs w:val="24"/>
        </w:rPr>
      </w:pPr>
      <w:bookmarkStart w:id="1" w:name="_Toc217294914"/>
      <w:r w:rsidRPr="009F784F">
        <w:rPr>
          <w:sz w:val="24"/>
          <w:szCs w:val="24"/>
        </w:rPr>
        <w:t xml:space="preserve">Lentiviral knockdown of SLC16A2 and thyroid hormone </w:t>
      </w:r>
      <w:r w:rsidR="00147C98" w:rsidRPr="009F784F">
        <w:rPr>
          <w:sz w:val="24"/>
          <w:szCs w:val="24"/>
        </w:rPr>
        <w:t xml:space="preserve">(TH) </w:t>
      </w:r>
      <w:r w:rsidRPr="009F784F">
        <w:rPr>
          <w:sz w:val="24"/>
          <w:szCs w:val="24"/>
        </w:rPr>
        <w:t xml:space="preserve">analog / peptide treatments in </w:t>
      </w:r>
      <w:r w:rsidR="00D3137A" w:rsidRPr="009F784F">
        <w:rPr>
          <w:sz w:val="24"/>
          <w:szCs w:val="24"/>
        </w:rPr>
        <w:t>human oligodendrocyte (</w:t>
      </w:r>
      <w:r w:rsidRPr="009F784F">
        <w:rPr>
          <w:sz w:val="24"/>
          <w:szCs w:val="24"/>
        </w:rPr>
        <w:t>OL</w:t>
      </w:r>
      <w:r w:rsidR="00D3137A" w:rsidRPr="009F784F">
        <w:rPr>
          <w:sz w:val="24"/>
          <w:szCs w:val="24"/>
        </w:rPr>
        <w:t>)</w:t>
      </w:r>
      <w:r w:rsidRPr="009F784F">
        <w:rPr>
          <w:sz w:val="24"/>
          <w:szCs w:val="24"/>
        </w:rPr>
        <w:t xml:space="preserve"> lineage cells</w:t>
      </w:r>
      <w:bookmarkEnd w:id="1"/>
    </w:p>
    <w:p w14:paraId="381E9C6E" w14:textId="313C3715" w:rsidR="009F0910" w:rsidRPr="009F784F" w:rsidRDefault="009F0910" w:rsidP="00641B58">
      <w:pPr>
        <w:spacing w:line="480" w:lineRule="auto"/>
        <w:rPr>
          <w:rFonts w:cs="Times New Roman"/>
          <w:color w:val="000000"/>
          <w:sz w:val="24"/>
          <w:szCs w:val="28"/>
        </w:rPr>
      </w:pPr>
      <w:r w:rsidRPr="009F784F">
        <w:rPr>
          <w:rFonts w:cs="Times New Roman"/>
          <w:sz w:val="24"/>
          <w:szCs w:val="28"/>
        </w:rPr>
        <w:t xml:space="preserve">The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 xml:space="preserve">knockdown of </w:t>
      </w:r>
      <w:proofErr w:type="spellStart"/>
      <w:r w:rsidRPr="009F784F">
        <w:rPr>
          <w:rFonts w:cs="Times New Roman"/>
          <w:sz w:val="24"/>
          <w:szCs w:val="28"/>
        </w:rPr>
        <w:t>oligodendroglial</w:t>
      </w:r>
      <w:proofErr w:type="spellEnd"/>
      <w:r w:rsidRPr="009F784F">
        <w:rPr>
          <w:rFonts w:cs="Times New Roman"/>
          <w:sz w:val="24"/>
          <w:szCs w:val="28"/>
        </w:rPr>
        <w:t xml:space="preserve"> lineage cells were generated through lentiviral transduction of the HES3 human embryonic stem cell (</w:t>
      </w:r>
      <w:proofErr w:type="spellStart"/>
      <w:r w:rsidRPr="009F784F">
        <w:rPr>
          <w:rFonts w:cs="Times New Roman"/>
          <w:sz w:val="24"/>
          <w:szCs w:val="28"/>
        </w:rPr>
        <w:t>hESC</w:t>
      </w:r>
      <w:proofErr w:type="spellEnd"/>
      <w:r w:rsidR="009F784F">
        <w:rPr>
          <w:rFonts w:cs="Times New Roman"/>
          <w:sz w:val="24"/>
          <w:szCs w:val="28"/>
        </w:rPr>
        <w:t>, female</w:t>
      </w:r>
      <w:r w:rsidRPr="009F784F">
        <w:rPr>
          <w:rFonts w:cs="Times New Roman"/>
          <w:sz w:val="24"/>
          <w:szCs w:val="28"/>
        </w:rPr>
        <w:t xml:space="preserve">) line. Lentiviruses expressing either a scrambled shRNA or a specific shRNA targeting </w:t>
      </w:r>
      <w:r w:rsidRPr="009F784F">
        <w:rPr>
          <w:rFonts w:cs="Times New Roman"/>
          <w:i/>
          <w:iCs/>
          <w:sz w:val="24"/>
          <w:szCs w:val="28"/>
        </w:rPr>
        <w:t>SLC16A2</w:t>
      </w:r>
      <w:r w:rsidRPr="009F784F">
        <w:rPr>
          <w:rFonts w:cs="Times New Roman"/>
          <w:sz w:val="24"/>
          <w:szCs w:val="28"/>
        </w:rPr>
        <w:t xml:space="preserve"> were generated using the psi</w:t>
      </w:r>
      <w:r w:rsidR="00D3137A" w:rsidRPr="009F784F">
        <w:rPr>
          <w:rFonts w:cs="Times New Roman"/>
          <w:sz w:val="24"/>
          <w:szCs w:val="28"/>
        </w:rPr>
        <w:t>–</w:t>
      </w:r>
      <w:r w:rsidRPr="009F784F">
        <w:rPr>
          <w:rFonts w:cs="Times New Roman"/>
          <w:sz w:val="24"/>
          <w:szCs w:val="28"/>
        </w:rPr>
        <w:t>LVRU6MP vector system (</w:t>
      </w:r>
      <w:proofErr w:type="spellStart"/>
      <w:r w:rsidRPr="009F784F">
        <w:rPr>
          <w:rFonts w:cs="Times New Roman"/>
          <w:sz w:val="24"/>
          <w:szCs w:val="28"/>
        </w:rPr>
        <w:t>Genecopoeia</w:t>
      </w:r>
      <w:proofErr w:type="spellEnd"/>
      <w:r w:rsidRPr="009F784F">
        <w:rPr>
          <w:rFonts w:cs="Times New Roman"/>
          <w:sz w:val="24"/>
          <w:szCs w:val="28"/>
        </w:rPr>
        <w:t>, USA), following previously described protocol</w:t>
      </w:r>
      <w:r w:rsidR="00D3137A" w:rsidRPr="009F784F">
        <w:rPr>
          <w:rFonts w:cs="Times New Roman"/>
          <w:sz w:val="24"/>
          <w:szCs w:val="28"/>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dW0+MTkzPC9SZWNOdW0+PERpc3BsYXlUZXh0PjxzdHlsZSBmYWNlPSJzdXBlcnNjcmlwdCI+MSwy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dW0+MTkzPC9SZWNOdW0+PERpc3BsYXlUZXh0PjxzdHlsZSBmYWNlPSJzdXBlcnNjcmlwdCI+MSwy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1,2</w:t>
      </w:r>
      <w:r w:rsidRPr="009F784F">
        <w:rPr>
          <w:rFonts w:cs="Times New Roman"/>
          <w:color w:val="000000"/>
          <w:sz w:val="24"/>
          <w:szCs w:val="28"/>
        </w:rPr>
        <w:fldChar w:fldCharType="end"/>
      </w:r>
      <w:r w:rsidRPr="009F784F">
        <w:rPr>
          <w:rFonts w:cs="Times New Roman"/>
          <w:sz w:val="24"/>
          <w:szCs w:val="28"/>
        </w:rPr>
        <w:t xml:space="preserve"> </w:t>
      </w:r>
      <w:bookmarkStart w:id="2" w:name="_Hlk212717153"/>
      <w:proofErr w:type="spellStart"/>
      <w:r w:rsidRPr="009F784F">
        <w:rPr>
          <w:rFonts w:cs="Times New Roman"/>
          <w:sz w:val="24"/>
          <w:szCs w:val="28"/>
        </w:rPr>
        <w:t>Oligodendroglial</w:t>
      </w:r>
      <w:proofErr w:type="spellEnd"/>
      <w:r w:rsidRPr="009F784F">
        <w:rPr>
          <w:rFonts w:cs="Times New Roman"/>
          <w:sz w:val="24"/>
          <w:szCs w:val="28"/>
        </w:rPr>
        <w:t xml:space="preserve"> precursor cells </w:t>
      </w:r>
      <w:bookmarkEnd w:id="2"/>
      <w:r w:rsidRPr="009F784F">
        <w:rPr>
          <w:rFonts w:cs="Times New Roman"/>
          <w:sz w:val="24"/>
          <w:szCs w:val="28"/>
        </w:rPr>
        <w:t>(OPCs) were generated from the HES3</w:t>
      </w:r>
      <w:r w:rsidR="00D3137A" w:rsidRPr="009F784F">
        <w:rPr>
          <w:rFonts w:cs="Times New Roman"/>
          <w:sz w:val="24"/>
          <w:szCs w:val="28"/>
        </w:rPr>
        <w:t>–</w:t>
      </w:r>
      <w:proofErr w:type="spellStart"/>
      <w:r w:rsidRPr="009F784F">
        <w:rPr>
          <w:rFonts w:cs="Times New Roman"/>
          <w:sz w:val="24"/>
          <w:szCs w:val="28"/>
        </w:rPr>
        <w:t>hESC</w:t>
      </w:r>
      <w:proofErr w:type="spellEnd"/>
      <w:r w:rsidR="00D3137A" w:rsidRPr="009F784F">
        <w:rPr>
          <w:rFonts w:cs="Times New Roman"/>
          <w:sz w:val="24"/>
          <w:szCs w:val="28"/>
        </w:rPr>
        <w:t xml:space="preserve"> </w:t>
      </w:r>
      <w:r w:rsidR="00147C98" w:rsidRPr="009F784F">
        <w:rPr>
          <w:rFonts w:cs="Times New Roman"/>
          <w:sz w:val="24"/>
          <w:szCs w:val="28"/>
        </w:rPr>
        <w:t xml:space="preserve">cell </w:t>
      </w:r>
      <w:r w:rsidR="00D3137A" w:rsidRPr="009F784F">
        <w:rPr>
          <w:rFonts w:cs="Times New Roman"/>
          <w:sz w:val="24"/>
          <w:szCs w:val="28"/>
        </w:rPr>
        <w:t>line</w:t>
      </w:r>
      <w:r w:rsidRPr="009F784F">
        <w:rPr>
          <w:rFonts w:cs="Times New Roman"/>
          <w:sz w:val="24"/>
          <w:szCs w:val="28"/>
        </w:rPr>
        <w:fldChar w:fldCharType="begin">
          <w:fldData xml:space="preserve">PEVuZE5vdGU+PENpdGU+PEF1dGhvcj5Hb3VsYnVybjwvQXV0aG9yPjxZZWFyPjIwMTE8L1llYXI+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</w:fldData>
        </w:fldChar>
      </w:r>
      <w:r w:rsidR="00D3137A" w:rsidRPr="009F784F">
        <w:rPr>
          <w:rFonts w:cs="Times New Roman"/>
          <w:sz w:val="24"/>
          <w:szCs w:val="28"/>
        </w:rPr>
        <w:instrText xml:space="preserve"> ADDIN EN.CITE </w:instrText>
      </w:r>
      <w:r w:rsidR="00D3137A" w:rsidRPr="009F784F">
        <w:rPr>
          <w:rFonts w:cs="Times New Roman"/>
          <w:sz w:val="24"/>
          <w:szCs w:val="28"/>
        </w:rPr>
        <w:fldChar w:fldCharType="begin">
          <w:fldData xml:space="preserve">PEVuZE5vdGU+PENpdGU+PEF1dGhvcj5Hb3VsYnVybjwvQXV0aG9yPjxZZWFyPjIwMTE8L1llYXI+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</w:fldData>
        </w:fldChar>
      </w:r>
      <w:r w:rsidR="00D3137A" w:rsidRPr="009F784F">
        <w:rPr>
          <w:rFonts w:cs="Times New Roman"/>
          <w:sz w:val="24"/>
          <w:szCs w:val="28"/>
        </w:rPr>
        <w:instrText xml:space="preserve"> ADDIN EN.CITE.DATA </w:instrText>
      </w:r>
      <w:r w:rsidR="00D3137A" w:rsidRPr="009F784F">
        <w:rPr>
          <w:rFonts w:cs="Times New Roman"/>
          <w:sz w:val="24"/>
          <w:szCs w:val="28"/>
        </w:rPr>
      </w:r>
      <w:r w:rsidR="00D3137A"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3137A" w:rsidRPr="009F784F">
        <w:rPr>
          <w:rFonts w:cs="Times New Roman"/>
          <w:noProof/>
          <w:sz w:val="24"/>
          <w:szCs w:val="28"/>
          <w:vertAlign w:val="superscript"/>
        </w:rPr>
        <w:t>1,3,4</w:t>
      </w:r>
      <w:r w:rsidRPr="009F784F">
        <w:rPr>
          <w:rFonts w:cs="Times New Roman"/>
          <w:sz w:val="24"/>
          <w:szCs w:val="28"/>
        </w:rPr>
        <w:fldChar w:fldCharType="end"/>
      </w:r>
      <w:r w:rsidRPr="009F784F">
        <w:rPr>
          <w:rFonts w:cs="Times New Roman"/>
          <w:sz w:val="24"/>
          <w:szCs w:val="28"/>
        </w:rPr>
        <w:t xml:space="preserve"> using a modified differentiation protocol based on International Patent Publication No. WO2016/101017A1</w:t>
      </w:r>
      <w:r w:rsidR="00D3137A" w:rsidRPr="009F784F">
        <w:rPr>
          <w:rFonts w:cs="Times New Roman"/>
          <w:sz w:val="24"/>
          <w:szCs w:val="28"/>
        </w:rPr>
        <w:t>.</w:t>
      </w:r>
      <w:r w:rsidRPr="009F784F">
        <w:rPr>
          <w:rFonts w:cs="Times New Roman"/>
          <w:sz w:val="24"/>
          <w:szCs w:val="28"/>
        </w:rPr>
        <w:fldChar w:fldCharType="begin"/>
      </w:r>
      <w:r w:rsidR="00D3137A" w:rsidRPr="009F784F">
        <w:rPr>
          <w:rFonts w:cs="Times New Roman"/>
          <w:sz w:val="24"/>
          <w:szCs w:val="28"/>
        </w:rPr>
        <w:instrText xml:space="preserve"> ADDIN EN.CITE &lt;EndNote&gt;&lt;Cite&gt;&lt;Author&gt;PETRATOS&lt;/Author&gt;&lt;Year&gt;2016&lt;/Year&gt;&lt;RecNum&gt;675&lt;/RecNum&gt;&lt;DisplayText&gt;&lt;style face="superscript"&gt;5&lt;/style&gt;&lt;/DisplayText&gt;&lt;record&gt;&lt;rec-number&gt;675&lt;/rec-number&gt;&lt;foreign-keys&gt;&lt;key app="EN" db-id="05xad0tf15f9weepssy5td09frpw0wxe5vfa" timestamp="1744859180"&gt;675&lt;/key&gt;&lt;/foreign-keys&gt;&lt;ref-type name="Generic"&gt;13&lt;/ref-type&gt;&lt;contributors&gt;&lt;authors&gt;&lt;author&gt;PETRATOS, Steven&lt;/author&gt;&lt;author&gt;AZARI, Michael Farzad&lt;/author&gt;&lt;author&gt;Lee, Jae Young&lt;/author&gt;&lt;author&gt;Kim, Min Young&lt;/author&gt;&lt;/authors&gt;&lt;/contributors&gt;&lt;titles&gt;&lt;title&gt;Improvements in oligodendroglial cell culturing methods and in methods for treating neurodegenerative disorders by using thyroid hormones or analogues&lt;/title&gt;&lt;/titles&gt;&lt;dates&gt;&lt;year&gt;2016&lt;/year&gt;&lt;/dates&gt;&lt;publisher&gt;Google Patents&lt;/publisher&gt;&lt;urls&gt;&lt;/urls&gt;&lt;/record&gt;&lt;/Cite&gt;&lt;/EndNote&gt;</w:instrText>
      </w:r>
      <w:r w:rsidRPr="009F784F">
        <w:rPr>
          <w:rFonts w:cs="Times New Roman"/>
          <w:sz w:val="24"/>
          <w:szCs w:val="28"/>
        </w:rPr>
        <w:fldChar w:fldCharType="separate"/>
      </w:r>
      <w:r w:rsidR="00D3137A" w:rsidRPr="009F784F">
        <w:rPr>
          <w:rFonts w:cs="Times New Roman"/>
          <w:noProof/>
          <w:sz w:val="24"/>
          <w:szCs w:val="28"/>
          <w:vertAlign w:val="superscript"/>
        </w:rPr>
        <w:t>5</w:t>
      </w:r>
      <w:r w:rsidRPr="009F784F">
        <w:rPr>
          <w:rFonts w:cs="Times New Roman"/>
          <w:sz w:val="24"/>
          <w:szCs w:val="28"/>
        </w:rPr>
        <w:fldChar w:fldCharType="end"/>
      </w:r>
      <w:r w:rsidRPr="009F784F">
        <w:rPr>
          <w:rFonts w:cs="Times New Roman"/>
          <w:sz w:val="24"/>
          <w:szCs w:val="28"/>
        </w:rPr>
        <w:t xml:space="preserve">  </w:t>
      </w:r>
      <w:r w:rsidRPr="009F784F">
        <w:rPr>
          <w:rFonts w:cs="Times New Roman"/>
          <w:color w:val="000000"/>
          <w:sz w:val="24"/>
          <w:szCs w:val="28"/>
        </w:rPr>
        <w:t xml:space="preserve">At the NG2⁺ stage of OPC differentiation </w:t>
      </w:r>
      <w:r w:rsidR="0016276C" w:rsidRPr="009F784F">
        <w:rPr>
          <w:rFonts w:cs="Times New Roman"/>
          <w:color w:val="000000"/>
          <w:sz w:val="24"/>
          <w:szCs w:val="28"/>
        </w:rPr>
        <w:t xml:space="preserve">derived </w:t>
      </w:r>
      <w:r w:rsidRPr="009F784F">
        <w:rPr>
          <w:rFonts w:cs="Times New Roman"/>
          <w:color w:val="000000"/>
          <w:sz w:val="24"/>
          <w:szCs w:val="28"/>
        </w:rPr>
        <w:t>from the HES3 cell line, NG2⁺ cells</w:t>
      </w:r>
      <w:r w:rsidR="0016276C" w:rsidRPr="009F784F">
        <w:rPr>
          <w:rFonts w:cs="Times New Roman"/>
          <w:color w:val="000000"/>
          <w:sz w:val="24"/>
          <w:szCs w:val="28"/>
        </w:rPr>
        <w:t xml:space="preserve"> </w:t>
      </w:r>
      <w:r w:rsidRPr="009F784F">
        <w:rPr>
          <w:rFonts w:cs="Times New Roman"/>
          <w:color w:val="000000"/>
          <w:sz w:val="24"/>
          <w:szCs w:val="28"/>
        </w:rPr>
        <w:t xml:space="preserve">were isolated by flow cytometry using </w:t>
      </w:r>
      <w:r w:rsidR="0016276C" w:rsidRPr="009F784F">
        <w:rPr>
          <w:rFonts w:cs="Times New Roman"/>
          <w:color w:val="000000"/>
          <w:sz w:val="24"/>
          <w:szCs w:val="28"/>
        </w:rPr>
        <w:t>an NG2–APC–conjugated antibody (R&amp;D Systems; 1</w:t>
      </w:r>
      <w:r w:rsidR="00412A67" w:rsidRPr="009F784F">
        <w:rPr>
          <w:rFonts w:cs="Times New Roman"/>
          <w:color w:val="000000"/>
          <w:sz w:val="24"/>
          <w:szCs w:val="28"/>
        </w:rPr>
        <w:t>:</w:t>
      </w:r>
      <w:r w:rsidR="0016276C" w:rsidRPr="009F784F">
        <w:rPr>
          <w:rFonts w:cs="Times New Roman"/>
          <w:color w:val="000000"/>
          <w:sz w:val="24"/>
          <w:szCs w:val="28"/>
        </w:rPr>
        <w:t>00)</w:t>
      </w:r>
      <w:r w:rsidR="0016276C" w:rsidRPr="009F784F">
        <w:rPr>
          <w:rFonts w:cs="Times New Roman"/>
          <w:sz w:val="24"/>
          <w:szCs w:val="28"/>
        </w:rPr>
        <w:t xml:space="preserve"> </w:t>
      </w:r>
      <w:r w:rsidR="005C16C5" w:rsidRPr="009F784F">
        <w:rPr>
          <w:rFonts w:cs="Times New Roman"/>
          <w:color w:val="000000"/>
          <w:sz w:val="24"/>
          <w:szCs w:val="28"/>
        </w:rPr>
        <w:t xml:space="preserve">and sorted on </w:t>
      </w:r>
      <w:r w:rsidRPr="009F784F">
        <w:rPr>
          <w:rFonts w:cs="Times New Roman"/>
          <w:color w:val="000000"/>
          <w:sz w:val="24"/>
          <w:szCs w:val="28"/>
        </w:rPr>
        <w:t>a BD Influx sorter (BD Biosciences)</w:t>
      </w:r>
      <w:r w:rsidR="00D3137A" w:rsidRPr="009F784F">
        <w:rPr>
          <w:rFonts w:cs="Times New Roman"/>
          <w:color w:val="000000"/>
          <w:sz w:val="24"/>
          <w:szCs w:val="28"/>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color w:val="000000"/>
          <w:sz w:val="24"/>
          <w:szCs w:val="28"/>
        </w:rPr>
        <w:t xml:space="preserve"> The </w:t>
      </w:r>
      <w:r w:rsidR="005C16C5" w:rsidRPr="009F784F">
        <w:rPr>
          <w:rFonts w:cs="Times New Roman"/>
          <w:color w:val="000000"/>
          <w:sz w:val="24"/>
          <w:szCs w:val="28"/>
        </w:rPr>
        <w:t xml:space="preserve">purified </w:t>
      </w:r>
      <w:r w:rsidRPr="009F784F">
        <w:rPr>
          <w:rFonts w:cs="Times New Roman"/>
          <w:color w:val="000000"/>
          <w:sz w:val="24"/>
          <w:szCs w:val="28"/>
        </w:rPr>
        <w:t>NG2⁺ cells were then transduced with the respective lentiviral vectors. For transduction efficiency and drug treatment refer to previous report</w:t>
      </w:r>
      <w:r w:rsidR="00D3137A" w:rsidRPr="009F784F">
        <w:rPr>
          <w:rFonts w:cs="Times New Roman"/>
          <w:color w:val="000000"/>
          <w:sz w:val="24"/>
          <w:szCs w:val="28"/>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color w:val="000000"/>
          <w:sz w:val="24"/>
          <w:szCs w:val="28"/>
        </w:rPr>
        <w:t xml:space="preserve"> </w:t>
      </w:r>
      <w:r w:rsidR="00D3137A" w:rsidRPr="009F784F">
        <w:rPr>
          <w:rFonts w:cs="Times New Roman"/>
          <w:color w:val="000000"/>
          <w:sz w:val="24"/>
          <w:szCs w:val="28"/>
        </w:rPr>
        <w:t xml:space="preserve">  </w:t>
      </w:r>
    </w:p>
    <w:p w14:paraId="096405B3" w14:textId="72FFDF83" w:rsidR="009F0910" w:rsidRPr="009F784F" w:rsidRDefault="009F0910" w:rsidP="00641B58">
      <w:pPr>
        <w:spacing w:line="480" w:lineRule="auto"/>
        <w:rPr>
          <w:rFonts w:cs="Times New Roman"/>
          <w:bCs/>
          <w:sz w:val="24"/>
          <w:szCs w:val="28"/>
          <w:lang w:val="en-US"/>
        </w:rPr>
      </w:pPr>
      <w:r w:rsidRPr="009F784F">
        <w:rPr>
          <w:rFonts w:cs="Times New Roman"/>
          <w:bCs/>
          <w:sz w:val="24"/>
          <w:szCs w:val="28"/>
          <w:lang w:val="en-US"/>
        </w:rPr>
        <w:t>To evaluate the functional effects of TH analog</w:t>
      </w:r>
      <w:r w:rsidR="00B105DB">
        <w:rPr>
          <w:rFonts w:cs="Times New Roman"/>
          <w:bCs/>
          <w:sz w:val="24"/>
          <w:szCs w:val="28"/>
          <w:lang w:val="en-US"/>
        </w:rPr>
        <w:t>ou</w:t>
      </w:r>
      <w:r w:rsidRPr="009F784F">
        <w:rPr>
          <w:rFonts w:cs="Times New Roman"/>
          <w:bCs/>
          <w:sz w:val="24"/>
          <w:szCs w:val="28"/>
          <w:lang w:val="en-US"/>
        </w:rPr>
        <w:t>s, OPC cultures were treated 72</w:t>
      </w:r>
      <w:r w:rsidR="00147C98" w:rsidRPr="009F784F">
        <w:rPr>
          <w:rFonts w:cs="Times New Roman"/>
          <w:bCs/>
          <w:sz w:val="24"/>
          <w:szCs w:val="28"/>
          <w:lang w:val="en-US"/>
        </w:rPr>
        <w:t xml:space="preserve"> hours</w:t>
      </w:r>
      <w:r w:rsidR="00F02881" w:rsidRPr="009F784F">
        <w:rPr>
          <w:rFonts w:cs="Times New Roman"/>
          <w:bCs/>
          <w:sz w:val="24"/>
          <w:szCs w:val="28"/>
          <w:lang w:val="en-US"/>
        </w:rPr>
        <w:t xml:space="preserve"> </w:t>
      </w:r>
      <w:r w:rsidR="00B105DB">
        <w:rPr>
          <w:rFonts w:cs="Times New Roman"/>
          <w:bCs/>
          <w:sz w:val="24"/>
          <w:szCs w:val="28"/>
          <w:lang w:val="en-US"/>
        </w:rPr>
        <w:t>(</w:t>
      </w:r>
      <w:r w:rsidRPr="009F784F">
        <w:rPr>
          <w:rFonts w:cs="Times New Roman"/>
          <w:bCs/>
          <w:sz w:val="24"/>
          <w:szCs w:val="28"/>
          <w:lang w:val="en-US"/>
        </w:rPr>
        <w:t>h</w:t>
      </w:r>
      <w:r w:rsidR="00B105DB">
        <w:rPr>
          <w:rFonts w:cs="Times New Roman"/>
          <w:bCs/>
          <w:sz w:val="24"/>
          <w:szCs w:val="28"/>
          <w:lang w:val="en-US"/>
        </w:rPr>
        <w:t>)</w:t>
      </w:r>
      <w:r w:rsidRPr="009F784F">
        <w:rPr>
          <w:rFonts w:cs="Times New Roman"/>
          <w:bCs/>
          <w:sz w:val="24"/>
          <w:szCs w:val="28"/>
          <w:lang w:val="en-US"/>
        </w:rPr>
        <w:t xml:space="preserve"> post</w:t>
      </w:r>
      <w:r w:rsidR="00D3137A" w:rsidRPr="009F784F">
        <w:rPr>
          <w:rFonts w:cs="Times New Roman"/>
          <w:bCs/>
          <w:sz w:val="24"/>
          <w:szCs w:val="28"/>
          <w:lang w:val="en-US"/>
        </w:rPr>
        <w:t>–</w:t>
      </w:r>
      <w:r w:rsidRPr="009F784F">
        <w:rPr>
          <w:rFonts w:cs="Times New Roman"/>
          <w:bCs/>
          <w:sz w:val="24"/>
          <w:szCs w:val="28"/>
          <w:lang w:val="en-US"/>
        </w:rPr>
        <w:t xml:space="preserve">lentiviral transduction with either 10 </w:t>
      </w:r>
      <w:proofErr w:type="spellStart"/>
      <w:r w:rsidRPr="009F784F">
        <w:rPr>
          <w:rFonts w:cs="Times New Roman"/>
          <w:bCs/>
          <w:sz w:val="24"/>
          <w:szCs w:val="28"/>
          <w:lang w:val="en-US"/>
        </w:rPr>
        <w:t>nM</w:t>
      </w:r>
      <w:proofErr w:type="spellEnd"/>
      <w:r w:rsidRPr="009F784F">
        <w:rPr>
          <w:rFonts w:cs="Times New Roman"/>
          <w:bCs/>
          <w:sz w:val="24"/>
          <w:szCs w:val="28"/>
          <w:lang w:val="en-US"/>
        </w:rPr>
        <w:t xml:space="preserve"> of L</w:t>
      </w:r>
      <w:r w:rsidR="00D3137A" w:rsidRPr="009F784F">
        <w:rPr>
          <w:rFonts w:cs="Times New Roman"/>
          <w:bCs/>
          <w:sz w:val="24"/>
          <w:szCs w:val="28"/>
          <w:lang w:val="en-US"/>
        </w:rPr>
        <w:t>–</w:t>
      </w:r>
      <w:r w:rsidRPr="009F784F">
        <w:rPr>
          <w:rFonts w:cs="Times New Roman"/>
          <w:bCs/>
          <w:sz w:val="24"/>
          <w:szCs w:val="28"/>
          <w:lang w:val="en-US"/>
        </w:rPr>
        <w:t>triiodothyronine (L</w:t>
      </w:r>
      <w:r w:rsidR="00D3137A" w:rsidRPr="009F784F">
        <w:rPr>
          <w:rFonts w:cs="Times New Roman"/>
          <w:bCs/>
          <w:sz w:val="24"/>
          <w:szCs w:val="28"/>
          <w:lang w:val="en-US"/>
        </w:rPr>
        <w:t>–</w:t>
      </w:r>
      <w:r w:rsidRPr="009F784F">
        <w:rPr>
          <w:rFonts w:cs="Times New Roman"/>
          <w:bCs/>
          <w:sz w:val="24"/>
          <w:szCs w:val="28"/>
          <w:lang w:val="en-US"/>
        </w:rPr>
        <w:t>T3; Sigma, T2877),</w:t>
      </w:r>
      <w:r w:rsidR="00147C98" w:rsidRPr="009F784F">
        <w:rPr>
          <w:rFonts w:cs="Times New Roman"/>
          <w:sz w:val="24"/>
          <w:szCs w:val="28"/>
        </w:rPr>
        <w:t xml:space="preserve"> </w:t>
      </w:r>
      <w:r w:rsidR="00147C98" w:rsidRPr="009F784F">
        <w:rPr>
          <w:rFonts w:cs="Times New Roman"/>
          <w:bCs/>
          <w:sz w:val="24"/>
          <w:szCs w:val="28"/>
          <w:lang w:val="en-US"/>
        </w:rPr>
        <w:t>3,5-diiodothyropropionic acid</w:t>
      </w:r>
      <w:r w:rsidRPr="009F784F">
        <w:rPr>
          <w:rFonts w:cs="Times New Roman"/>
          <w:bCs/>
          <w:sz w:val="24"/>
          <w:szCs w:val="28"/>
          <w:lang w:val="en-US"/>
        </w:rPr>
        <w:t xml:space="preserve"> (</w:t>
      </w:r>
      <w:r w:rsidR="00147C98" w:rsidRPr="009F784F">
        <w:rPr>
          <w:rFonts w:cs="Times New Roman"/>
          <w:bCs/>
          <w:sz w:val="24"/>
          <w:szCs w:val="28"/>
          <w:lang w:val="en-US"/>
        </w:rPr>
        <w:t xml:space="preserve">DITPA; </w:t>
      </w:r>
      <w:r w:rsidRPr="009F784F">
        <w:rPr>
          <w:rFonts w:cs="Times New Roman"/>
          <w:bCs/>
          <w:sz w:val="24"/>
          <w:szCs w:val="28"/>
          <w:lang w:val="en-US"/>
        </w:rPr>
        <w:t>Cayman chemical, 23299), or 3,5,3'</w:t>
      </w:r>
      <w:r w:rsidR="00D3137A" w:rsidRPr="009F784F">
        <w:rPr>
          <w:rFonts w:cs="Times New Roman"/>
          <w:bCs/>
          <w:sz w:val="24"/>
          <w:szCs w:val="28"/>
          <w:lang w:val="en-US"/>
        </w:rPr>
        <w:t>–</w:t>
      </w:r>
      <w:proofErr w:type="spellStart"/>
      <w:r w:rsidR="00D645C0" w:rsidRPr="009F784F">
        <w:rPr>
          <w:rFonts w:cs="Times New Roman"/>
          <w:bCs/>
          <w:sz w:val="24"/>
          <w:szCs w:val="28"/>
          <w:lang w:val="en-US"/>
        </w:rPr>
        <w:t>t</w:t>
      </w:r>
      <w:r w:rsidRPr="009F784F">
        <w:rPr>
          <w:rFonts w:cs="Times New Roman"/>
          <w:bCs/>
          <w:sz w:val="24"/>
          <w:szCs w:val="28"/>
          <w:lang w:val="en-US"/>
        </w:rPr>
        <w:t>riiodothyroacetic</w:t>
      </w:r>
      <w:proofErr w:type="spellEnd"/>
      <w:r w:rsidRPr="009F784F">
        <w:rPr>
          <w:rFonts w:cs="Times New Roman"/>
          <w:bCs/>
          <w:sz w:val="24"/>
          <w:szCs w:val="28"/>
          <w:lang w:val="en-US"/>
        </w:rPr>
        <w:t xml:space="preserve"> acid (TRIAC; Sigma, T7650)</w:t>
      </w:r>
      <w:r w:rsidRPr="009F784F">
        <w:rPr>
          <w:rFonts w:cs="Times New Roman"/>
          <w:sz w:val="24"/>
          <w:szCs w:val="28"/>
        </w:rPr>
        <w:t xml:space="preserve"> </w:t>
      </w:r>
      <w:r w:rsidRPr="009F784F">
        <w:rPr>
          <w:rFonts w:cs="Times New Roman"/>
          <w:bCs/>
          <w:sz w:val="24"/>
          <w:szCs w:val="28"/>
          <w:lang w:val="en-US"/>
        </w:rPr>
        <w:t>for 3 days. In some conditions, cells were co</w:t>
      </w:r>
      <w:r w:rsidR="00D3137A" w:rsidRPr="009F784F">
        <w:rPr>
          <w:rFonts w:cs="Times New Roman"/>
          <w:bCs/>
          <w:sz w:val="24"/>
          <w:szCs w:val="28"/>
          <w:lang w:val="en-US"/>
        </w:rPr>
        <w:t>–</w:t>
      </w:r>
      <w:r w:rsidRPr="009F784F">
        <w:rPr>
          <w:rFonts w:cs="Times New Roman"/>
          <w:bCs/>
          <w:sz w:val="24"/>
          <w:szCs w:val="28"/>
          <w:lang w:val="en-US"/>
        </w:rPr>
        <w:t xml:space="preserve">treated with 100 </w:t>
      </w:r>
      <w:proofErr w:type="spellStart"/>
      <w:r w:rsidRPr="009F784F">
        <w:rPr>
          <w:rFonts w:cs="Times New Roman"/>
          <w:bCs/>
          <w:sz w:val="24"/>
          <w:szCs w:val="28"/>
          <w:lang w:val="en-US"/>
        </w:rPr>
        <w:t>nM</w:t>
      </w:r>
      <w:proofErr w:type="spellEnd"/>
      <w:r w:rsidRPr="009F784F">
        <w:rPr>
          <w:rFonts w:cs="Times New Roman"/>
          <w:bCs/>
          <w:sz w:val="24"/>
          <w:szCs w:val="28"/>
          <w:lang w:val="en-US"/>
        </w:rPr>
        <w:t xml:space="preserve"> </w:t>
      </w:r>
      <w:proofErr w:type="spellStart"/>
      <w:r w:rsidRPr="009F784F">
        <w:rPr>
          <w:rFonts w:cs="Times New Roman"/>
          <w:bCs/>
          <w:sz w:val="24"/>
          <w:szCs w:val="28"/>
          <w:lang w:val="en-US"/>
        </w:rPr>
        <w:t>cilengitide</w:t>
      </w:r>
      <w:proofErr w:type="spellEnd"/>
      <w:r w:rsidRPr="009F784F">
        <w:rPr>
          <w:rFonts w:cs="Times New Roman"/>
          <w:bCs/>
          <w:sz w:val="24"/>
          <w:szCs w:val="28"/>
          <w:lang w:val="en-US"/>
        </w:rPr>
        <w:t>, a cyclized RGD (Arg</w:t>
      </w:r>
      <w:r w:rsidR="00D3137A" w:rsidRPr="009F784F">
        <w:rPr>
          <w:rFonts w:cs="Times New Roman"/>
          <w:bCs/>
          <w:sz w:val="24"/>
          <w:szCs w:val="28"/>
          <w:lang w:val="en-US"/>
        </w:rPr>
        <w:t>–</w:t>
      </w:r>
      <w:proofErr w:type="spellStart"/>
      <w:r w:rsidRPr="009F784F">
        <w:rPr>
          <w:rFonts w:cs="Times New Roman"/>
          <w:bCs/>
          <w:sz w:val="24"/>
          <w:szCs w:val="28"/>
          <w:lang w:val="en-US"/>
        </w:rPr>
        <w:t>Gly</w:t>
      </w:r>
      <w:proofErr w:type="spellEnd"/>
      <w:r w:rsidR="00D3137A" w:rsidRPr="009F784F">
        <w:rPr>
          <w:rFonts w:cs="Times New Roman"/>
          <w:bCs/>
          <w:sz w:val="24"/>
          <w:szCs w:val="28"/>
          <w:lang w:val="en-US"/>
        </w:rPr>
        <w:t>–</w:t>
      </w:r>
      <w:r w:rsidRPr="009F784F">
        <w:rPr>
          <w:rFonts w:cs="Times New Roman"/>
          <w:bCs/>
          <w:sz w:val="24"/>
          <w:szCs w:val="28"/>
          <w:lang w:val="en-US"/>
        </w:rPr>
        <w:t>Asp motif)</w:t>
      </w:r>
      <w:r w:rsidR="00D3137A" w:rsidRPr="009F784F">
        <w:rPr>
          <w:rFonts w:cs="Times New Roman"/>
          <w:bCs/>
          <w:sz w:val="24"/>
          <w:szCs w:val="28"/>
          <w:lang w:val="en-US"/>
        </w:rPr>
        <w:t>–</w:t>
      </w:r>
      <w:r w:rsidRPr="009F784F">
        <w:rPr>
          <w:rFonts w:cs="Times New Roman"/>
          <w:bCs/>
          <w:sz w:val="24"/>
          <w:szCs w:val="28"/>
          <w:lang w:val="en-US"/>
        </w:rPr>
        <w:t xml:space="preserve">containing pentapeptide as integrin </w:t>
      </w:r>
      <w:r w:rsidR="00A91985">
        <w:rPr>
          <w:rFonts w:cs="Times New Roman"/>
          <w:bCs/>
          <w:sz w:val="24"/>
          <w:szCs w:val="28"/>
          <w:lang w:val="en-US"/>
        </w:rPr>
        <w:t>αVβ</w:t>
      </w:r>
      <w:r w:rsidR="00D42E46">
        <w:rPr>
          <w:rFonts w:cs="Times New Roman"/>
          <w:bCs/>
          <w:sz w:val="24"/>
          <w:szCs w:val="28"/>
          <w:lang w:val="en-US"/>
        </w:rPr>
        <w:t xml:space="preserve">3 </w:t>
      </w:r>
      <w:r w:rsidR="00D42E46" w:rsidRPr="009F784F">
        <w:rPr>
          <w:rFonts w:cs="Times New Roman"/>
          <w:bCs/>
          <w:sz w:val="24"/>
          <w:szCs w:val="28"/>
          <w:lang w:val="en-US"/>
        </w:rPr>
        <w:t>antagonist</w:t>
      </w:r>
      <w:r w:rsidRPr="009F784F">
        <w:rPr>
          <w:rFonts w:cs="Times New Roman"/>
          <w:bCs/>
          <w:sz w:val="24"/>
          <w:szCs w:val="28"/>
          <w:lang w:val="en-US"/>
        </w:rPr>
        <w:t xml:space="preserve"> (Sigma</w:t>
      </w:r>
      <w:r w:rsidR="00D3137A" w:rsidRPr="009F784F">
        <w:rPr>
          <w:rFonts w:cs="Times New Roman"/>
          <w:bCs/>
          <w:sz w:val="24"/>
          <w:szCs w:val="28"/>
          <w:lang w:val="en-US"/>
        </w:rPr>
        <w:t>–</w:t>
      </w:r>
      <w:r w:rsidRPr="009F784F">
        <w:rPr>
          <w:rFonts w:cs="Times New Roman"/>
          <w:bCs/>
          <w:sz w:val="24"/>
          <w:szCs w:val="28"/>
          <w:lang w:val="en-US"/>
        </w:rPr>
        <w:t>Aldrich, SML1594), in the culture medium. At the end of the treatment period, cells were harvested for protein analysis and apoptosis assays. Note that protein lysates were used for standard 10% input western blotting (</w:t>
      </w:r>
      <w:r w:rsidR="00B105DB">
        <w:rPr>
          <w:rFonts w:cs="Times New Roman"/>
          <w:bCs/>
          <w:sz w:val="24"/>
          <w:szCs w:val="28"/>
          <w:lang w:val="en-US"/>
        </w:rPr>
        <w:t>10</w:t>
      </w:r>
      <w:r w:rsidRPr="009F784F">
        <w:rPr>
          <w:rFonts w:cs="Times New Roman"/>
          <w:bCs/>
          <w:sz w:val="24"/>
          <w:szCs w:val="28"/>
          <w:lang w:val="en-US"/>
        </w:rPr>
        <w:t> </w:t>
      </w:r>
      <w:bookmarkStart w:id="3" w:name="_Hlk217131533"/>
      <w:r w:rsidR="00B105DB">
        <w:rPr>
          <w:rFonts w:cs="Times New Roman"/>
          <w:bCs/>
          <w:sz w:val="24"/>
          <w:szCs w:val="28"/>
          <w:lang w:val="en-US"/>
        </w:rPr>
        <w:t>µ</w:t>
      </w:r>
      <w:bookmarkEnd w:id="3"/>
      <w:r w:rsidRPr="009F784F">
        <w:rPr>
          <w:rFonts w:cs="Times New Roman"/>
          <w:bCs/>
          <w:sz w:val="24"/>
          <w:szCs w:val="28"/>
          <w:lang w:val="en-US"/>
        </w:rPr>
        <w:t>g) and immunoprecipitation (</w:t>
      </w:r>
      <w:r w:rsidR="00940B1B" w:rsidRPr="009F784F">
        <w:rPr>
          <w:rFonts w:cs="Times New Roman"/>
          <w:bCs/>
          <w:sz w:val="24"/>
          <w:szCs w:val="28"/>
          <w:lang w:val="en-US"/>
        </w:rPr>
        <w:t>IP;</w:t>
      </w:r>
      <w:r w:rsidRPr="009F784F">
        <w:rPr>
          <w:rFonts w:cs="Times New Roman"/>
          <w:bCs/>
          <w:sz w:val="24"/>
          <w:szCs w:val="28"/>
          <w:lang w:val="en-US"/>
        </w:rPr>
        <w:t>100 </w:t>
      </w:r>
      <w:r w:rsidR="00B105DB" w:rsidRPr="00B105DB">
        <w:rPr>
          <w:rFonts w:cs="Times New Roman"/>
          <w:bCs/>
          <w:sz w:val="24"/>
          <w:szCs w:val="28"/>
          <w:lang w:val="en-US"/>
        </w:rPr>
        <w:t>µ</w:t>
      </w:r>
      <w:r w:rsidRPr="009F784F">
        <w:rPr>
          <w:rFonts w:cs="Times New Roman"/>
          <w:bCs/>
          <w:sz w:val="24"/>
          <w:szCs w:val="28"/>
          <w:lang w:val="en-US"/>
        </w:rPr>
        <w:t xml:space="preserve">g) assays described in the Proteomics section </w:t>
      </w:r>
      <w:r w:rsidR="00B105DB" w:rsidRPr="009F784F">
        <w:rPr>
          <w:rFonts w:cs="Times New Roman"/>
          <w:bCs/>
          <w:sz w:val="24"/>
          <w:szCs w:val="28"/>
          <w:lang w:val="en-US"/>
        </w:rPr>
        <w:t>below</w:t>
      </w:r>
      <w:r w:rsidRPr="009F784F">
        <w:rPr>
          <w:rFonts w:cs="Times New Roman"/>
          <w:bCs/>
          <w:sz w:val="24"/>
          <w:szCs w:val="28"/>
          <w:lang w:val="en-US"/>
        </w:rPr>
        <w:t xml:space="preserve">. </w:t>
      </w:r>
    </w:p>
    <w:p w14:paraId="297152C8" w14:textId="436E1D6C" w:rsidR="0096040D" w:rsidRPr="009F784F" w:rsidRDefault="009F0910" w:rsidP="00641B58">
      <w:pPr>
        <w:spacing w:line="480" w:lineRule="auto"/>
        <w:rPr>
          <w:rFonts w:cs="Times New Roman"/>
          <w:sz w:val="24"/>
          <w:szCs w:val="28"/>
        </w:rPr>
      </w:pPr>
      <w:r w:rsidRPr="009F784F">
        <w:rPr>
          <w:rFonts w:cs="Times New Roman"/>
          <w:bCs/>
          <w:sz w:val="24"/>
          <w:szCs w:val="28"/>
          <w:lang w:val="en-US"/>
        </w:rPr>
        <w:lastRenderedPageBreak/>
        <w:t xml:space="preserve">For the apoptosis assay, </w:t>
      </w:r>
      <w:r w:rsidR="00247C79" w:rsidRPr="009F784F">
        <w:rPr>
          <w:rFonts w:cs="Times New Roman"/>
          <w:bCs/>
          <w:sz w:val="24"/>
          <w:szCs w:val="28"/>
          <w:lang w:val="en-US"/>
        </w:rPr>
        <w:t xml:space="preserve">human </w:t>
      </w:r>
      <w:proofErr w:type="spellStart"/>
      <w:r w:rsidR="00247C79" w:rsidRPr="009F784F">
        <w:rPr>
          <w:rFonts w:cs="Times New Roman"/>
          <w:bCs/>
          <w:sz w:val="24"/>
          <w:szCs w:val="28"/>
          <w:lang w:val="en-US"/>
        </w:rPr>
        <w:t>oligodendroglial</w:t>
      </w:r>
      <w:proofErr w:type="spellEnd"/>
      <w:r w:rsidR="00247C79" w:rsidRPr="009F784F">
        <w:rPr>
          <w:rFonts w:cs="Times New Roman"/>
          <w:bCs/>
          <w:sz w:val="24"/>
          <w:szCs w:val="28"/>
          <w:lang w:val="en-US"/>
        </w:rPr>
        <w:t xml:space="preserve"> precursor cells (</w:t>
      </w:r>
      <w:proofErr w:type="spellStart"/>
      <w:r w:rsidRPr="009F784F">
        <w:rPr>
          <w:rFonts w:cs="Times New Roman"/>
          <w:bCs/>
          <w:sz w:val="24"/>
          <w:szCs w:val="28"/>
          <w:lang w:val="en-US"/>
        </w:rPr>
        <w:t>hOPCs</w:t>
      </w:r>
      <w:proofErr w:type="spellEnd"/>
      <w:r w:rsidR="00247C79" w:rsidRPr="009F784F">
        <w:rPr>
          <w:rFonts w:cs="Times New Roman"/>
          <w:bCs/>
          <w:sz w:val="24"/>
          <w:szCs w:val="28"/>
          <w:lang w:val="en-US"/>
        </w:rPr>
        <w:t>)</w:t>
      </w:r>
      <w:r w:rsidRPr="009F784F">
        <w:rPr>
          <w:rFonts w:cs="Times New Roman"/>
          <w:bCs/>
          <w:sz w:val="24"/>
          <w:szCs w:val="28"/>
          <w:lang w:val="en-US"/>
        </w:rPr>
        <w:t xml:space="preserve"> were detached with </w:t>
      </w:r>
      <w:proofErr w:type="spellStart"/>
      <w:r w:rsidRPr="009F784F">
        <w:rPr>
          <w:rFonts w:cs="Times New Roman"/>
          <w:bCs/>
          <w:sz w:val="24"/>
          <w:szCs w:val="28"/>
          <w:lang w:val="en-US"/>
        </w:rPr>
        <w:t>Accutase</w:t>
      </w:r>
      <w:proofErr w:type="spellEnd"/>
      <w:r w:rsidRPr="009F784F">
        <w:rPr>
          <w:rFonts w:cs="Times New Roman"/>
          <w:bCs/>
          <w:sz w:val="24"/>
          <w:szCs w:val="28"/>
          <w:lang w:val="en-US"/>
        </w:rPr>
        <w:t xml:space="preserve"> (Gibco, A11105), centrifuged (300 × g, 5 min), resuspended in media, and filtered through a 20 </w:t>
      </w:r>
      <w:r w:rsidR="00B105DB" w:rsidRPr="00B105DB">
        <w:rPr>
          <w:rFonts w:cs="Times New Roman"/>
          <w:bCs/>
          <w:sz w:val="24"/>
          <w:szCs w:val="28"/>
          <w:lang w:val="en-US"/>
        </w:rPr>
        <w:t>µ</w:t>
      </w:r>
      <w:r w:rsidRPr="009F784F">
        <w:rPr>
          <w:rFonts w:cs="Times New Roman"/>
          <w:bCs/>
          <w:sz w:val="24"/>
          <w:szCs w:val="28"/>
          <w:lang w:val="en-US"/>
        </w:rPr>
        <w:t xml:space="preserve">m mesh as previously </w:t>
      </w:r>
      <w:r w:rsidRPr="009F784F">
        <w:rPr>
          <w:rFonts w:cs="Times New Roman"/>
          <w:bCs/>
          <w:sz w:val="24"/>
          <w:szCs w:val="24"/>
          <w:lang w:val="en-US"/>
        </w:rPr>
        <w:t>reported</w:t>
      </w:r>
      <w:r w:rsidR="00247C79" w:rsidRPr="009F784F">
        <w:rPr>
          <w:rFonts w:cs="Times New Roman"/>
          <w:bCs/>
          <w:sz w:val="24"/>
          <w:szCs w:val="24"/>
          <w:lang w:val="en-US"/>
        </w:rPr>
        <w:t>.</w:t>
      </w:r>
      <w:r w:rsidRPr="009F784F">
        <w:rPr>
          <w:rFonts w:cs="Times New Roman"/>
          <w:color w:val="000000"/>
          <w:sz w:val="24"/>
          <w:szCs w:val="24"/>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4"/>
        </w:rPr>
        <w:instrText xml:space="preserve"> ADDIN EN.CITE </w:instrText>
      </w:r>
      <w:r w:rsidR="00D3137A" w:rsidRPr="009F784F">
        <w:rPr>
          <w:rFonts w:cs="Times New Roman"/>
          <w:color w:val="000000"/>
          <w:sz w:val="24"/>
          <w:szCs w:val="24"/>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4"/>
        </w:rPr>
        <w:instrText xml:space="preserve"> ADDIN EN.CITE.DATA </w:instrText>
      </w:r>
      <w:r w:rsidR="00D3137A" w:rsidRPr="009F784F">
        <w:rPr>
          <w:rFonts w:cs="Times New Roman"/>
          <w:color w:val="000000"/>
          <w:sz w:val="24"/>
          <w:szCs w:val="24"/>
        </w:rPr>
      </w:r>
      <w:r w:rsidR="00D3137A" w:rsidRPr="009F784F">
        <w:rPr>
          <w:rFonts w:cs="Times New Roman"/>
          <w:color w:val="000000"/>
          <w:sz w:val="24"/>
          <w:szCs w:val="24"/>
        </w:rPr>
        <w:fldChar w:fldCharType="end"/>
      </w:r>
      <w:r w:rsidRPr="009F784F">
        <w:rPr>
          <w:rFonts w:cs="Times New Roman"/>
          <w:color w:val="000000"/>
          <w:sz w:val="24"/>
          <w:szCs w:val="24"/>
        </w:rPr>
      </w:r>
      <w:r w:rsidRPr="009F784F">
        <w:rPr>
          <w:rFonts w:cs="Times New Roman"/>
          <w:color w:val="000000"/>
          <w:sz w:val="24"/>
          <w:szCs w:val="24"/>
        </w:rPr>
        <w:fldChar w:fldCharType="separate"/>
      </w:r>
      <w:r w:rsidR="00D3137A" w:rsidRPr="009F784F">
        <w:rPr>
          <w:rFonts w:cs="Times New Roman"/>
          <w:noProof/>
          <w:color w:val="000000"/>
          <w:sz w:val="24"/>
          <w:szCs w:val="24"/>
          <w:vertAlign w:val="superscript"/>
        </w:rPr>
        <w:t>1</w:t>
      </w:r>
      <w:r w:rsidRPr="009F784F">
        <w:rPr>
          <w:rFonts w:cs="Times New Roman"/>
          <w:color w:val="000000"/>
          <w:sz w:val="24"/>
          <w:szCs w:val="24"/>
        </w:rPr>
        <w:fldChar w:fldCharType="end"/>
      </w:r>
      <w:r w:rsidRPr="009F784F">
        <w:rPr>
          <w:rFonts w:cs="Times New Roman"/>
          <w:bCs/>
          <w:sz w:val="24"/>
          <w:szCs w:val="24"/>
          <w:lang w:val="en-US"/>
        </w:rPr>
        <w:t xml:space="preserve"> After washing with FACS buffer (1% BSA, 0</w:t>
      </w:r>
      <w:r w:rsidR="00247C79" w:rsidRPr="009F784F">
        <w:rPr>
          <w:rFonts w:cs="Times New Roman"/>
          <w:bCs/>
          <w:sz w:val="24"/>
          <w:szCs w:val="24"/>
          <w:lang w:val="en-US"/>
        </w:rPr>
        <w:t>·</w:t>
      </w:r>
      <w:r w:rsidRPr="009F784F">
        <w:rPr>
          <w:rFonts w:cs="Times New Roman"/>
          <w:bCs/>
          <w:sz w:val="24"/>
          <w:szCs w:val="24"/>
          <w:lang w:val="en-US"/>
        </w:rPr>
        <w:t xml:space="preserve">01% sodium </w:t>
      </w:r>
      <w:proofErr w:type="spellStart"/>
      <w:r w:rsidRPr="009F784F">
        <w:rPr>
          <w:rFonts w:cs="Times New Roman"/>
          <w:bCs/>
          <w:sz w:val="24"/>
          <w:szCs w:val="24"/>
          <w:lang w:val="en-US"/>
        </w:rPr>
        <w:t>azide</w:t>
      </w:r>
      <w:proofErr w:type="spellEnd"/>
      <w:r w:rsidRPr="009F784F">
        <w:rPr>
          <w:rFonts w:cs="Times New Roman"/>
          <w:bCs/>
          <w:sz w:val="24"/>
          <w:szCs w:val="24"/>
          <w:lang w:val="en-US"/>
        </w:rPr>
        <w:t xml:space="preserve"> in PBS), cells were incubated with</w:t>
      </w:r>
      <w:r w:rsidRPr="009F784F">
        <w:rPr>
          <w:rFonts w:cs="Times New Roman"/>
          <w:sz w:val="24"/>
          <w:szCs w:val="24"/>
        </w:rPr>
        <w:t xml:space="preserve"> </w:t>
      </w:r>
      <w:r w:rsidRPr="009F784F">
        <w:rPr>
          <w:rFonts w:cs="Times New Roman"/>
          <w:bCs/>
          <w:sz w:val="24"/>
          <w:szCs w:val="24"/>
          <w:lang w:val="en-US"/>
        </w:rPr>
        <w:t>antibod</w:t>
      </w:r>
      <w:r w:rsidR="00B105DB">
        <w:rPr>
          <w:rFonts w:cs="Times New Roman"/>
          <w:bCs/>
          <w:sz w:val="24"/>
          <w:szCs w:val="24"/>
          <w:lang w:val="en-US"/>
        </w:rPr>
        <w:t xml:space="preserve">ies </w:t>
      </w:r>
      <w:r w:rsidRPr="009F784F">
        <w:rPr>
          <w:rFonts w:cs="Times New Roman"/>
          <w:sz w:val="24"/>
          <w:szCs w:val="28"/>
        </w:rPr>
        <w:t>for 30 min at 4 °C to label surface (Annexin</w:t>
      </w:r>
      <w:r w:rsidR="00D3137A" w:rsidRPr="009F784F">
        <w:rPr>
          <w:rFonts w:cs="Times New Roman"/>
          <w:sz w:val="24"/>
          <w:szCs w:val="28"/>
        </w:rPr>
        <w:t>–</w:t>
      </w:r>
      <w:r w:rsidRPr="009F784F">
        <w:rPr>
          <w:rFonts w:cs="Times New Roman"/>
          <w:sz w:val="24"/>
          <w:szCs w:val="28"/>
        </w:rPr>
        <w:t>V</w:t>
      </w:r>
      <w:r w:rsidR="00D3137A" w:rsidRPr="009F784F">
        <w:rPr>
          <w:rFonts w:cs="Times New Roman"/>
          <w:sz w:val="24"/>
          <w:szCs w:val="28"/>
        </w:rPr>
        <w:t>–</w:t>
      </w:r>
      <w:r w:rsidRPr="009F784F">
        <w:rPr>
          <w:rFonts w:cs="Times New Roman"/>
          <w:sz w:val="24"/>
          <w:szCs w:val="28"/>
        </w:rPr>
        <w:t>APC</w:t>
      </w:r>
      <w:r w:rsidR="00092007" w:rsidRPr="009F784F">
        <w:rPr>
          <w:rFonts w:cs="Times New Roman"/>
          <w:sz w:val="24"/>
          <w:szCs w:val="28"/>
        </w:rPr>
        <w:t xml:space="preserve">; BD Biosciences, </w:t>
      </w:r>
      <w:r w:rsidR="00DA714F" w:rsidRPr="009F784F">
        <w:rPr>
          <w:rFonts w:cs="Times New Roman"/>
          <w:sz w:val="24"/>
          <w:szCs w:val="28"/>
        </w:rPr>
        <w:t>1</w:t>
      </w:r>
      <w:r w:rsidR="00412A67" w:rsidRPr="009F784F">
        <w:rPr>
          <w:rFonts w:cs="Times New Roman"/>
          <w:sz w:val="24"/>
          <w:szCs w:val="28"/>
        </w:rPr>
        <w:t>:</w:t>
      </w:r>
      <w:r w:rsidR="00DA714F" w:rsidRPr="009F784F">
        <w:rPr>
          <w:rFonts w:cs="Times New Roman"/>
          <w:sz w:val="24"/>
          <w:szCs w:val="28"/>
        </w:rPr>
        <w:t>1000</w:t>
      </w:r>
      <w:r w:rsidRPr="009F784F">
        <w:rPr>
          <w:rFonts w:cs="Times New Roman"/>
          <w:sz w:val="24"/>
          <w:szCs w:val="28"/>
        </w:rPr>
        <w:t>) and intracellular (Caspase</w:t>
      </w:r>
      <w:r w:rsidR="00D3137A" w:rsidRPr="009F784F">
        <w:rPr>
          <w:rFonts w:cs="Times New Roman"/>
          <w:sz w:val="24"/>
          <w:szCs w:val="28"/>
        </w:rPr>
        <w:t>–</w:t>
      </w:r>
      <w:r w:rsidRPr="009F784F">
        <w:rPr>
          <w:rFonts w:cs="Times New Roman"/>
          <w:sz w:val="24"/>
          <w:szCs w:val="28"/>
        </w:rPr>
        <w:t>3</w:t>
      </w:r>
      <w:r w:rsidR="00D3137A" w:rsidRPr="009F784F">
        <w:rPr>
          <w:rFonts w:cs="Times New Roman"/>
          <w:sz w:val="24"/>
          <w:szCs w:val="28"/>
        </w:rPr>
        <w:t>–</w:t>
      </w:r>
      <w:r w:rsidRPr="009F784F">
        <w:rPr>
          <w:rFonts w:cs="Times New Roman"/>
          <w:sz w:val="24"/>
          <w:szCs w:val="28"/>
        </w:rPr>
        <w:t>V450</w:t>
      </w:r>
      <w:r w:rsidR="00092007" w:rsidRPr="009F784F">
        <w:rPr>
          <w:rFonts w:cs="Times New Roman"/>
          <w:sz w:val="24"/>
          <w:szCs w:val="28"/>
        </w:rPr>
        <w:t>;</w:t>
      </w:r>
      <w:bookmarkStart w:id="4" w:name="_Hlk212720176"/>
      <w:r w:rsidR="00092007" w:rsidRPr="009F784F">
        <w:rPr>
          <w:rFonts w:cs="Times New Roman"/>
          <w:sz w:val="24"/>
          <w:szCs w:val="28"/>
        </w:rPr>
        <w:t xml:space="preserve"> BD Biosciences, </w:t>
      </w:r>
      <w:bookmarkEnd w:id="4"/>
      <w:r w:rsidR="00DA714F" w:rsidRPr="009F784F">
        <w:rPr>
          <w:rFonts w:cs="Times New Roman"/>
          <w:sz w:val="24"/>
          <w:szCs w:val="28"/>
        </w:rPr>
        <w:t>1</w:t>
      </w:r>
      <w:r w:rsidR="00412A67" w:rsidRPr="009F784F">
        <w:rPr>
          <w:rFonts w:cs="Times New Roman"/>
          <w:sz w:val="24"/>
          <w:szCs w:val="28"/>
        </w:rPr>
        <w:t>:</w:t>
      </w:r>
      <w:r w:rsidR="00DA714F" w:rsidRPr="009F784F">
        <w:rPr>
          <w:rFonts w:cs="Times New Roman"/>
          <w:sz w:val="24"/>
          <w:szCs w:val="28"/>
        </w:rPr>
        <w:t>1000</w:t>
      </w:r>
      <w:r w:rsidRPr="009F784F">
        <w:rPr>
          <w:rFonts w:cs="Times New Roman"/>
          <w:sz w:val="24"/>
          <w:szCs w:val="28"/>
        </w:rPr>
        <w:t>) markers</w:t>
      </w:r>
      <w:r w:rsidR="00D35252" w:rsidRPr="009F784F">
        <w:rPr>
          <w:rFonts w:cs="Times New Roman"/>
          <w:sz w:val="24"/>
          <w:szCs w:val="28"/>
        </w:rPr>
        <w:t>.</w:t>
      </w:r>
      <w:r w:rsidRPr="009F784F">
        <w:rPr>
          <w:rFonts w:cs="Times New Roman"/>
          <w:sz w:val="24"/>
          <w:szCs w:val="28"/>
          <w:vertAlign w:val="superscript"/>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vertAlign w:val="superscript"/>
        </w:rPr>
        <w:instrText xml:space="preserve"> ADDIN EN.CITE </w:instrText>
      </w:r>
      <w:r w:rsidR="00D3137A" w:rsidRPr="009F784F">
        <w:rPr>
          <w:rFonts w:cs="Times New Roman"/>
          <w:sz w:val="24"/>
          <w:szCs w:val="28"/>
          <w:vertAlign w:val="superscript"/>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vertAlign w:val="superscript"/>
        </w:rPr>
        <w:instrText xml:space="preserve"> ADDIN EN.CITE.DATA </w:instrText>
      </w:r>
      <w:r w:rsidR="00D3137A" w:rsidRPr="009F784F">
        <w:rPr>
          <w:rFonts w:cs="Times New Roman"/>
          <w:sz w:val="24"/>
          <w:szCs w:val="28"/>
          <w:vertAlign w:val="superscript"/>
        </w:rPr>
      </w:r>
      <w:r w:rsidR="00D3137A" w:rsidRPr="009F784F">
        <w:rPr>
          <w:rFonts w:cs="Times New Roman"/>
          <w:sz w:val="24"/>
          <w:szCs w:val="28"/>
          <w:vertAlign w:val="superscript"/>
        </w:rPr>
        <w:fldChar w:fldCharType="end"/>
      </w:r>
      <w:r w:rsidRPr="009F784F">
        <w:rPr>
          <w:rFonts w:cs="Times New Roman"/>
          <w:sz w:val="24"/>
          <w:szCs w:val="28"/>
          <w:vertAlign w:val="superscript"/>
        </w:rPr>
      </w:r>
      <w:r w:rsidRPr="009F784F">
        <w:rPr>
          <w:rFonts w:cs="Times New Roman"/>
          <w:sz w:val="24"/>
          <w:szCs w:val="28"/>
          <w:vertAlign w:val="superscript"/>
        </w:rPr>
        <w:fldChar w:fldCharType="separate"/>
      </w:r>
      <w:r w:rsidR="00D3137A" w:rsidRPr="009F784F">
        <w:rPr>
          <w:rFonts w:cs="Times New Roman"/>
          <w:sz w:val="24"/>
          <w:szCs w:val="28"/>
          <w:vertAlign w:val="superscript"/>
        </w:rPr>
        <w:t>1</w:t>
      </w:r>
      <w:r w:rsidRPr="009F784F">
        <w:rPr>
          <w:rFonts w:cs="Times New Roman"/>
          <w:sz w:val="24"/>
          <w:szCs w:val="28"/>
          <w:vertAlign w:val="superscript"/>
        </w:rPr>
        <w:fldChar w:fldCharType="end"/>
      </w:r>
      <w:r w:rsidRPr="009F784F">
        <w:rPr>
          <w:rFonts w:cs="Times New Roman"/>
          <w:sz w:val="24"/>
          <w:szCs w:val="28"/>
        </w:rPr>
        <w:t xml:space="preserve"> Flow cytometry was performed using a FACS Canto II (BD Biosciences), with data acquired via FACS Diva</w:t>
      </w:r>
      <w:r w:rsidRPr="009F784F">
        <w:rPr>
          <w:rFonts w:cs="Times New Roman"/>
          <w:sz w:val="24"/>
          <w:szCs w:val="24"/>
        </w:rPr>
        <w:t xml:space="preserve"> software and </w:t>
      </w:r>
      <w:r w:rsidR="00B105DB" w:rsidRPr="009F784F">
        <w:rPr>
          <w:rFonts w:cs="Times New Roman"/>
          <w:sz w:val="24"/>
          <w:szCs w:val="24"/>
        </w:rPr>
        <w:t>analysed</w:t>
      </w:r>
      <w:r w:rsidRPr="009F784F">
        <w:rPr>
          <w:rFonts w:cs="Times New Roman"/>
          <w:sz w:val="24"/>
          <w:szCs w:val="28"/>
        </w:rPr>
        <w:t xml:space="preserve"> using </w:t>
      </w:r>
      <w:proofErr w:type="spellStart"/>
      <w:r w:rsidRPr="009F784F">
        <w:rPr>
          <w:rFonts w:cs="Times New Roman"/>
          <w:sz w:val="24"/>
          <w:szCs w:val="28"/>
        </w:rPr>
        <w:t>FlowJo</w:t>
      </w:r>
      <w:proofErr w:type="spellEnd"/>
      <w:r w:rsidRPr="009F784F">
        <w:rPr>
          <w:rFonts w:cs="Times New Roman"/>
          <w:sz w:val="24"/>
          <w:szCs w:val="28"/>
        </w:rPr>
        <w:t xml:space="preserve"> v8</w:t>
      </w:r>
      <w:r w:rsidR="00D35252" w:rsidRPr="009F784F">
        <w:rPr>
          <w:rFonts w:cs="Times New Roman"/>
          <w:sz w:val="24"/>
          <w:szCs w:val="28"/>
        </w:rPr>
        <w:t>·</w:t>
      </w:r>
      <w:r w:rsidRPr="009F784F">
        <w:rPr>
          <w:rFonts w:cs="Times New Roman"/>
          <w:sz w:val="24"/>
          <w:szCs w:val="28"/>
        </w:rPr>
        <w:t>7</w:t>
      </w:r>
      <w:r w:rsidR="00D35252" w:rsidRPr="009F784F">
        <w:rPr>
          <w:rFonts w:cs="Times New Roman"/>
          <w:sz w:val="24"/>
          <w:szCs w:val="28"/>
        </w:rPr>
        <w:t>·</w:t>
      </w:r>
      <w:r w:rsidRPr="009F784F">
        <w:rPr>
          <w:rFonts w:cs="Times New Roman"/>
          <w:sz w:val="24"/>
          <w:szCs w:val="28"/>
        </w:rPr>
        <w:t>3. For each sample, at least 10,000 live cells were collected</w:t>
      </w:r>
      <w:r w:rsidR="007C546F" w:rsidRPr="009F784F">
        <w:rPr>
          <w:rFonts w:cs="Times New Roman"/>
          <w:sz w:val="24"/>
          <w:szCs w:val="28"/>
        </w:rPr>
        <w:t xml:space="preserve"> </w:t>
      </w:r>
      <w:r w:rsidRPr="009F784F">
        <w:rPr>
          <w:rFonts w:cs="Times New Roman"/>
          <w:sz w:val="24"/>
          <w:szCs w:val="28"/>
        </w:rPr>
        <w:t>and live cells were identified using appropriate viability marker (DAPI</w:t>
      </w:r>
      <w:r w:rsidR="00D35252" w:rsidRPr="009F784F">
        <w:rPr>
          <w:rFonts w:cs="Times New Roman"/>
          <w:sz w:val="24"/>
          <w:szCs w:val="28"/>
        </w:rPr>
        <w:t>; Thermo Fisher Scientific</w:t>
      </w:r>
      <w:r w:rsidR="00ED6826" w:rsidRPr="009F784F">
        <w:rPr>
          <w:rFonts w:cs="Times New Roman"/>
          <w:sz w:val="24"/>
          <w:szCs w:val="28"/>
        </w:rPr>
        <w:t>,1</w:t>
      </w:r>
      <w:r w:rsidR="00412A67" w:rsidRPr="009F784F">
        <w:rPr>
          <w:rFonts w:cs="Times New Roman"/>
          <w:sz w:val="24"/>
          <w:szCs w:val="28"/>
        </w:rPr>
        <w:t>:</w:t>
      </w:r>
      <w:r w:rsidR="00ED6826" w:rsidRPr="009F784F">
        <w:rPr>
          <w:rFonts w:cs="Times New Roman"/>
          <w:sz w:val="24"/>
          <w:szCs w:val="28"/>
        </w:rPr>
        <w:t>1000</w:t>
      </w:r>
      <w:r w:rsidRPr="009F784F">
        <w:rPr>
          <w:rFonts w:cs="Times New Roman"/>
          <w:sz w:val="24"/>
          <w:szCs w:val="28"/>
        </w:rPr>
        <w:t xml:space="preserve">). </w:t>
      </w:r>
    </w:p>
    <w:p w14:paraId="6A00B725" w14:textId="18CA7182" w:rsidR="009F0910" w:rsidRPr="009F784F" w:rsidRDefault="009F0910" w:rsidP="00641B58">
      <w:pPr>
        <w:pStyle w:val="Style2"/>
        <w:spacing w:line="480" w:lineRule="auto"/>
        <w:rPr>
          <w:sz w:val="24"/>
          <w:szCs w:val="24"/>
        </w:rPr>
      </w:pPr>
      <w:bookmarkStart w:id="5" w:name="_Toc217294915"/>
      <w:r w:rsidRPr="009F784F">
        <w:rPr>
          <w:sz w:val="24"/>
          <w:szCs w:val="24"/>
        </w:rPr>
        <w:t>Co</w:t>
      </w:r>
      <w:r w:rsidR="00D3137A" w:rsidRPr="009F784F">
        <w:rPr>
          <w:sz w:val="24"/>
          <w:szCs w:val="24"/>
        </w:rPr>
        <w:t>–</w:t>
      </w:r>
      <w:r w:rsidRPr="009F784F">
        <w:rPr>
          <w:sz w:val="24"/>
          <w:szCs w:val="24"/>
        </w:rPr>
        <w:t xml:space="preserve">culture and myelination assays with rat retinal ganglion cells and </w:t>
      </w:r>
      <w:proofErr w:type="spellStart"/>
      <w:r w:rsidRPr="009F784F">
        <w:rPr>
          <w:sz w:val="24"/>
          <w:szCs w:val="24"/>
        </w:rPr>
        <w:t>hESC</w:t>
      </w:r>
      <w:proofErr w:type="spellEnd"/>
      <w:r w:rsidR="00D3137A" w:rsidRPr="009F784F">
        <w:rPr>
          <w:sz w:val="24"/>
          <w:szCs w:val="24"/>
        </w:rPr>
        <w:t>–</w:t>
      </w:r>
      <w:r w:rsidRPr="009F784F">
        <w:rPr>
          <w:sz w:val="24"/>
          <w:szCs w:val="24"/>
        </w:rPr>
        <w:t>derived OPCs</w:t>
      </w:r>
      <w:bookmarkEnd w:id="5"/>
      <w:r w:rsidRPr="009F784F">
        <w:rPr>
          <w:sz w:val="24"/>
          <w:szCs w:val="24"/>
        </w:rPr>
        <w:t xml:space="preserve"> </w:t>
      </w:r>
    </w:p>
    <w:p w14:paraId="387F0140" w14:textId="229382CD" w:rsidR="009F0910" w:rsidRPr="009F784F" w:rsidRDefault="009F0910" w:rsidP="00641B58">
      <w:pPr>
        <w:spacing w:line="480" w:lineRule="auto"/>
        <w:rPr>
          <w:rFonts w:cs="Times New Roman"/>
          <w:sz w:val="24"/>
          <w:szCs w:val="28"/>
          <w:lang w:val="en-US"/>
        </w:rPr>
      </w:pPr>
      <w:r w:rsidRPr="009F784F">
        <w:rPr>
          <w:rFonts w:cs="Times New Roman"/>
          <w:sz w:val="24"/>
          <w:szCs w:val="28"/>
          <w:lang w:val="en-US"/>
        </w:rPr>
        <w:t>Retina were isolated from postnatal day 6 (P6) Sprague</w:t>
      </w:r>
      <w:r w:rsidR="00D3137A" w:rsidRPr="009F784F">
        <w:rPr>
          <w:rFonts w:cs="Times New Roman"/>
          <w:sz w:val="24"/>
          <w:szCs w:val="28"/>
          <w:lang w:val="en-US"/>
        </w:rPr>
        <w:t>–</w:t>
      </w:r>
      <w:r w:rsidRPr="009F784F">
        <w:rPr>
          <w:rFonts w:cs="Times New Roman"/>
          <w:sz w:val="24"/>
          <w:szCs w:val="28"/>
          <w:lang w:val="en-US"/>
        </w:rPr>
        <w:t>Dawley rat pups (AMPREP Animal Ethics Committee #E</w:t>
      </w:r>
      <w:r w:rsidR="00D3137A" w:rsidRPr="009F784F">
        <w:rPr>
          <w:rFonts w:cs="Times New Roman"/>
          <w:sz w:val="24"/>
          <w:szCs w:val="28"/>
          <w:lang w:val="en-US"/>
        </w:rPr>
        <w:t>–</w:t>
      </w:r>
      <w:r w:rsidRPr="009F784F">
        <w:rPr>
          <w:rFonts w:cs="Times New Roman"/>
          <w:sz w:val="24"/>
          <w:szCs w:val="28"/>
          <w:lang w:val="en-US"/>
        </w:rPr>
        <w:t>1602/2015/M) and retinal ganglion cells (RGCs) purified as previously described</w:t>
      </w:r>
      <w:r w:rsidR="00C23D0D" w:rsidRPr="009F784F">
        <w:rPr>
          <w:rFonts w:cs="Times New Roman"/>
          <w:sz w:val="24"/>
          <w:szCs w:val="28"/>
          <w:lang w:val="en-US"/>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sz w:val="24"/>
          <w:szCs w:val="28"/>
          <w:lang w:val="en-US"/>
        </w:rPr>
        <w:t xml:space="preserve"> Pre</w:t>
      </w:r>
      <w:r w:rsidR="00D3137A" w:rsidRPr="009F784F">
        <w:rPr>
          <w:rFonts w:cs="Times New Roman"/>
          <w:sz w:val="24"/>
          <w:szCs w:val="28"/>
          <w:lang w:val="en-US"/>
        </w:rPr>
        <w:t>–</w:t>
      </w:r>
      <w:r w:rsidRPr="009F784F">
        <w:rPr>
          <w:rFonts w:cs="Times New Roman"/>
          <w:sz w:val="24"/>
          <w:szCs w:val="28"/>
          <w:lang w:val="en-US"/>
        </w:rPr>
        <w:t xml:space="preserve">OLs (derived from NG2⁺ </w:t>
      </w:r>
      <w:proofErr w:type="spellStart"/>
      <w:r w:rsidRPr="009F784F">
        <w:rPr>
          <w:rFonts w:cs="Times New Roman"/>
          <w:sz w:val="24"/>
          <w:szCs w:val="28"/>
          <w:lang w:val="en-US"/>
        </w:rPr>
        <w:t>lentivirally</w:t>
      </w:r>
      <w:proofErr w:type="spellEnd"/>
      <w:r w:rsidR="00D3137A" w:rsidRPr="009F784F">
        <w:rPr>
          <w:rFonts w:cs="Times New Roman"/>
          <w:sz w:val="24"/>
          <w:szCs w:val="28"/>
          <w:lang w:val="en-US"/>
        </w:rPr>
        <w:t>–</w:t>
      </w:r>
      <w:r w:rsidRPr="009F784F">
        <w:rPr>
          <w:rFonts w:cs="Times New Roman"/>
          <w:sz w:val="24"/>
          <w:szCs w:val="28"/>
          <w:lang w:val="en-US"/>
        </w:rPr>
        <w:t>transduced MCT8</w:t>
      </w:r>
      <w:r w:rsidR="00D3137A" w:rsidRPr="009F784F">
        <w:rPr>
          <w:rFonts w:cs="Times New Roman"/>
          <w:sz w:val="24"/>
          <w:szCs w:val="28"/>
          <w:lang w:val="en-US"/>
        </w:rPr>
        <w:t>–</w:t>
      </w:r>
      <w:r w:rsidRPr="009F784F">
        <w:rPr>
          <w:rFonts w:cs="Times New Roman"/>
          <w:sz w:val="24"/>
          <w:szCs w:val="28"/>
          <w:lang w:val="en-US"/>
        </w:rPr>
        <w:t>deficient cells) were FACS</w:t>
      </w:r>
      <w:r w:rsidR="00D3137A" w:rsidRPr="009F784F">
        <w:rPr>
          <w:rFonts w:cs="Times New Roman"/>
          <w:sz w:val="24"/>
          <w:szCs w:val="28"/>
          <w:lang w:val="en-US"/>
        </w:rPr>
        <w:t>–</w:t>
      </w:r>
      <w:r w:rsidRPr="009F784F">
        <w:rPr>
          <w:rFonts w:cs="Times New Roman"/>
          <w:sz w:val="24"/>
          <w:szCs w:val="28"/>
          <w:lang w:val="en-US"/>
        </w:rPr>
        <w:t>sorted using</w:t>
      </w:r>
      <w:r w:rsidRPr="009F784F">
        <w:rPr>
          <w:rFonts w:cs="Times New Roman"/>
          <w:sz w:val="24"/>
          <w:szCs w:val="28"/>
        </w:rPr>
        <w:t xml:space="preserve"> </w:t>
      </w:r>
      <w:r w:rsidRPr="009F784F">
        <w:rPr>
          <w:rFonts w:cs="Times New Roman"/>
          <w:sz w:val="24"/>
          <w:szCs w:val="28"/>
          <w:lang w:val="en-US"/>
        </w:rPr>
        <w:t>a BD Influx sorter (BD Biosciences) following O4 antibody</w:t>
      </w:r>
      <w:r w:rsidR="00283666" w:rsidRPr="009F784F">
        <w:rPr>
          <w:rFonts w:cs="Times New Roman"/>
          <w:sz w:val="24"/>
          <w:szCs w:val="28"/>
          <w:lang w:val="en-US"/>
        </w:rPr>
        <w:t xml:space="preserve"> </w:t>
      </w:r>
      <w:r w:rsidR="00C23D0D" w:rsidRPr="009F784F">
        <w:rPr>
          <w:rFonts w:cs="Times New Roman"/>
          <w:sz w:val="24"/>
          <w:szCs w:val="28"/>
          <w:lang w:val="en-US"/>
        </w:rPr>
        <w:t>(O4–PE;</w:t>
      </w:r>
      <w:r w:rsidR="00C23D0D" w:rsidRPr="009F784F">
        <w:rPr>
          <w:rFonts w:cs="Times New Roman"/>
          <w:sz w:val="24"/>
          <w:szCs w:val="28"/>
        </w:rPr>
        <w:t xml:space="preserve"> </w:t>
      </w:r>
      <w:r w:rsidR="00C23D0D" w:rsidRPr="009F784F">
        <w:rPr>
          <w:rFonts w:cs="Times New Roman"/>
          <w:sz w:val="24"/>
          <w:szCs w:val="28"/>
          <w:lang w:val="en-US"/>
        </w:rPr>
        <w:t>R&amp;D Systems)</w:t>
      </w:r>
      <w:r w:rsidRPr="009F784F">
        <w:rPr>
          <w:rFonts w:cs="Times New Roman"/>
          <w:sz w:val="24"/>
          <w:szCs w:val="28"/>
          <w:lang w:val="en-US"/>
        </w:rPr>
        <w:t xml:space="preserve"> labeling</w:t>
      </w:r>
      <w:r w:rsidRPr="009F784F">
        <w:rPr>
          <w:rFonts w:cs="Times New Roman"/>
          <w:sz w:val="24"/>
          <w:szCs w:val="28"/>
        </w:rPr>
        <w:t xml:space="preserve"> as previously described</w:t>
      </w:r>
      <w:r w:rsidR="00F02881" w:rsidRPr="009F784F">
        <w:rPr>
          <w:rFonts w:cs="Times New Roman"/>
          <w:sz w:val="24"/>
          <w:szCs w:val="28"/>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sz w:val="24"/>
          <w:szCs w:val="28"/>
          <w:lang w:val="en-US"/>
        </w:rPr>
        <w:t xml:space="preserve"> Sorted O4⁺ cells were co</w:t>
      </w:r>
      <w:r w:rsidR="00D3137A" w:rsidRPr="009F784F">
        <w:rPr>
          <w:rFonts w:cs="Times New Roman"/>
          <w:sz w:val="24"/>
          <w:szCs w:val="28"/>
          <w:lang w:val="en-US"/>
        </w:rPr>
        <w:t>–</w:t>
      </w:r>
      <w:r w:rsidRPr="009F784F">
        <w:rPr>
          <w:rFonts w:cs="Times New Roman"/>
          <w:sz w:val="24"/>
          <w:szCs w:val="28"/>
          <w:lang w:val="en-US"/>
        </w:rPr>
        <w:t>cultured with RGCs for 7 days in the presence of LT3, DITPA, or both (each at 10 </w:t>
      </w:r>
      <w:proofErr w:type="spellStart"/>
      <w:r w:rsidR="00B105DB">
        <w:rPr>
          <w:rFonts w:cs="Times New Roman"/>
          <w:sz w:val="24"/>
          <w:szCs w:val="28"/>
          <w:lang w:val="en-US"/>
        </w:rPr>
        <w:t>n</w:t>
      </w:r>
      <w:r w:rsidRPr="009F784F">
        <w:rPr>
          <w:rFonts w:cs="Times New Roman"/>
          <w:sz w:val="24"/>
          <w:szCs w:val="28"/>
          <w:lang w:val="en-US"/>
        </w:rPr>
        <w:t>M</w:t>
      </w:r>
      <w:proofErr w:type="spellEnd"/>
      <w:r w:rsidRPr="009F784F">
        <w:rPr>
          <w:rFonts w:cs="Times New Roman"/>
          <w:sz w:val="24"/>
          <w:szCs w:val="28"/>
          <w:lang w:val="en-US"/>
        </w:rPr>
        <w:t>)</w:t>
      </w:r>
      <w:r w:rsidR="00F02881" w:rsidRPr="009F784F">
        <w:rPr>
          <w:rFonts w:cs="Times New Roman"/>
          <w:sz w:val="24"/>
          <w:szCs w:val="28"/>
          <w:lang w:val="en-US"/>
        </w:rPr>
        <w:t>.</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sz w:val="24"/>
          <w:szCs w:val="28"/>
        </w:rPr>
        <w:t xml:space="preserve"> </w:t>
      </w:r>
      <w:r w:rsidRPr="009F784F">
        <w:rPr>
          <w:rFonts w:cs="Times New Roman"/>
          <w:sz w:val="24"/>
          <w:szCs w:val="28"/>
          <w:lang w:val="en-US"/>
        </w:rPr>
        <w:t>All co</w:t>
      </w:r>
      <w:r w:rsidR="00D3137A" w:rsidRPr="009F784F">
        <w:rPr>
          <w:rFonts w:cs="Times New Roman"/>
          <w:sz w:val="24"/>
          <w:szCs w:val="28"/>
          <w:lang w:val="en-US"/>
        </w:rPr>
        <w:t>–</w:t>
      </w:r>
      <w:r w:rsidRPr="009F784F">
        <w:rPr>
          <w:rFonts w:cs="Times New Roman"/>
          <w:sz w:val="24"/>
          <w:szCs w:val="28"/>
          <w:lang w:val="en-US"/>
        </w:rPr>
        <w:t>cultures were fixed with 2% PFA for 10 min at</w:t>
      </w:r>
      <w:r w:rsidR="00283666" w:rsidRPr="009F784F">
        <w:rPr>
          <w:rFonts w:cs="Times New Roman"/>
          <w:sz w:val="24"/>
          <w:szCs w:val="28"/>
          <w:lang w:val="en-US"/>
        </w:rPr>
        <w:t xml:space="preserve"> room temperature</w:t>
      </w:r>
      <w:r w:rsidRPr="009F784F">
        <w:rPr>
          <w:rFonts w:cs="Times New Roman"/>
          <w:sz w:val="24"/>
          <w:szCs w:val="28"/>
          <w:lang w:val="en-US"/>
        </w:rPr>
        <w:t xml:space="preserve"> </w:t>
      </w:r>
      <w:r w:rsidR="00283666" w:rsidRPr="009F784F">
        <w:rPr>
          <w:rFonts w:cs="Times New Roman"/>
          <w:sz w:val="24"/>
          <w:szCs w:val="28"/>
          <w:lang w:val="en-US"/>
        </w:rPr>
        <w:t>(</w:t>
      </w:r>
      <w:r w:rsidRPr="009F784F">
        <w:rPr>
          <w:rFonts w:cs="Times New Roman"/>
          <w:sz w:val="24"/>
          <w:szCs w:val="28"/>
          <w:lang w:val="en-US"/>
        </w:rPr>
        <w:t>RT</w:t>
      </w:r>
      <w:r w:rsidR="00283666" w:rsidRPr="009F784F">
        <w:rPr>
          <w:rFonts w:cs="Times New Roman"/>
          <w:sz w:val="24"/>
          <w:szCs w:val="28"/>
          <w:lang w:val="en-US"/>
        </w:rPr>
        <w:t>; ~24)</w:t>
      </w:r>
      <w:r w:rsidRPr="009F784F">
        <w:rPr>
          <w:rFonts w:cs="Times New Roman"/>
          <w:sz w:val="24"/>
          <w:szCs w:val="28"/>
          <w:lang w:val="en-US"/>
        </w:rPr>
        <w:t xml:space="preserve"> and used for </w:t>
      </w:r>
      <w:r w:rsidR="0096040D" w:rsidRPr="009F784F">
        <w:rPr>
          <w:rFonts w:cs="Times New Roman"/>
          <w:sz w:val="24"/>
          <w:szCs w:val="28"/>
          <w:lang w:val="en-US"/>
        </w:rPr>
        <w:t xml:space="preserve">immunocytochemistry </w:t>
      </w:r>
      <w:r w:rsidR="007D4414" w:rsidRPr="009F784F">
        <w:rPr>
          <w:rFonts w:cs="Times New Roman"/>
          <w:sz w:val="24"/>
          <w:szCs w:val="28"/>
          <w:lang w:val="en-US"/>
        </w:rPr>
        <w:t>s</w:t>
      </w:r>
      <w:r w:rsidR="0096040D" w:rsidRPr="009F784F">
        <w:rPr>
          <w:rFonts w:cs="Times New Roman"/>
          <w:sz w:val="24"/>
          <w:szCs w:val="28"/>
          <w:lang w:val="en-US"/>
        </w:rPr>
        <w:t xml:space="preserve">taining </w:t>
      </w:r>
      <w:r w:rsidR="00114531" w:rsidRPr="009F784F">
        <w:rPr>
          <w:rFonts w:cs="Times New Roman"/>
          <w:sz w:val="24"/>
          <w:szCs w:val="28"/>
          <w:lang w:val="en-US"/>
        </w:rPr>
        <w:t xml:space="preserve"> using </w:t>
      </w:r>
      <w:r w:rsidR="0096040D" w:rsidRPr="009F784F">
        <w:rPr>
          <w:rFonts w:cs="Times New Roman"/>
          <w:sz w:val="24"/>
          <w:szCs w:val="28"/>
          <w:lang w:val="en-US"/>
        </w:rPr>
        <w:t>p</w:t>
      </w:r>
      <w:r w:rsidR="00114531" w:rsidRPr="009F784F">
        <w:rPr>
          <w:rFonts w:cs="Times New Roman"/>
          <w:sz w:val="24"/>
          <w:szCs w:val="28"/>
          <w:lang w:val="en-US"/>
        </w:rPr>
        <w:t xml:space="preserve">rimary and secondary antibodies including:  </w:t>
      </w:r>
      <w:r w:rsidRPr="009F784F">
        <w:rPr>
          <w:rFonts w:cs="Times New Roman"/>
          <w:sz w:val="24"/>
          <w:szCs w:val="28"/>
          <w:lang w:val="en-US"/>
        </w:rPr>
        <w:t xml:space="preserve"> </w:t>
      </w:r>
      <w:r w:rsidR="00114531" w:rsidRPr="009F784F">
        <w:rPr>
          <w:rFonts w:cs="Times New Roman"/>
          <w:sz w:val="24"/>
          <w:szCs w:val="28"/>
          <w:lang w:val="en-US"/>
        </w:rPr>
        <w:t>mouse anti</w:t>
      </w:r>
      <w:r w:rsidR="0096040D" w:rsidRPr="009F784F">
        <w:rPr>
          <w:rFonts w:cs="Times New Roman"/>
          <w:sz w:val="24"/>
          <w:szCs w:val="28"/>
          <w:lang w:val="en-US"/>
        </w:rPr>
        <w:t>–</w:t>
      </w:r>
      <w:r w:rsidR="00114531" w:rsidRPr="009F784F">
        <w:rPr>
          <w:rFonts w:cs="Times New Roman"/>
          <w:sz w:val="24"/>
          <w:szCs w:val="28"/>
          <w:lang w:val="en-US"/>
        </w:rPr>
        <w:t>NF200 (Sigma</w:t>
      </w:r>
      <w:r w:rsidR="0096040D" w:rsidRPr="009F784F">
        <w:rPr>
          <w:rFonts w:cs="Times New Roman"/>
          <w:sz w:val="24"/>
          <w:szCs w:val="28"/>
          <w:lang w:val="en-US"/>
        </w:rPr>
        <w:t>–</w:t>
      </w:r>
      <w:r w:rsidR="00114531" w:rsidRPr="009F784F">
        <w:rPr>
          <w:rFonts w:cs="Times New Roman"/>
          <w:sz w:val="24"/>
          <w:szCs w:val="28"/>
          <w:lang w:val="en-US"/>
        </w:rPr>
        <w:t>Aldrich, 1</w:t>
      </w:r>
      <w:r w:rsidR="00412A67" w:rsidRPr="009F784F">
        <w:rPr>
          <w:rFonts w:cs="Times New Roman"/>
          <w:sz w:val="24"/>
          <w:szCs w:val="28"/>
          <w:lang w:val="en-US"/>
        </w:rPr>
        <w:t>:</w:t>
      </w:r>
      <w:r w:rsidR="00114531" w:rsidRPr="009F784F">
        <w:rPr>
          <w:rFonts w:cs="Times New Roman"/>
          <w:sz w:val="24"/>
          <w:szCs w:val="28"/>
          <w:lang w:val="en-US"/>
        </w:rPr>
        <w:t>400)/</w:t>
      </w:r>
      <w:r w:rsidR="00114531" w:rsidRPr="009F784F">
        <w:rPr>
          <w:rFonts w:cs="Times New Roman"/>
          <w:sz w:val="24"/>
          <w:szCs w:val="28"/>
        </w:rPr>
        <w:t xml:space="preserve"> </w:t>
      </w:r>
      <w:r w:rsidR="00114531" w:rsidRPr="009F784F">
        <w:rPr>
          <w:rFonts w:cs="Times New Roman"/>
          <w:sz w:val="24"/>
          <w:szCs w:val="28"/>
          <w:lang w:val="en-US"/>
        </w:rPr>
        <w:t>goat anti</w:t>
      </w:r>
      <w:r w:rsidR="0096040D" w:rsidRPr="009F784F">
        <w:rPr>
          <w:rFonts w:cs="Times New Roman"/>
          <w:sz w:val="24"/>
          <w:szCs w:val="28"/>
          <w:lang w:val="en-US"/>
        </w:rPr>
        <w:t>–</w:t>
      </w:r>
      <w:r w:rsidR="00114531" w:rsidRPr="009F784F">
        <w:rPr>
          <w:rFonts w:cs="Times New Roman"/>
          <w:sz w:val="24"/>
          <w:szCs w:val="28"/>
          <w:lang w:val="en-US"/>
        </w:rPr>
        <w:t>mouse Alexa Fluor 488 (Invitrogen; 1</w:t>
      </w:r>
      <w:r w:rsidR="00412A67" w:rsidRPr="009F784F">
        <w:rPr>
          <w:rFonts w:cs="Times New Roman"/>
          <w:sz w:val="24"/>
          <w:szCs w:val="28"/>
          <w:lang w:val="en-US"/>
        </w:rPr>
        <w:t>:</w:t>
      </w:r>
      <w:r w:rsidR="00114531" w:rsidRPr="009F784F">
        <w:rPr>
          <w:rFonts w:cs="Times New Roman"/>
          <w:sz w:val="24"/>
          <w:szCs w:val="28"/>
          <w:lang w:val="en-US"/>
        </w:rPr>
        <w:t>200), rabbit anti</w:t>
      </w:r>
      <w:r w:rsidR="0096040D" w:rsidRPr="009F784F">
        <w:rPr>
          <w:rFonts w:cs="Times New Roman"/>
          <w:sz w:val="24"/>
          <w:szCs w:val="28"/>
          <w:lang w:val="en-US"/>
        </w:rPr>
        <w:t>–</w:t>
      </w:r>
      <w:r w:rsidR="00114531" w:rsidRPr="009F784F">
        <w:rPr>
          <w:rFonts w:cs="Times New Roman"/>
          <w:sz w:val="24"/>
          <w:szCs w:val="28"/>
          <w:lang w:val="en-US"/>
        </w:rPr>
        <w:t>MBP (Invitrogen, 1</w:t>
      </w:r>
      <w:r w:rsidR="00412A67" w:rsidRPr="009F784F">
        <w:rPr>
          <w:rFonts w:cs="Times New Roman"/>
          <w:sz w:val="24"/>
          <w:szCs w:val="28"/>
          <w:lang w:val="en-US"/>
        </w:rPr>
        <w:t>:</w:t>
      </w:r>
      <w:r w:rsidR="00114531" w:rsidRPr="009F784F">
        <w:rPr>
          <w:rFonts w:cs="Times New Roman"/>
          <w:sz w:val="24"/>
          <w:szCs w:val="28"/>
          <w:lang w:val="en-US"/>
        </w:rPr>
        <w:t>200)/ goat anti</w:t>
      </w:r>
      <w:r w:rsidR="0096040D" w:rsidRPr="009F784F">
        <w:rPr>
          <w:rFonts w:cs="Times New Roman"/>
          <w:sz w:val="24"/>
          <w:szCs w:val="28"/>
          <w:lang w:val="en-US"/>
        </w:rPr>
        <w:t>–</w:t>
      </w:r>
      <w:r w:rsidR="00114531" w:rsidRPr="009F784F">
        <w:rPr>
          <w:rFonts w:cs="Times New Roman"/>
          <w:sz w:val="24"/>
          <w:szCs w:val="28"/>
          <w:lang w:val="en-US"/>
        </w:rPr>
        <w:t>rabbit Alexa Flour 555 (Invitrogen;1</w:t>
      </w:r>
      <w:r w:rsidR="00412A67" w:rsidRPr="009F784F">
        <w:rPr>
          <w:rFonts w:cs="Times New Roman"/>
          <w:sz w:val="24"/>
          <w:szCs w:val="28"/>
          <w:lang w:val="en-US"/>
        </w:rPr>
        <w:t>:</w:t>
      </w:r>
      <w:r w:rsidR="00114531" w:rsidRPr="009F784F">
        <w:rPr>
          <w:rFonts w:cs="Times New Roman"/>
          <w:sz w:val="24"/>
          <w:szCs w:val="28"/>
          <w:lang w:val="en-US"/>
        </w:rPr>
        <w:t>200)</w:t>
      </w:r>
      <w:r w:rsidR="006C17EC" w:rsidRPr="009F784F">
        <w:rPr>
          <w:rFonts w:cs="Times New Roman"/>
          <w:sz w:val="24"/>
          <w:szCs w:val="28"/>
          <w:lang w:val="en-US"/>
        </w:rPr>
        <w:t xml:space="preserve">, and </w:t>
      </w:r>
      <w:r w:rsidR="006C17EC" w:rsidRPr="009F784F">
        <w:rPr>
          <w:rFonts w:cs="Times New Roman"/>
          <w:sz w:val="24"/>
          <w:szCs w:val="28"/>
        </w:rPr>
        <w:t>DAPI (Thermo Fisher Scientific,1</w:t>
      </w:r>
      <w:r w:rsidR="00412A67" w:rsidRPr="009F784F">
        <w:rPr>
          <w:rFonts w:cs="Times New Roman"/>
          <w:sz w:val="24"/>
          <w:szCs w:val="28"/>
        </w:rPr>
        <w:t>:</w:t>
      </w:r>
      <w:r w:rsidR="006C17EC" w:rsidRPr="009F784F">
        <w:rPr>
          <w:rFonts w:cs="Times New Roman"/>
          <w:sz w:val="24"/>
          <w:szCs w:val="28"/>
        </w:rPr>
        <w:t>1000).</w:t>
      </w:r>
    </w:p>
    <w:p w14:paraId="086F0092" w14:textId="563FFC6A" w:rsidR="00776513" w:rsidRPr="009F784F" w:rsidRDefault="009F0910" w:rsidP="00641B58">
      <w:pPr>
        <w:spacing w:line="480" w:lineRule="auto"/>
        <w:rPr>
          <w:rFonts w:cs="Times New Roman"/>
          <w:sz w:val="24"/>
          <w:szCs w:val="28"/>
        </w:rPr>
      </w:pPr>
      <w:r w:rsidRPr="009F784F">
        <w:rPr>
          <w:rFonts w:cs="Times New Roman"/>
          <w:sz w:val="24"/>
          <w:szCs w:val="28"/>
          <w:lang w:val="en-US"/>
        </w:rPr>
        <w:t xml:space="preserve">To minimize sampling bias, fields were selected in a systematic raster pattern across each coverslip, independent of NF200 or MBP staining, using DAPI to identify regions containing </w:t>
      </w:r>
      <w:r w:rsidRPr="009F784F">
        <w:rPr>
          <w:rFonts w:cs="Times New Roman"/>
          <w:sz w:val="24"/>
          <w:szCs w:val="28"/>
          <w:lang w:val="en-US"/>
        </w:rPr>
        <w:lastRenderedPageBreak/>
        <w:t>cells. Ten non</w:t>
      </w:r>
      <w:r w:rsidR="00D3137A" w:rsidRPr="009F784F">
        <w:rPr>
          <w:rFonts w:cs="Times New Roman"/>
          <w:sz w:val="24"/>
          <w:szCs w:val="28"/>
          <w:lang w:val="en-US"/>
        </w:rPr>
        <w:t>–</w:t>
      </w:r>
      <w:r w:rsidRPr="009F784F">
        <w:rPr>
          <w:rFonts w:cs="Times New Roman"/>
          <w:sz w:val="24"/>
          <w:szCs w:val="28"/>
          <w:lang w:val="en-US"/>
        </w:rPr>
        <w:t>overlapping fields per coverslip (20× objective) were imaged with a Nikon A1 confocal microscope, each acquired as a single</w:t>
      </w:r>
      <w:r w:rsidR="00D3137A" w:rsidRPr="009F784F">
        <w:rPr>
          <w:rFonts w:cs="Times New Roman"/>
          <w:sz w:val="24"/>
          <w:szCs w:val="28"/>
          <w:lang w:val="en-US"/>
        </w:rPr>
        <w:t>–</w:t>
      </w:r>
      <w:r w:rsidRPr="009F784F">
        <w:rPr>
          <w:rFonts w:cs="Times New Roman"/>
          <w:sz w:val="24"/>
          <w:szCs w:val="28"/>
          <w:lang w:val="en-US"/>
        </w:rPr>
        <w:t xml:space="preserve">plane scan. Myelination was quantified as the percentage of NF200⁺ axons in each field that were </w:t>
      </w:r>
      <w:proofErr w:type="spellStart"/>
      <w:r w:rsidRPr="009F784F">
        <w:rPr>
          <w:rFonts w:cs="Times New Roman"/>
          <w:sz w:val="24"/>
          <w:szCs w:val="28"/>
          <w:lang w:val="en-US"/>
        </w:rPr>
        <w:t>ensheathed</w:t>
      </w:r>
      <w:proofErr w:type="spellEnd"/>
      <w:r w:rsidRPr="009F784F">
        <w:rPr>
          <w:rFonts w:cs="Times New Roman"/>
          <w:sz w:val="24"/>
          <w:szCs w:val="28"/>
          <w:lang w:val="en-US"/>
        </w:rPr>
        <w:t xml:space="preserve"> by MBP⁺ myelin internodes. For axons with multiple internodes, each axon was scored as myelinated if at least one MBP⁺ segment was aligned with and wrapped around NF200⁺ axons; axons without any such segments were considered unmyelinated. The myelination index was calculated as: number of NF200⁺ axons with at least one </w:t>
      </w:r>
      <w:proofErr w:type="spellStart"/>
      <w:r w:rsidRPr="009F784F">
        <w:rPr>
          <w:rFonts w:cs="Times New Roman"/>
          <w:sz w:val="24"/>
          <w:szCs w:val="28"/>
          <w:lang w:val="en-US"/>
        </w:rPr>
        <w:t>ensheathing</w:t>
      </w:r>
      <w:proofErr w:type="spellEnd"/>
      <w:r w:rsidRPr="009F784F">
        <w:rPr>
          <w:rFonts w:cs="Times New Roman"/>
          <w:sz w:val="24"/>
          <w:szCs w:val="28"/>
          <w:lang w:val="en-US"/>
        </w:rPr>
        <w:t xml:space="preserve"> MBP⁺ segment </w:t>
      </w:r>
      <w:r w:rsidR="00AF4A30">
        <w:rPr>
          <w:rFonts w:cs="Times New Roman"/>
          <w:sz w:val="24"/>
          <w:szCs w:val="28"/>
          <w:lang w:val="en-US"/>
        </w:rPr>
        <w:t>/</w:t>
      </w:r>
      <w:r w:rsidRPr="009F784F">
        <w:rPr>
          <w:rFonts w:cs="Times New Roman"/>
          <w:sz w:val="24"/>
          <w:szCs w:val="28"/>
          <w:lang w:val="en-US"/>
        </w:rPr>
        <w:t xml:space="preserve"> total NF200⁺ axons × 100</w:t>
      </w:r>
      <w:r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 </w:instrText>
      </w:r>
      <w:r w:rsidR="00D3137A" w:rsidRPr="009F784F">
        <w:rPr>
          <w:rFonts w:cs="Times New Roman"/>
          <w:color w:val="000000"/>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color w:val="000000"/>
          <w:sz w:val="24"/>
          <w:szCs w:val="28"/>
        </w:rPr>
        <w:instrText xml:space="preserve"> ADDIN EN.CITE.DATA </w:instrText>
      </w:r>
      <w:r w:rsidR="00D3137A" w:rsidRPr="009F784F">
        <w:rPr>
          <w:rFonts w:cs="Times New Roman"/>
          <w:color w:val="000000"/>
          <w:sz w:val="24"/>
          <w:szCs w:val="28"/>
        </w:rPr>
      </w:r>
      <w:r w:rsidR="00D3137A" w:rsidRPr="009F784F">
        <w:rPr>
          <w:rFonts w:cs="Times New Roman"/>
          <w:color w:val="000000"/>
          <w:sz w:val="24"/>
          <w:szCs w:val="28"/>
        </w:rPr>
        <w:fldChar w:fldCharType="end"/>
      </w:r>
      <w:r w:rsidRPr="009F784F">
        <w:rPr>
          <w:rFonts w:cs="Times New Roman"/>
          <w:color w:val="000000"/>
          <w:sz w:val="24"/>
          <w:szCs w:val="28"/>
        </w:rPr>
      </w:r>
      <w:r w:rsidRPr="009F784F">
        <w:rPr>
          <w:rFonts w:cs="Times New Roman"/>
          <w:color w:val="000000"/>
          <w:sz w:val="24"/>
          <w:szCs w:val="28"/>
        </w:rPr>
        <w:fldChar w:fldCharType="separate"/>
      </w:r>
      <w:r w:rsidR="00D3137A" w:rsidRPr="009F784F">
        <w:rPr>
          <w:rFonts w:cs="Times New Roman"/>
          <w:noProof/>
          <w:color w:val="000000"/>
          <w:sz w:val="24"/>
          <w:szCs w:val="28"/>
          <w:vertAlign w:val="superscript"/>
        </w:rPr>
        <w:t>1</w:t>
      </w:r>
      <w:r w:rsidRPr="009F784F">
        <w:rPr>
          <w:rFonts w:cs="Times New Roman"/>
          <w:color w:val="000000"/>
          <w:sz w:val="24"/>
          <w:szCs w:val="28"/>
        </w:rPr>
        <w:fldChar w:fldCharType="end"/>
      </w:r>
      <w:r w:rsidRPr="009F784F">
        <w:rPr>
          <w:rFonts w:cs="Times New Roman"/>
          <w:sz w:val="24"/>
          <w:szCs w:val="28"/>
        </w:rPr>
        <w:t>.</w:t>
      </w:r>
    </w:p>
    <w:p w14:paraId="7661B64C" w14:textId="0F09DCF9" w:rsidR="009F0910" w:rsidRPr="009F784F" w:rsidRDefault="009F0910" w:rsidP="00641B58">
      <w:pPr>
        <w:pStyle w:val="Style2"/>
        <w:spacing w:line="480" w:lineRule="auto"/>
        <w:rPr>
          <w:sz w:val="24"/>
          <w:szCs w:val="24"/>
        </w:rPr>
      </w:pPr>
      <w:bookmarkStart w:id="6" w:name="_Toc217294916"/>
      <w:r w:rsidRPr="009F784F">
        <w:rPr>
          <w:sz w:val="24"/>
          <w:szCs w:val="24"/>
        </w:rPr>
        <w:t>Cell viability assessment of OLs following kinase inhibitor treatment</w:t>
      </w:r>
      <w:bookmarkEnd w:id="6"/>
    </w:p>
    <w:p w14:paraId="1D9B6BB6" w14:textId="15FFED0E" w:rsidR="009F0910" w:rsidRPr="009F784F" w:rsidRDefault="009F0910" w:rsidP="00641B58">
      <w:pPr>
        <w:spacing w:line="480" w:lineRule="auto"/>
        <w:rPr>
          <w:rFonts w:cs="Times New Roman"/>
          <w:sz w:val="24"/>
          <w:szCs w:val="28"/>
        </w:rPr>
      </w:pPr>
      <w:r w:rsidRPr="009F784F">
        <w:rPr>
          <w:rFonts w:cs="Times New Roman"/>
          <w:sz w:val="24"/>
          <w:szCs w:val="28"/>
        </w:rPr>
        <w:t>Human embryonic stem cell</w:t>
      </w:r>
      <w:r w:rsidR="00D3137A" w:rsidRPr="009F784F">
        <w:rPr>
          <w:rFonts w:cs="Times New Roman"/>
          <w:sz w:val="24"/>
          <w:szCs w:val="28"/>
        </w:rPr>
        <w:t>–</w:t>
      </w:r>
      <w:r w:rsidRPr="009F784F">
        <w:rPr>
          <w:rFonts w:cs="Times New Roman"/>
          <w:sz w:val="24"/>
          <w:szCs w:val="28"/>
        </w:rPr>
        <w:t>derived OPCs (</w:t>
      </w:r>
      <w:proofErr w:type="spellStart"/>
      <w:r w:rsidRPr="009F784F">
        <w:rPr>
          <w:rFonts w:cs="Times New Roman"/>
          <w:sz w:val="24"/>
          <w:szCs w:val="28"/>
        </w:rPr>
        <w:t>hESC</w:t>
      </w:r>
      <w:proofErr w:type="spellEnd"/>
      <w:r w:rsidR="00D3137A" w:rsidRPr="009F784F">
        <w:rPr>
          <w:rFonts w:cs="Times New Roman"/>
          <w:sz w:val="24"/>
          <w:szCs w:val="28"/>
        </w:rPr>
        <w:t>–</w:t>
      </w:r>
      <w:r w:rsidRPr="009F784F">
        <w:rPr>
          <w:rFonts w:cs="Times New Roman"/>
          <w:sz w:val="24"/>
          <w:szCs w:val="28"/>
        </w:rPr>
        <w:t xml:space="preserve">OPCs) were cultured and differentiated to the </w:t>
      </w:r>
      <w:r w:rsidRPr="009F784F">
        <w:rPr>
          <w:rFonts w:cs="Times New Roman"/>
          <w:color w:val="000000"/>
          <w:sz w:val="24"/>
          <w:szCs w:val="28"/>
        </w:rPr>
        <w:t xml:space="preserve">NG2⁺ stage </w:t>
      </w:r>
      <w:r w:rsidRPr="009F784F">
        <w:rPr>
          <w:rFonts w:cs="Times New Roman"/>
          <w:sz w:val="24"/>
          <w:szCs w:val="28"/>
        </w:rPr>
        <w:t>in 96</w:t>
      </w:r>
      <w:r w:rsidR="00D3137A" w:rsidRPr="009F784F">
        <w:rPr>
          <w:rFonts w:cs="Times New Roman"/>
          <w:sz w:val="24"/>
          <w:szCs w:val="28"/>
        </w:rPr>
        <w:t>–</w:t>
      </w:r>
      <w:r w:rsidRPr="009F784F">
        <w:rPr>
          <w:rFonts w:cs="Times New Roman"/>
          <w:sz w:val="24"/>
          <w:szCs w:val="28"/>
        </w:rPr>
        <w:t>well plates, as previously described</w:t>
      </w:r>
      <w:r w:rsidR="0009683F" w:rsidRPr="009F784F">
        <w:rPr>
          <w:rFonts w:cs="Times New Roman"/>
          <w:sz w:val="24"/>
          <w:szCs w:val="28"/>
        </w:rPr>
        <w:t>.</w:t>
      </w:r>
      <w:r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 </w:instrText>
      </w:r>
      <w:r w:rsidR="00D3137A"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EN.CITE.DATA </w:instrText>
      </w:r>
      <w:r w:rsidR="00D3137A" w:rsidRPr="009F784F">
        <w:rPr>
          <w:rFonts w:cs="Times New Roman"/>
          <w:sz w:val="24"/>
          <w:szCs w:val="28"/>
        </w:rPr>
      </w:r>
      <w:r w:rsidR="00D3137A"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3137A" w:rsidRPr="009F784F">
        <w:rPr>
          <w:rFonts w:cs="Times New Roman"/>
          <w:noProof/>
          <w:sz w:val="24"/>
          <w:szCs w:val="28"/>
          <w:vertAlign w:val="superscript"/>
        </w:rPr>
        <w:t>1</w:t>
      </w:r>
      <w:r w:rsidRPr="009F784F">
        <w:rPr>
          <w:rFonts w:cs="Times New Roman"/>
          <w:sz w:val="24"/>
          <w:szCs w:val="28"/>
        </w:rPr>
        <w:fldChar w:fldCharType="end"/>
      </w:r>
      <w:r w:rsidRPr="009F784F">
        <w:rPr>
          <w:rFonts w:cs="Times New Roman"/>
          <w:sz w:val="24"/>
          <w:szCs w:val="28"/>
        </w:rPr>
        <w:t xml:space="preserve"> Cells were treated with serially diluted kinase inhibitors PI</w:t>
      </w:r>
      <w:r w:rsidR="00D3137A" w:rsidRPr="009F784F">
        <w:rPr>
          <w:rFonts w:cs="Times New Roman"/>
          <w:sz w:val="24"/>
          <w:szCs w:val="28"/>
        </w:rPr>
        <w:t>–</w:t>
      </w:r>
      <w:r w:rsidRPr="009F784F">
        <w:rPr>
          <w:rFonts w:cs="Times New Roman"/>
          <w:sz w:val="24"/>
          <w:szCs w:val="28"/>
        </w:rPr>
        <w:t>103 (</w:t>
      </w:r>
      <w:proofErr w:type="spellStart"/>
      <w:r w:rsidRPr="009F784F">
        <w:rPr>
          <w:rFonts w:cs="Times New Roman"/>
          <w:sz w:val="24"/>
          <w:szCs w:val="28"/>
        </w:rPr>
        <w:t>Selleckchem</w:t>
      </w:r>
      <w:proofErr w:type="spellEnd"/>
      <w:r w:rsidRPr="009F784F">
        <w:rPr>
          <w:rFonts w:cs="Times New Roman"/>
          <w:sz w:val="24"/>
          <w:szCs w:val="28"/>
        </w:rPr>
        <w:t>, S1038), a phosphatidylinositol 3 phosphate kinase (PI3K)</w:t>
      </w:r>
      <w:r w:rsidR="00AF4A30">
        <w:rPr>
          <w:rFonts w:cs="Times New Roman"/>
          <w:sz w:val="24"/>
          <w:szCs w:val="28"/>
        </w:rPr>
        <w:t>/mTOR</w:t>
      </w:r>
      <w:r w:rsidRPr="009F784F">
        <w:rPr>
          <w:rFonts w:cs="Times New Roman"/>
          <w:sz w:val="24"/>
          <w:szCs w:val="28"/>
        </w:rPr>
        <w:t xml:space="preserve"> inhibitor, and RDEA119 (</w:t>
      </w:r>
      <w:proofErr w:type="spellStart"/>
      <w:r w:rsidRPr="009F784F">
        <w:rPr>
          <w:rFonts w:cs="Times New Roman"/>
          <w:sz w:val="24"/>
          <w:szCs w:val="28"/>
        </w:rPr>
        <w:t>Selleckchem</w:t>
      </w:r>
      <w:proofErr w:type="spellEnd"/>
      <w:r w:rsidRPr="009F784F">
        <w:rPr>
          <w:rFonts w:cs="Times New Roman"/>
          <w:sz w:val="24"/>
          <w:szCs w:val="28"/>
        </w:rPr>
        <w:t>, S1089), a mitogen</w:t>
      </w:r>
      <w:r w:rsidR="00D3137A" w:rsidRPr="009F784F">
        <w:rPr>
          <w:rFonts w:cs="Times New Roman"/>
          <w:sz w:val="24"/>
          <w:szCs w:val="28"/>
        </w:rPr>
        <w:t>–</w:t>
      </w:r>
      <w:r w:rsidRPr="009F784F">
        <w:rPr>
          <w:rFonts w:cs="Times New Roman"/>
          <w:sz w:val="24"/>
          <w:szCs w:val="28"/>
        </w:rPr>
        <w:t>activated protein kinase 1,2 (MAPK1,2) inhibitor at concentration range of 0</w:t>
      </w:r>
      <w:r w:rsidR="00D3137A" w:rsidRPr="009F784F">
        <w:rPr>
          <w:rFonts w:cs="Times New Roman"/>
          <w:sz w:val="24"/>
          <w:szCs w:val="28"/>
        </w:rPr>
        <w:t>–</w:t>
      </w:r>
      <w:r w:rsidRPr="009F784F">
        <w:rPr>
          <w:rFonts w:cs="Times New Roman"/>
          <w:sz w:val="24"/>
          <w:szCs w:val="28"/>
        </w:rPr>
        <w:t>320 </w:t>
      </w:r>
      <w:proofErr w:type="spellStart"/>
      <w:r w:rsidRPr="009F784F">
        <w:rPr>
          <w:rFonts w:cs="Times New Roman"/>
          <w:sz w:val="24"/>
          <w:szCs w:val="28"/>
        </w:rPr>
        <w:t>nM</w:t>
      </w:r>
      <w:proofErr w:type="spellEnd"/>
      <w:r w:rsidRPr="009F784F">
        <w:rPr>
          <w:rFonts w:cs="Times New Roman"/>
          <w:sz w:val="24"/>
          <w:szCs w:val="28"/>
        </w:rPr>
        <w:t xml:space="preserve"> ± 10 </w:t>
      </w:r>
      <w:proofErr w:type="spellStart"/>
      <w:r w:rsidRPr="009F784F">
        <w:rPr>
          <w:rFonts w:cs="Times New Roman"/>
          <w:sz w:val="24"/>
          <w:szCs w:val="28"/>
        </w:rPr>
        <w:t>nM</w:t>
      </w:r>
      <w:proofErr w:type="spellEnd"/>
      <w:r w:rsidRPr="009F784F">
        <w:rPr>
          <w:rFonts w:cs="Times New Roman"/>
          <w:sz w:val="24"/>
          <w:szCs w:val="28"/>
        </w:rPr>
        <w:t xml:space="preserve"> DITPA, compared to </w:t>
      </w:r>
      <w:r w:rsidR="00187345" w:rsidRPr="009F784F">
        <w:rPr>
          <w:rFonts w:cs="Times New Roman"/>
          <w:sz w:val="24"/>
          <w:szCs w:val="28"/>
        </w:rPr>
        <w:t xml:space="preserve">dimethyl sulfoxide (DMSO; Sigma–Aldrich, 472301) </w:t>
      </w:r>
      <w:r w:rsidRPr="009F784F">
        <w:rPr>
          <w:rFonts w:cs="Times New Roman"/>
          <w:sz w:val="24"/>
          <w:szCs w:val="28"/>
        </w:rPr>
        <w:t>only. Plates were incubated for 48 h, after which cell viability was assessed using the MTT (</w:t>
      </w:r>
      <w:proofErr w:type="spellStart"/>
      <w:r w:rsidRPr="009F784F">
        <w:rPr>
          <w:rFonts w:cs="Times New Roman"/>
          <w:sz w:val="24"/>
          <w:szCs w:val="28"/>
        </w:rPr>
        <w:t>Methylthiazolyldiphenyl</w:t>
      </w:r>
      <w:proofErr w:type="spellEnd"/>
      <w:r w:rsidR="00D3137A" w:rsidRPr="009F784F">
        <w:rPr>
          <w:rFonts w:cs="Times New Roman"/>
          <w:sz w:val="24"/>
          <w:szCs w:val="28"/>
        </w:rPr>
        <w:t>–</w:t>
      </w:r>
      <w:r w:rsidRPr="009F784F">
        <w:rPr>
          <w:rFonts w:cs="Times New Roman"/>
          <w:sz w:val="24"/>
          <w:szCs w:val="28"/>
        </w:rPr>
        <w:t>tetrazolium bromide) assay (Sigma</w:t>
      </w:r>
      <w:r w:rsidR="00D3137A" w:rsidRPr="009F784F">
        <w:rPr>
          <w:rFonts w:cs="Times New Roman"/>
          <w:sz w:val="24"/>
          <w:szCs w:val="28"/>
        </w:rPr>
        <w:t>–</w:t>
      </w:r>
      <w:r w:rsidRPr="009F784F">
        <w:rPr>
          <w:rFonts w:cs="Times New Roman"/>
          <w:sz w:val="24"/>
          <w:szCs w:val="28"/>
        </w:rPr>
        <w:t>Aldrich, M2128) assay.</w:t>
      </w:r>
    </w:p>
    <w:p w14:paraId="3AD00371" w14:textId="6E5D7252" w:rsidR="009F0910" w:rsidRPr="009F784F" w:rsidRDefault="009F0910" w:rsidP="00641B58">
      <w:pPr>
        <w:pStyle w:val="Style2"/>
        <w:spacing w:line="480" w:lineRule="auto"/>
        <w:rPr>
          <w:sz w:val="24"/>
          <w:szCs w:val="24"/>
        </w:rPr>
      </w:pPr>
      <w:bookmarkStart w:id="7" w:name="_Toc217294917"/>
      <w:r w:rsidRPr="009F784F">
        <w:rPr>
          <w:sz w:val="24"/>
          <w:szCs w:val="24"/>
        </w:rPr>
        <w:t>In vitro evaluation of TH</w:t>
      </w:r>
      <w:r w:rsidR="00D3137A" w:rsidRPr="009F784F">
        <w:rPr>
          <w:sz w:val="24"/>
          <w:szCs w:val="24"/>
        </w:rPr>
        <w:t>–</w:t>
      </w:r>
      <w:r w:rsidRPr="009F784F">
        <w:rPr>
          <w:sz w:val="24"/>
          <w:szCs w:val="24"/>
        </w:rPr>
        <w:t>mimetics on OL differentiation</w:t>
      </w:r>
      <w:bookmarkEnd w:id="7"/>
      <w:r w:rsidR="00187345" w:rsidRPr="009F784F">
        <w:rPr>
          <w:sz w:val="24"/>
          <w:szCs w:val="24"/>
        </w:rPr>
        <w:t xml:space="preserve"> </w:t>
      </w:r>
    </w:p>
    <w:p w14:paraId="5920D8FF" w14:textId="6E85F407" w:rsidR="009F0910" w:rsidRPr="009F784F" w:rsidRDefault="009F0910" w:rsidP="00641B58">
      <w:pPr>
        <w:spacing w:line="480" w:lineRule="auto"/>
        <w:rPr>
          <w:rFonts w:cs="Times New Roman"/>
          <w:sz w:val="24"/>
          <w:szCs w:val="28"/>
        </w:rPr>
      </w:pPr>
      <w:r w:rsidRPr="009F784F">
        <w:rPr>
          <w:rFonts w:cs="Times New Roman"/>
          <w:sz w:val="24"/>
          <w:szCs w:val="28"/>
        </w:rPr>
        <w:t>Mouse Oli</w:t>
      </w:r>
      <w:r w:rsidR="00D3137A" w:rsidRPr="009F784F">
        <w:rPr>
          <w:rFonts w:cs="Times New Roman"/>
          <w:sz w:val="24"/>
          <w:szCs w:val="28"/>
        </w:rPr>
        <w:t>–</w:t>
      </w:r>
      <w:r w:rsidRPr="009F784F">
        <w:rPr>
          <w:rFonts w:cs="Times New Roman"/>
          <w:sz w:val="24"/>
          <w:szCs w:val="28"/>
        </w:rPr>
        <w:t>neu cells (Sigma</w:t>
      </w:r>
      <w:r w:rsidR="00D3137A" w:rsidRPr="009F784F">
        <w:rPr>
          <w:rFonts w:cs="Times New Roman"/>
          <w:sz w:val="24"/>
          <w:szCs w:val="28"/>
        </w:rPr>
        <w:t>–</w:t>
      </w:r>
      <w:r w:rsidRPr="009F784F">
        <w:rPr>
          <w:rFonts w:cs="Times New Roman"/>
          <w:sz w:val="24"/>
          <w:szCs w:val="28"/>
        </w:rPr>
        <w:t>Aldrich, SCC261</w:t>
      </w:r>
      <w:r w:rsidR="006737BC">
        <w:rPr>
          <w:rFonts w:cs="Times New Roman"/>
          <w:sz w:val="24"/>
          <w:szCs w:val="28"/>
        </w:rPr>
        <w:t>; female</w:t>
      </w:r>
      <w:r w:rsidRPr="009F784F">
        <w:rPr>
          <w:rFonts w:cs="Times New Roman"/>
          <w:sz w:val="24"/>
          <w:szCs w:val="28"/>
        </w:rPr>
        <w:t xml:space="preserve">) were cultured according to the manufacturer’s instructions. Drugs were dissolved in </w:t>
      </w:r>
      <w:bookmarkStart w:id="8" w:name="_Hlk212728722"/>
      <w:r w:rsidRPr="009F784F">
        <w:rPr>
          <w:rFonts w:cs="Times New Roman"/>
          <w:sz w:val="24"/>
          <w:szCs w:val="28"/>
        </w:rPr>
        <w:t>DMSO</w:t>
      </w:r>
      <w:bookmarkEnd w:id="8"/>
      <w:r w:rsidR="00187345" w:rsidRPr="009F784F">
        <w:rPr>
          <w:rFonts w:cs="Times New Roman"/>
          <w:sz w:val="24"/>
          <w:szCs w:val="28"/>
        </w:rPr>
        <w:t xml:space="preserve"> (Sigma–Aldrich, 472301) </w:t>
      </w:r>
      <w:r w:rsidRPr="009F784F">
        <w:rPr>
          <w:rFonts w:cs="Times New Roman"/>
          <w:sz w:val="24"/>
          <w:szCs w:val="28"/>
        </w:rPr>
        <w:t xml:space="preserve">then diluted in 10% ethanol in PBS (Sigma, 51976). Cells were treated for 72 h with LKE (lanthionine </w:t>
      </w:r>
      <w:proofErr w:type="spellStart"/>
      <w:r w:rsidRPr="009F784F">
        <w:rPr>
          <w:rFonts w:cs="Times New Roman"/>
          <w:sz w:val="24"/>
          <w:szCs w:val="28"/>
        </w:rPr>
        <w:t>ketimine</w:t>
      </w:r>
      <w:proofErr w:type="spellEnd"/>
      <w:r w:rsidRPr="009F784F">
        <w:rPr>
          <w:rFonts w:cs="Times New Roman"/>
          <w:sz w:val="24"/>
          <w:szCs w:val="28"/>
        </w:rPr>
        <w:t xml:space="preserve"> ester), DITPA (Cayman Chemical, 23299), L</w:t>
      </w:r>
      <w:r w:rsidR="00D3137A" w:rsidRPr="009F784F">
        <w:rPr>
          <w:rFonts w:cs="Times New Roman"/>
          <w:sz w:val="24"/>
          <w:szCs w:val="28"/>
        </w:rPr>
        <w:t>–</w:t>
      </w:r>
      <w:r w:rsidRPr="009F784F">
        <w:rPr>
          <w:rFonts w:cs="Times New Roman"/>
          <w:sz w:val="24"/>
          <w:szCs w:val="28"/>
        </w:rPr>
        <w:t>T3 (Sigma, T2877), or TRIAC (Sigma, T7650) at concentrations ranging from 0 to 1000 </w:t>
      </w:r>
      <w:proofErr w:type="spellStart"/>
      <w:r w:rsidRPr="009F784F">
        <w:rPr>
          <w:rFonts w:cs="Times New Roman"/>
          <w:sz w:val="24"/>
          <w:szCs w:val="28"/>
        </w:rPr>
        <w:t>nM.</w:t>
      </w:r>
      <w:proofErr w:type="spellEnd"/>
      <w:r w:rsidRPr="009F784F">
        <w:rPr>
          <w:rFonts w:cs="Times New Roman"/>
          <w:sz w:val="24"/>
          <w:szCs w:val="28"/>
        </w:rPr>
        <w:t xml:space="preserve"> Cells were cultured in DMEM high</w:t>
      </w:r>
      <w:r w:rsidR="00D3137A" w:rsidRPr="009F784F">
        <w:rPr>
          <w:rFonts w:cs="Times New Roman"/>
          <w:sz w:val="24"/>
          <w:szCs w:val="28"/>
        </w:rPr>
        <w:t>–</w:t>
      </w:r>
      <w:r w:rsidRPr="009F784F">
        <w:rPr>
          <w:rFonts w:cs="Times New Roman"/>
          <w:sz w:val="24"/>
          <w:szCs w:val="28"/>
        </w:rPr>
        <w:t>glucose medium (D5796; Sigma</w:t>
      </w:r>
      <w:r w:rsidR="00D3137A" w:rsidRPr="009F784F">
        <w:rPr>
          <w:rFonts w:cs="Times New Roman"/>
          <w:sz w:val="24"/>
          <w:szCs w:val="28"/>
        </w:rPr>
        <w:t>–</w:t>
      </w:r>
      <w:r w:rsidRPr="009F784F">
        <w:rPr>
          <w:rFonts w:cs="Times New Roman"/>
          <w:sz w:val="24"/>
          <w:szCs w:val="28"/>
        </w:rPr>
        <w:t>Aldrich) supplemented with insulin (10 µg/mL, I9278</w:t>
      </w:r>
      <w:r w:rsidR="00D3137A" w:rsidRPr="009F784F">
        <w:rPr>
          <w:rFonts w:cs="Times New Roman"/>
          <w:sz w:val="24"/>
          <w:szCs w:val="28"/>
        </w:rPr>
        <w:t>–</w:t>
      </w:r>
      <w:r w:rsidRPr="009F784F">
        <w:rPr>
          <w:rFonts w:cs="Times New Roman"/>
          <w:sz w:val="24"/>
          <w:szCs w:val="28"/>
        </w:rPr>
        <w:t>5ML; Sigma), apo</w:t>
      </w:r>
      <w:r w:rsidR="00D3137A" w:rsidRPr="009F784F">
        <w:rPr>
          <w:rFonts w:cs="Times New Roman"/>
          <w:sz w:val="24"/>
          <w:szCs w:val="28"/>
        </w:rPr>
        <w:t>–</w:t>
      </w:r>
      <w:r w:rsidRPr="009F784F">
        <w:rPr>
          <w:rFonts w:cs="Times New Roman"/>
          <w:sz w:val="24"/>
          <w:szCs w:val="28"/>
        </w:rPr>
        <w:t xml:space="preserve">transferrin (10 µg/mL, T4382; Sigma), B27 Supplement (1X, </w:t>
      </w:r>
      <w:r w:rsidRPr="009F784F">
        <w:rPr>
          <w:rFonts w:cs="Times New Roman"/>
          <w:sz w:val="24"/>
          <w:szCs w:val="28"/>
        </w:rPr>
        <w:lastRenderedPageBreak/>
        <w:t xml:space="preserve">17504044; </w:t>
      </w:r>
      <w:proofErr w:type="spellStart"/>
      <w:r w:rsidRPr="009F784F">
        <w:rPr>
          <w:rFonts w:cs="Times New Roman"/>
          <w:sz w:val="24"/>
          <w:szCs w:val="28"/>
        </w:rPr>
        <w:t>ThermoFisher</w:t>
      </w:r>
      <w:proofErr w:type="spellEnd"/>
      <w:r w:rsidRPr="009F784F">
        <w:rPr>
          <w:rFonts w:cs="Times New Roman"/>
          <w:sz w:val="24"/>
          <w:szCs w:val="28"/>
        </w:rPr>
        <w:t xml:space="preserve">), putrescine dihydrochloride (100 µM, P5780; Sigma), progesterone (200 </w:t>
      </w:r>
      <w:proofErr w:type="spellStart"/>
      <w:r w:rsidRPr="009F784F">
        <w:rPr>
          <w:rFonts w:cs="Times New Roman"/>
          <w:sz w:val="24"/>
          <w:szCs w:val="28"/>
        </w:rPr>
        <w:t>nM</w:t>
      </w:r>
      <w:proofErr w:type="spellEnd"/>
      <w:r w:rsidRPr="009F784F">
        <w:rPr>
          <w:rFonts w:cs="Times New Roman"/>
          <w:sz w:val="24"/>
          <w:szCs w:val="28"/>
        </w:rPr>
        <w:t xml:space="preserve">, P0130; Sigma), sodium selenite (220 </w:t>
      </w:r>
      <w:proofErr w:type="spellStart"/>
      <w:r w:rsidRPr="009F784F">
        <w:rPr>
          <w:rFonts w:cs="Times New Roman"/>
          <w:sz w:val="24"/>
          <w:szCs w:val="28"/>
        </w:rPr>
        <w:t>nM</w:t>
      </w:r>
      <w:proofErr w:type="spellEnd"/>
      <w:r w:rsidRPr="009F784F">
        <w:rPr>
          <w:rFonts w:cs="Times New Roman"/>
          <w:sz w:val="24"/>
          <w:szCs w:val="28"/>
        </w:rPr>
        <w:t>, S5261; Sigma), and penicillin</w:t>
      </w:r>
      <w:r w:rsidR="00D3137A" w:rsidRPr="009F784F">
        <w:rPr>
          <w:rFonts w:cs="Times New Roman"/>
          <w:sz w:val="24"/>
          <w:szCs w:val="28"/>
        </w:rPr>
        <w:t>–</w:t>
      </w:r>
      <w:r w:rsidRPr="009F784F">
        <w:rPr>
          <w:rFonts w:cs="Times New Roman"/>
          <w:sz w:val="24"/>
          <w:szCs w:val="28"/>
        </w:rPr>
        <w:t xml:space="preserve">streptomycin (1% final concentration; Sigma). For treatment experiments, cells were maintained in the same base medium lacking </w:t>
      </w:r>
      <w:r w:rsidR="00490EA4" w:rsidRPr="009F784F">
        <w:rPr>
          <w:rFonts w:cs="Times New Roman"/>
          <w:sz w:val="24"/>
          <w:szCs w:val="28"/>
        </w:rPr>
        <w:t>tri-iodothyronine (</w:t>
      </w:r>
      <w:r w:rsidRPr="009F784F">
        <w:rPr>
          <w:rFonts w:cs="Times New Roman"/>
          <w:sz w:val="24"/>
          <w:szCs w:val="28"/>
        </w:rPr>
        <w:t>T3</w:t>
      </w:r>
      <w:r w:rsidR="00490EA4" w:rsidRPr="009F784F">
        <w:rPr>
          <w:rFonts w:cs="Times New Roman"/>
          <w:sz w:val="24"/>
          <w:szCs w:val="28"/>
        </w:rPr>
        <w:t>)</w:t>
      </w:r>
      <w:r w:rsidRPr="009F784F">
        <w:rPr>
          <w:rFonts w:cs="Times New Roman"/>
          <w:sz w:val="24"/>
          <w:szCs w:val="28"/>
        </w:rPr>
        <w:t xml:space="preserve">, </w:t>
      </w:r>
      <w:r w:rsidR="00490EA4" w:rsidRPr="009F784F">
        <w:rPr>
          <w:rFonts w:cs="Times New Roman"/>
          <w:sz w:val="24"/>
          <w:szCs w:val="28"/>
        </w:rPr>
        <w:t>thyroxine (</w:t>
      </w:r>
      <w:r w:rsidRPr="009F784F">
        <w:rPr>
          <w:rFonts w:cs="Times New Roman"/>
          <w:sz w:val="24"/>
          <w:szCs w:val="28"/>
        </w:rPr>
        <w:t>T4</w:t>
      </w:r>
      <w:r w:rsidR="00490EA4" w:rsidRPr="009F784F">
        <w:rPr>
          <w:rFonts w:cs="Times New Roman"/>
          <w:sz w:val="24"/>
          <w:szCs w:val="28"/>
        </w:rPr>
        <w:t>)</w:t>
      </w:r>
      <w:r w:rsidRPr="009F784F">
        <w:rPr>
          <w:rFonts w:cs="Times New Roman"/>
          <w:sz w:val="24"/>
          <w:szCs w:val="28"/>
        </w:rPr>
        <w:t xml:space="preserve">, and </w:t>
      </w:r>
      <w:proofErr w:type="spellStart"/>
      <w:r w:rsidRPr="009F784F">
        <w:rPr>
          <w:rFonts w:cs="Times New Roman"/>
          <w:sz w:val="24"/>
          <w:szCs w:val="28"/>
        </w:rPr>
        <w:t>dibutyryl</w:t>
      </w:r>
      <w:proofErr w:type="spellEnd"/>
      <w:r w:rsidRPr="009F784F">
        <w:rPr>
          <w:rFonts w:cs="Times New Roman"/>
          <w:sz w:val="24"/>
          <w:szCs w:val="28"/>
        </w:rPr>
        <w:t xml:space="preserve"> cAMP, unless otherwise specified.  Following treatment, </w:t>
      </w:r>
      <w:r w:rsidR="009E4F58" w:rsidRPr="009F784F">
        <w:rPr>
          <w:rFonts w:cs="Times New Roman"/>
          <w:sz w:val="24"/>
          <w:szCs w:val="28"/>
        </w:rPr>
        <w:t>Oli–neu cells were detached and stained for flow cytometry. Live/dead discrimination was performed using Zombie Yellow viability dye (</w:t>
      </w:r>
      <w:proofErr w:type="spellStart"/>
      <w:r w:rsidR="009E4F58" w:rsidRPr="009F784F">
        <w:rPr>
          <w:rFonts w:cs="Times New Roman"/>
          <w:sz w:val="24"/>
          <w:szCs w:val="28"/>
        </w:rPr>
        <w:t>BioLegend</w:t>
      </w:r>
      <w:proofErr w:type="spellEnd"/>
      <w:r w:rsidR="009E4F58" w:rsidRPr="009F784F">
        <w:rPr>
          <w:rFonts w:cs="Times New Roman"/>
          <w:sz w:val="24"/>
          <w:szCs w:val="28"/>
        </w:rPr>
        <w:t>, 423103). Cells were then incubated with directly conjugated primary antibodies including</w:t>
      </w:r>
      <w:r w:rsidR="00E55867" w:rsidRPr="009F784F">
        <w:rPr>
          <w:rFonts w:cs="Times New Roman"/>
          <w:sz w:val="24"/>
          <w:szCs w:val="28"/>
        </w:rPr>
        <w:t xml:space="preserve"> BCAS1/NABCA</w:t>
      </w:r>
      <w:r w:rsidR="00E30FE3" w:rsidRPr="009F784F">
        <w:rPr>
          <w:rFonts w:cs="Times New Roman"/>
          <w:sz w:val="24"/>
          <w:szCs w:val="28"/>
        </w:rPr>
        <w:t>–</w:t>
      </w:r>
      <w:r w:rsidR="00E55867" w:rsidRPr="009F784F">
        <w:rPr>
          <w:rFonts w:cs="Times New Roman"/>
          <w:sz w:val="24"/>
          <w:szCs w:val="28"/>
        </w:rPr>
        <w:t>1</w:t>
      </w:r>
      <w:bookmarkStart w:id="9" w:name="_Hlk212729941"/>
      <w:r w:rsidR="00E55867" w:rsidRPr="009F784F">
        <w:rPr>
          <w:rFonts w:cs="Times New Roman"/>
          <w:sz w:val="24"/>
          <w:szCs w:val="28"/>
        </w:rPr>
        <w:t>–</w:t>
      </w:r>
      <w:bookmarkEnd w:id="9"/>
      <w:r w:rsidR="00E55867" w:rsidRPr="009F784F">
        <w:rPr>
          <w:rFonts w:cs="Times New Roman"/>
          <w:sz w:val="24"/>
          <w:szCs w:val="28"/>
        </w:rPr>
        <w:t>Alexa</w:t>
      </w:r>
      <w:r w:rsidR="00E30FE3" w:rsidRPr="009F784F">
        <w:rPr>
          <w:rFonts w:cs="Times New Roman"/>
          <w:sz w:val="24"/>
          <w:szCs w:val="28"/>
        </w:rPr>
        <w:t xml:space="preserve"> F</w:t>
      </w:r>
      <w:r w:rsidR="00E55867" w:rsidRPr="009F784F">
        <w:rPr>
          <w:rFonts w:cs="Times New Roman"/>
          <w:sz w:val="24"/>
          <w:szCs w:val="28"/>
        </w:rPr>
        <w:t>luor 790 (Santa Cruz;1/1000), PDGFRα/CD140a–BV711</w:t>
      </w:r>
      <w:r w:rsidR="00E30FE3" w:rsidRPr="009F784F">
        <w:rPr>
          <w:rFonts w:cs="Times New Roman"/>
          <w:sz w:val="24"/>
          <w:szCs w:val="28"/>
        </w:rPr>
        <w:t xml:space="preserve"> </w:t>
      </w:r>
      <w:r w:rsidR="00E55867" w:rsidRPr="009F784F">
        <w:rPr>
          <w:rFonts w:cs="Times New Roman"/>
          <w:sz w:val="24"/>
          <w:szCs w:val="28"/>
        </w:rPr>
        <w:t>(BD Biosciences;</w:t>
      </w:r>
      <w:r w:rsidR="009E4F58" w:rsidRPr="009F784F">
        <w:rPr>
          <w:rFonts w:cs="Times New Roman"/>
          <w:sz w:val="24"/>
          <w:szCs w:val="28"/>
        </w:rPr>
        <w:t xml:space="preserve"> </w:t>
      </w:r>
      <w:r w:rsidR="00E55867" w:rsidRPr="009F784F">
        <w:rPr>
          <w:rFonts w:cs="Times New Roman"/>
          <w:sz w:val="24"/>
          <w:szCs w:val="28"/>
        </w:rPr>
        <w:t>1</w:t>
      </w:r>
      <w:r w:rsidR="00412A67" w:rsidRPr="009F784F">
        <w:rPr>
          <w:rFonts w:cs="Times New Roman"/>
          <w:sz w:val="24"/>
          <w:szCs w:val="28"/>
        </w:rPr>
        <w:t>:</w:t>
      </w:r>
      <w:r w:rsidR="00E55867" w:rsidRPr="009F784F">
        <w:rPr>
          <w:rFonts w:cs="Times New Roman"/>
          <w:sz w:val="24"/>
          <w:szCs w:val="28"/>
        </w:rPr>
        <w:t>1000), MBP</w:t>
      </w:r>
      <w:bookmarkStart w:id="10" w:name="_Hlk212730203"/>
      <w:r w:rsidR="00E55867" w:rsidRPr="009F784F">
        <w:rPr>
          <w:rFonts w:cs="Times New Roman"/>
          <w:sz w:val="24"/>
          <w:szCs w:val="28"/>
        </w:rPr>
        <w:t>–</w:t>
      </w:r>
      <w:bookmarkEnd w:id="10"/>
      <w:r w:rsidR="00E55867" w:rsidRPr="009F784F">
        <w:rPr>
          <w:rFonts w:cs="Times New Roman"/>
          <w:sz w:val="24"/>
          <w:szCs w:val="28"/>
        </w:rPr>
        <w:t>APC</w:t>
      </w:r>
      <w:r w:rsidR="009E4F58" w:rsidRPr="009F784F">
        <w:rPr>
          <w:rFonts w:cs="Times New Roman"/>
          <w:sz w:val="24"/>
          <w:szCs w:val="28"/>
        </w:rPr>
        <w:t>–</w:t>
      </w:r>
      <w:r w:rsidR="00E55867" w:rsidRPr="009F784F">
        <w:rPr>
          <w:rFonts w:cs="Times New Roman"/>
          <w:sz w:val="24"/>
          <w:szCs w:val="28"/>
        </w:rPr>
        <w:t>CY7 (Novus; 1</w:t>
      </w:r>
      <w:r w:rsidR="00412A67" w:rsidRPr="009F784F">
        <w:rPr>
          <w:rFonts w:cs="Times New Roman"/>
          <w:sz w:val="24"/>
          <w:szCs w:val="28"/>
        </w:rPr>
        <w:t>:</w:t>
      </w:r>
      <w:r w:rsidR="00E55867" w:rsidRPr="009F784F">
        <w:rPr>
          <w:rFonts w:cs="Times New Roman"/>
          <w:sz w:val="24"/>
          <w:szCs w:val="28"/>
        </w:rPr>
        <w:t>1000)</w:t>
      </w:r>
      <w:r w:rsidR="009E4F58" w:rsidRPr="009F784F">
        <w:rPr>
          <w:rFonts w:cs="Times New Roman"/>
          <w:sz w:val="24"/>
          <w:szCs w:val="28"/>
        </w:rPr>
        <w:t>.</w:t>
      </w:r>
      <w:r w:rsidR="00E55867" w:rsidRPr="009F784F">
        <w:rPr>
          <w:rFonts w:cs="Times New Roman"/>
          <w:sz w:val="24"/>
          <w:szCs w:val="28"/>
        </w:rPr>
        <w:t xml:space="preserve"> </w:t>
      </w:r>
      <w:r w:rsidR="009E4F58" w:rsidRPr="009F784F">
        <w:rPr>
          <w:rFonts w:cs="Times New Roman"/>
          <w:sz w:val="24"/>
          <w:szCs w:val="28"/>
        </w:rPr>
        <w:t xml:space="preserve">For </w:t>
      </w:r>
      <w:r w:rsidR="00A91985">
        <w:rPr>
          <w:rFonts w:cs="Times New Roman"/>
          <w:sz w:val="24"/>
          <w:szCs w:val="28"/>
        </w:rPr>
        <w:t>αVβ</w:t>
      </w:r>
      <w:r w:rsidR="00D42E46">
        <w:rPr>
          <w:rFonts w:cs="Times New Roman"/>
          <w:sz w:val="24"/>
          <w:szCs w:val="28"/>
        </w:rPr>
        <w:t xml:space="preserve">3 </w:t>
      </w:r>
      <w:r w:rsidR="00D42E46" w:rsidRPr="009F784F">
        <w:rPr>
          <w:rFonts w:cs="Times New Roman"/>
          <w:sz w:val="24"/>
          <w:szCs w:val="28"/>
        </w:rPr>
        <w:t>integrin</w:t>
      </w:r>
      <w:r w:rsidR="009E4F58" w:rsidRPr="009F784F">
        <w:rPr>
          <w:rFonts w:cs="Times New Roman"/>
          <w:sz w:val="24"/>
          <w:szCs w:val="28"/>
        </w:rPr>
        <w:t xml:space="preserve"> detection, cells were stained with rabbit anti–</w:t>
      </w:r>
      <w:r w:rsidR="00A91985">
        <w:rPr>
          <w:rFonts w:cs="Times New Roman"/>
          <w:sz w:val="24"/>
          <w:szCs w:val="28"/>
        </w:rPr>
        <w:t>αVβ</w:t>
      </w:r>
      <w:r w:rsidR="00D42E46">
        <w:rPr>
          <w:rFonts w:cs="Times New Roman"/>
          <w:sz w:val="24"/>
          <w:szCs w:val="28"/>
        </w:rPr>
        <w:t xml:space="preserve">3 </w:t>
      </w:r>
      <w:r w:rsidR="00D42E46" w:rsidRPr="009F784F">
        <w:rPr>
          <w:rFonts w:cs="Times New Roman"/>
          <w:sz w:val="24"/>
          <w:szCs w:val="28"/>
        </w:rPr>
        <w:t>integrin</w:t>
      </w:r>
      <w:r w:rsidR="009E4F58" w:rsidRPr="009F784F">
        <w:rPr>
          <w:rFonts w:cs="Times New Roman"/>
          <w:sz w:val="24"/>
          <w:szCs w:val="28"/>
        </w:rPr>
        <w:t xml:space="preserve"> (Thermo Fisher Scientific, 1</w:t>
      </w:r>
      <w:r w:rsidR="00412A67" w:rsidRPr="009F784F">
        <w:rPr>
          <w:rFonts w:cs="Times New Roman"/>
          <w:sz w:val="24"/>
          <w:szCs w:val="28"/>
        </w:rPr>
        <w:t>:</w:t>
      </w:r>
      <w:r w:rsidR="009E4F58" w:rsidRPr="009F784F">
        <w:rPr>
          <w:rFonts w:cs="Times New Roman"/>
          <w:sz w:val="24"/>
          <w:szCs w:val="28"/>
        </w:rPr>
        <w:t>1000) followed by goat anti–rabbit Alexa Fluor 647 (Thermo Fisher Scientific, 1</w:t>
      </w:r>
      <w:r w:rsidR="00412A67" w:rsidRPr="009F784F">
        <w:rPr>
          <w:rFonts w:cs="Times New Roman"/>
          <w:sz w:val="24"/>
          <w:szCs w:val="28"/>
        </w:rPr>
        <w:t>:</w:t>
      </w:r>
      <w:r w:rsidR="009E4F58" w:rsidRPr="009F784F">
        <w:rPr>
          <w:rFonts w:cs="Times New Roman"/>
          <w:sz w:val="24"/>
          <w:szCs w:val="28"/>
        </w:rPr>
        <w:t>1000)</w:t>
      </w:r>
      <w:r w:rsidRPr="009F784F">
        <w:rPr>
          <w:rFonts w:cs="Times New Roman"/>
          <w:sz w:val="24"/>
          <w:szCs w:val="28"/>
        </w:rPr>
        <w:t xml:space="preserve">. Data was acquired using a </w:t>
      </w:r>
      <w:proofErr w:type="spellStart"/>
      <w:r w:rsidRPr="009F784F">
        <w:rPr>
          <w:rFonts w:cs="Times New Roman"/>
          <w:sz w:val="24"/>
          <w:szCs w:val="28"/>
        </w:rPr>
        <w:t>Cytek</w:t>
      </w:r>
      <w:proofErr w:type="spellEnd"/>
      <w:r w:rsidRPr="009F784F">
        <w:rPr>
          <w:rFonts w:cs="Times New Roman"/>
          <w:sz w:val="24"/>
          <w:szCs w:val="28"/>
        </w:rPr>
        <w:t xml:space="preserve"> Aurora cytometer with </w:t>
      </w:r>
      <w:proofErr w:type="spellStart"/>
      <w:r w:rsidRPr="009F784F">
        <w:rPr>
          <w:rFonts w:cs="Times New Roman"/>
          <w:sz w:val="24"/>
          <w:szCs w:val="28"/>
        </w:rPr>
        <w:t>SpectroFlo</w:t>
      </w:r>
      <w:proofErr w:type="spellEnd"/>
      <w:r w:rsidRPr="009F784F">
        <w:rPr>
          <w:rFonts w:cs="Times New Roman"/>
          <w:sz w:val="24"/>
          <w:szCs w:val="28"/>
        </w:rPr>
        <w:t xml:space="preserve"> software and </w:t>
      </w:r>
      <w:proofErr w:type="spellStart"/>
      <w:r w:rsidRPr="009F784F">
        <w:rPr>
          <w:rFonts w:cs="Times New Roman"/>
          <w:sz w:val="24"/>
          <w:szCs w:val="28"/>
        </w:rPr>
        <w:t>analyzed</w:t>
      </w:r>
      <w:proofErr w:type="spellEnd"/>
      <w:r w:rsidRPr="009F784F">
        <w:rPr>
          <w:rFonts w:cs="Times New Roman"/>
          <w:sz w:val="24"/>
          <w:szCs w:val="28"/>
        </w:rPr>
        <w:t xml:space="preserve"> in </w:t>
      </w:r>
      <w:proofErr w:type="spellStart"/>
      <w:r w:rsidRPr="009F784F">
        <w:rPr>
          <w:rFonts w:cs="Times New Roman"/>
          <w:sz w:val="24"/>
          <w:szCs w:val="28"/>
        </w:rPr>
        <w:t>FlowJo</w:t>
      </w:r>
      <w:proofErr w:type="spellEnd"/>
      <w:r w:rsidRPr="009F784F">
        <w:rPr>
          <w:rFonts w:cs="Times New Roman"/>
          <w:sz w:val="24"/>
          <w:szCs w:val="28"/>
        </w:rPr>
        <w:t xml:space="preserve"> (v10</w:t>
      </w:r>
      <w:r w:rsidR="00437529" w:rsidRPr="009F784F">
        <w:rPr>
          <w:rFonts w:cs="Times New Roman"/>
          <w:sz w:val="24"/>
          <w:szCs w:val="28"/>
        </w:rPr>
        <w:t>·</w:t>
      </w:r>
      <w:r w:rsidRPr="009F784F">
        <w:rPr>
          <w:rFonts w:cs="Times New Roman"/>
          <w:sz w:val="24"/>
          <w:szCs w:val="28"/>
        </w:rPr>
        <w:t>8).</w:t>
      </w:r>
      <w:r w:rsidR="00E30FE3" w:rsidRPr="009F784F">
        <w:rPr>
          <w:rFonts w:cs="Times New Roman"/>
          <w:sz w:val="24"/>
          <w:szCs w:val="28"/>
        </w:rPr>
        <w:t xml:space="preserve"> </w:t>
      </w:r>
      <w:r w:rsidR="009E4F58" w:rsidRPr="009F784F">
        <w:rPr>
          <w:rFonts w:cs="Times New Roman"/>
          <w:sz w:val="24"/>
          <w:szCs w:val="28"/>
        </w:rPr>
        <w:t xml:space="preserve"> </w:t>
      </w:r>
    </w:p>
    <w:p w14:paraId="73BD9CF2" w14:textId="77777777" w:rsidR="009F0910" w:rsidRPr="009F784F" w:rsidRDefault="009F0910" w:rsidP="00641B58">
      <w:pPr>
        <w:pStyle w:val="Style2"/>
        <w:spacing w:line="480" w:lineRule="auto"/>
        <w:rPr>
          <w:sz w:val="24"/>
          <w:szCs w:val="24"/>
        </w:rPr>
      </w:pPr>
      <w:bookmarkStart w:id="11" w:name="_Toc217294918"/>
      <w:r w:rsidRPr="009F784F">
        <w:rPr>
          <w:sz w:val="24"/>
          <w:szCs w:val="24"/>
        </w:rPr>
        <w:t>ELISA binding assay</w:t>
      </w:r>
      <w:bookmarkEnd w:id="11"/>
      <w:r w:rsidRPr="009F784F" w:rsidDel="00A173B1">
        <w:rPr>
          <w:sz w:val="24"/>
          <w:szCs w:val="24"/>
        </w:rPr>
        <w:t xml:space="preserve"> </w:t>
      </w:r>
    </w:p>
    <w:p w14:paraId="4C3AE866" w14:textId="3900B2B7" w:rsidR="009F0910" w:rsidRPr="009F784F" w:rsidRDefault="009F0910" w:rsidP="00641B58">
      <w:pPr>
        <w:spacing w:line="480" w:lineRule="auto"/>
        <w:rPr>
          <w:rFonts w:cs="Times New Roman"/>
          <w:sz w:val="24"/>
          <w:szCs w:val="28"/>
        </w:rPr>
      </w:pPr>
      <w:r w:rsidRPr="009F784F">
        <w:rPr>
          <w:rFonts w:cs="Times New Roman"/>
          <w:sz w:val="24"/>
          <w:szCs w:val="28"/>
        </w:rPr>
        <w:t>A plate</w:t>
      </w:r>
      <w:r w:rsidR="00D3137A" w:rsidRPr="009F784F">
        <w:rPr>
          <w:rFonts w:cs="Times New Roman"/>
          <w:sz w:val="24"/>
          <w:szCs w:val="28"/>
        </w:rPr>
        <w:t>–</w:t>
      </w:r>
      <w:r w:rsidRPr="009F784F">
        <w:rPr>
          <w:rFonts w:cs="Times New Roman"/>
          <w:sz w:val="24"/>
          <w:szCs w:val="28"/>
        </w:rPr>
        <w:t>based ELISA binding assay kit (ACRO Biosystems, IT3</w:t>
      </w:r>
      <w:r w:rsidR="00D3137A" w:rsidRPr="009F784F">
        <w:rPr>
          <w:rFonts w:cs="Times New Roman"/>
          <w:sz w:val="24"/>
          <w:szCs w:val="28"/>
        </w:rPr>
        <w:t>–</w:t>
      </w:r>
      <w:r w:rsidRPr="009F784F">
        <w:rPr>
          <w:rFonts w:cs="Times New Roman"/>
          <w:sz w:val="24"/>
          <w:szCs w:val="28"/>
        </w:rPr>
        <w:t xml:space="preserve">R52E2) was employed to assess the binding affinity of DITPA (Cayman Chemical, 23299) and </w:t>
      </w:r>
      <w:proofErr w:type="spellStart"/>
      <w:r w:rsidRPr="009F784F">
        <w:rPr>
          <w:rFonts w:cs="Times New Roman"/>
          <w:sz w:val="24"/>
          <w:szCs w:val="28"/>
        </w:rPr>
        <w:t>Cilengitide</w:t>
      </w:r>
      <w:proofErr w:type="spellEnd"/>
      <w:r w:rsidRPr="009F784F">
        <w:rPr>
          <w:rFonts w:cs="Times New Roman"/>
          <w:sz w:val="24"/>
          <w:szCs w:val="28"/>
        </w:rPr>
        <w:t xml:space="preserve"> (Sigma, SML1594) to integrin </w:t>
      </w:r>
      <w:r w:rsidR="00A91985">
        <w:rPr>
          <w:rFonts w:cs="Times New Roman"/>
          <w:sz w:val="24"/>
          <w:szCs w:val="28"/>
        </w:rPr>
        <w:t>αVβ</w:t>
      </w:r>
      <w:r w:rsidR="00CD1F20">
        <w:rPr>
          <w:rFonts w:cs="Times New Roman"/>
          <w:sz w:val="24"/>
          <w:szCs w:val="28"/>
        </w:rPr>
        <w:t xml:space="preserve">3 </w:t>
      </w:r>
      <w:r w:rsidR="00CD1F20" w:rsidRPr="009F784F">
        <w:rPr>
          <w:rFonts w:cs="Times New Roman"/>
          <w:sz w:val="24"/>
          <w:szCs w:val="28"/>
        </w:rPr>
        <w:t>following</w:t>
      </w:r>
      <w:r w:rsidRPr="009F784F">
        <w:rPr>
          <w:rFonts w:cs="Times New Roman"/>
          <w:sz w:val="24"/>
          <w:szCs w:val="28"/>
        </w:rPr>
        <w:t xml:space="preserve"> the manufacture’s protocol. Briefly, test compounds were serially diluted (100–1600 </w:t>
      </w:r>
      <w:proofErr w:type="spellStart"/>
      <w:r w:rsidRPr="009F784F">
        <w:rPr>
          <w:rFonts w:cs="Times New Roman"/>
          <w:sz w:val="24"/>
          <w:szCs w:val="28"/>
        </w:rPr>
        <w:t>nM</w:t>
      </w:r>
      <w:proofErr w:type="spellEnd"/>
      <w:r w:rsidRPr="009F784F">
        <w:rPr>
          <w:rFonts w:cs="Times New Roman"/>
          <w:sz w:val="24"/>
          <w:szCs w:val="28"/>
        </w:rPr>
        <w:t>) and pre</w:t>
      </w:r>
      <w:r w:rsidR="00D3137A" w:rsidRPr="009F784F">
        <w:rPr>
          <w:rFonts w:cs="Times New Roman"/>
          <w:sz w:val="24"/>
          <w:szCs w:val="28"/>
        </w:rPr>
        <w:t>–</w:t>
      </w:r>
      <w:r w:rsidRPr="009F784F">
        <w:rPr>
          <w:rFonts w:cs="Times New Roman"/>
          <w:sz w:val="24"/>
          <w:szCs w:val="28"/>
        </w:rPr>
        <w:t xml:space="preserve">incubated with recombinant rat integrin </w:t>
      </w:r>
      <w:r w:rsidR="00A91985">
        <w:rPr>
          <w:rFonts w:cs="Times New Roman"/>
          <w:sz w:val="24"/>
          <w:szCs w:val="28"/>
        </w:rPr>
        <w:t>αVβ</w:t>
      </w:r>
      <w:r w:rsidR="00CD1F20">
        <w:rPr>
          <w:rFonts w:cs="Times New Roman"/>
          <w:sz w:val="24"/>
          <w:szCs w:val="28"/>
        </w:rPr>
        <w:t xml:space="preserve">3 </w:t>
      </w:r>
      <w:r w:rsidR="00CD1F20" w:rsidRPr="009F784F">
        <w:rPr>
          <w:rFonts w:cs="Times New Roman"/>
          <w:sz w:val="24"/>
          <w:szCs w:val="28"/>
        </w:rPr>
        <w:t>(</w:t>
      </w:r>
      <w:r w:rsidRPr="009F784F">
        <w:rPr>
          <w:rFonts w:cs="Times New Roman"/>
          <w:sz w:val="24"/>
          <w:szCs w:val="28"/>
        </w:rPr>
        <w:t>0</w:t>
      </w:r>
      <w:r w:rsidR="00437529" w:rsidRPr="009F784F">
        <w:rPr>
          <w:rFonts w:cs="Times New Roman"/>
          <w:sz w:val="24"/>
          <w:szCs w:val="28"/>
        </w:rPr>
        <w:t>·</w:t>
      </w:r>
      <w:r w:rsidRPr="009F784F">
        <w:rPr>
          <w:rFonts w:cs="Times New Roman"/>
          <w:sz w:val="24"/>
          <w:szCs w:val="28"/>
        </w:rPr>
        <w:t>5–16 µg/mL) at 37°C for 40 min. Following centrifugation (20,000 × g, 10 min), 100 µL of the supernatant was transferred to 96</w:t>
      </w:r>
      <w:r w:rsidR="00D3137A" w:rsidRPr="009F784F">
        <w:rPr>
          <w:rFonts w:cs="Times New Roman"/>
          <w:sz w:val="24"/>
          <w:szCs w:val="28"/>
        </w:rPr>
        <w:t>–</w:t>
      </w:r>
      <w:r w:rsidRPr="009F784F">
        <w:rPr>
          <w:rFonts w:cs="Times New Roman"/>
          <w:sz w:val="24"/>
          <w:szCs w:val="28"/>
        </w:rPr>
        <w:t>well plates pre</w:t>
      </w:r>
      <w:r w:rsidR="00D3137A" w:rsidRPr="009F784F">
        <w:rPr>
          <w:rFonts w:cs="Times New Roman"/>
          <w:sz w:val="24"/>
          <w:szCs w:val="28"/>
        </w:rPr>
        <w:t>–</w:t>
      </w:r>
      <w:r w:rsidRPr="009F784F">
        <w:rPr>
          <w:rFonts w:cs="Times New Roman"/>
          <w:sz w:val="24"/>
          <w:szCs w:val="28"/>
        </w:rPr>
        <w:t>coated with human vitronectin and incubated for 1 h at 37°C.  Plates were subsequently washed and blocked, then processed for detection using a His</w:t>
      </w:r>
      <w:r w:rsidR="00D3137A" w:rsidRPr="009F784F">
        <w:rPr>
          <w:rFonts w:cs="Times New Roman"/>
          <w:sz w:val="24"/>
          <w:szCs w:val="28"/>
        </w:rPr>
        <w:t>–</w:t>
      </w:r>
      <w:r w:rsidRPr="009F784F">
        <w:rPr>
          <w:rFonts w:cs="Times New Roman"/>
          <w:sz w:val="24"/>
          <w:szCs w:val="28"/>
        </w:rPr>
        <w:t>tag HRP</w:t>
      </w:r>
      <w:r w:rsidR="00D3137A" w:rsidRPr="009F784F">
        <w:rPr>
          <w:rFonts w:cs="Times New Roman"/>
          <w:sz w:val="24"/>
          <w:szCs w:val="28"/>
        </w:rPr>
        <w:t>–</w:t>
      </w:r>
      <w:r w:rsidRPr="009F784F">
        <w:rPr>
          <w:rFonts w:cs="Times New Roman"/>
          <w:sz w:val="24"/>
          <w:szCs w:val="28"/>
        </w:rPr>
        <w:t xml:space="preserve">conjugated antibody and TMB substrate. The reaction was stopped with 1 M H₂SO₄, and absorbance was measured at 450 nm using a </w:t>
      </w:r>
      <w:proofErr w:type="spellStart"/>
      <w:r w:rsidRPr="009F784F">
        <w:rPr>
          <w:rFonts w:cs="Times New Roman"/>
          <w:sz w:val="24"/>
          <w:szCs w:val="28"/>
        </w:rPr>
        <w:t>FlexA</w:t>
      </w:r>
      <w:proofErr w:type="spellEnd"/>
      <w:r w:rsidR="00D3137A" w:rsidRPr="009F784F">
        <w:rPr>
          <w:rFonts w:cs="Times New Roman"/>
          <w:sz w:val="24"/>
          <w:szCs w:val="28"/>
        </w:rPr>
        <w:t>–</w:t>
      </w:r>
      <w:r w:rsidRPr="009F784F">
        <w:rPr>
          <w:rFonts w:cs="Times New Roman"/>
          <w:sz w:val="24"/>
          <w:szCs w:val="28"/>
        </w:rPr>
        <w:t>200 microplate reader.</w:t>
      </w:r>
    </w:p>
    <w:p w14:paraId="5C3B4415" w14:textId="6A563D0B" w:rsidR="00985787" w:rsidRPr="009F784F" w:rsidRDefault="00985787" w:rsidP="00641B58">
      <w:pPr>
        <w:pStyle w:val="Style2"/>
        <w:spacing w:line="480" w:lineRule="auto"/>
        <w:rPr>
          <w:sz w:val="24"/>
          <w:szCs w:val="24"/>
        </w:rPr>
      </w:pPr>
      <w:bookmarkStart w:id="12" w:name="_Toc217294919"/>
      <w:r w:rsidRPr="009F784F">
        <w:rPr>
          <w:sz w:val="24"/>
          <w:szCs w:val="24"/>
        </w:rPr>
        <w:lastRenderedPageBreak/>
        <w:t>Animal</w:t>
      </w:r>
      <w:r w:rsidR="008C7325" w:rsidRPr="009F784F">
        <w:rPr>
          <w:sz w:val="24"/>
          <w:szCs w:val="24"/>
        </w:rPr>
        <w:t xml:space="preserve"> breeding</w:t>
      </w:r>
      <w:bookmarkEnd w:id="12"/>
    </w:p>
    <w:p w14:paraId="39733E06" w14:textId="0A51ED4F" w:rsidR="00985787" w:rsidRPr="009F784F" w:rsidRDefault="00985787" w:rsidP="00641B58">
      <w:pPr>
        <w:spacing w:line="480" w:lineRule="auto"/>
        <w:rPr>
          <w:rFonts w:cs="Times New Roman"/>
          <w:sz w:val="24"/>
          <w:szCs w:val="28"/>
        </w:rPr>
      </w:pPr>
      <w:r w:rsidRPr="009F784F">
        <w:rPr>
          <w:rFonts w:cs="Times New Roman"/>
          <w:sz w:val="24"/>
          <w:szCs w:val="28"/>
        </w:rPr>
        <w:t>Animal research studies were approved by the Monash University AMREP (</w:t>
      </w:r>
      <w:r w:rsidRPr="009F784F">
        <w:rPr>
          <w:rFonts w:cs="Times New Roman"/>
          <w:sz w:val="24"/>
          <w:szCs w:val="28"/>
          <w:lang w:val="en-US"/>
        </w:rPr>
        <w:t>E/1532/2015/M; E/1602/2015/M; E/8296/2022/M</w:t>
      </w:r>
      <w:r w:rsidRPr="009F784F">
        <w:rPr>
          <w:rFonts w:cs="Times New Roman"/>
          <w:sz w:val="24"/>
          <w:szCs w:val="28"/>
        </w:rPr>
        <w:t xml:space="preserve">), and the </w:t>
      </w:r>
      <w:r w:rsidRPr="009F784F">
        <w:rPr>
          <w:rFonts w:cs="Times New Roman"/>
          <w:sz w:val="24"/>
          <w:szCs w:val="28"/>
          <w:lang w:val="en-US"/>
        </w:rPr>
        <w:t xml:space="preserve">UTAS (A0016151; A0016152; </w:t>
      </w:r>
      <w:r w:rsidRPr="009F784F">
        <w:rPr>
          <w:rFonts w:cs="Times New Roman"/>
          <w:sz w:val="24"/>
          <w:szCs w:val="28"/>
        </w:rPr>
        <w:t>28221</w:t>
      </w:r>
      <w:r w:rsidRPr="009F784F">
        <w:rPr>
          <w:rFonts w:cs="Times New Roman"/>
          <w:sz w:val="24"/>
          <w:szCs w:val="28"/>
          <w:lang w:val="en-US"/>
        </w:rPr>
        <w:t xml:space="preserve">) animal ethics committees.  </w:t>
      </w:r>
      <w:r w:rsidRPr="009F784F">
        <w:rPr>
          <w:rFonts w:cs="Times New Roman"/>
          <w:sz w:val="24"/>
          <w:szCs w:val="28"/>
        </w:rPr>
        <w:t xml:space="preserve">All experiments were conducted according to National Health and Medical Research Committee (NHMRC) code for the care and use of animals for scientific purposes 2013.  Our research was compliant with the Victorian Cruelty to Animals Act 1986 and is reported in accordance with the ARRIVE (Animal Research Reporting of In Vivo Experiments) 2.0 updated guidelines </w:t>
      </w:r>
      <w:r w:rsidRPr="009F784F">
        <w:rPr>
          <w:rFonts w:cs="Times New Roman"/>
          <w:sz w:val="24"/>
          <w:szCs w:val="28"/>
        </w:rPr>
        <w:fldChar w:fldCharType="begin"/>
      </w:r>
      <w:r w:rsidR="00D3137A" w:rsidRPr="009F784F">
        <w:rPr>
          <w:rFonts w:cs="Times New Roman"/>
          <w:sz w:val="24"/>
          <w:szCs w:val="28"/>
        </w:rPr>
        <w:instrText xml:space="preserve"> ADDIN EN.CITE &lt;EndNote&gt;&lt;Cite&gt;&lt;Author&gt;Percie du Sert&lt;/Author&gt;&lt;Year&gt;2020&lt;/Year&gt;&lt;RecNum&gt;661&lt;/RecNum&gt;&lt;DisplayText&gt;&lt;style face="superscript"&gt;6&lt;/style&gt;&lt;/DisplayText&gt;&lt;record&gt;&lt;rec-number&gt;661&lt;/rec-number&gt;&lt;foreign-keys&gt;&lt;key app="EN" db-id="05xad0tf15f9weepssy5td09frpw0wxe5vfa" timestamp="1743994149"&gt;661&lt;/key&gt;&lt;/foreign-keys&gt;&lt;ref-type name="Journal Article"&gt;17&lt;/ref-type&gt;&lt;contributors&gt;&lt;authors&gt;&lt;author&gt;Percie du Sert, Nathalie&lt;/author&gt;&lt;author&gt;Ahluwalia, Amrita&lt;/author&gt;&lt;author&gt;Alam, Sabina&lt;/author&gt;&lt;author&gt;Avey, Marc T.&lt;/author&gt;&lt;author&gt;Baker, Monya&lt;/author&gt;&lt;author&gt;Browne, William J.&lt;/author&gt;&lt;author&gt;Clark, Alejandra&lt;/author&gt;&lt;author&gt;Cuthill, Innes C.&lt;/author&gt;&lt;author&gt;Dirnagl, Ulrich&lt;/author&gt;&lt;author&gt;Emerson, Michael&lt;/author&gt;&lt;author&gt;Garner, Paul&lt;/author&gt;&lt;author&gt;Holgate, Stephen T.&lt;/author&gt;&lt;author&gt;Howells, David W.&lt;/author&gt;&lt;author&gt;Hurst, Viki&lt;/author&gt;&lt;author&gt;Karp, Natasha A.&lt;/author&gt;&lt;author&gt;Lazic, Stanley E.&lt;/author&gt;&lt;author&gt;Lidster, Katie&lt;/author&gt;&lt;author&gt;MacCallum, Catriona J.&lt;/author&gt;&lt;author&gt;Macleod, Malcolm&lt;/author&gt;&lt;author&gt;Pearl, Esther J.&lt;/author&gt;&lt;author&gt;Petersen, Ole H.&lt;/author&gt;&lt;author&gt;Rawle, Frances&lt;/author&gt;&lt;author&gt;Reynolds, Penny&lt;/author&gt;&lt;author&gt;Rooney, Kieron&lt;/author&gt;&lt;author&gt;Sena, Emily S.&lt;/author&gt;&lt;author&gt;Silberberg, Shai D.&lt;/author&gt;&lt;author&gt;Steckler, Thomas&lt;/author&gt;&lt;author&gt;Würbel, Hanno&lt;/author&gt;&lt;/authors&gt;&lt;/contributors&gt;&lt;titles&gt;&lt;title&gt;Reporting animal research: Explanation and elaboration for the ARRIVE guidelines 2.0&lt;/title&gt;&lt;secondary-title&gt;PLOS Biology&lt;/secondary-title&gt;&lt;/titles&gt;&lt;pages&gt;e3000411&lt;/pages&gt;&lt;volume&gt;18&lt;/volume&gt;&lt;number&gt;7&lt;/number&gt;&lt;dates&gt;&lt;year&gt;2020&lt;/year&gt;&lt;/dates&gt;&lt;publisher&gt;Public Library of Science&lt;/publisher&gt;&lt;urls&gt;&lt;related-urls&gt;&lt;url&gt;https://doi.org/10.1371/journal.pbio.3000411&lt;/url&gt;&lt;/related-urls&gt;&lt;/urls&gt;&lt;electronic-resource-num&gt;10.1371/journal.pbio.3000411&lt;/electronic-resource-num&gt;&lt;/record&gt;&lt;/Cite&gt;&lt;/EndNote&gt;</w:instrText>
      </w:r>
      <w:r w:rsidRPr="009F784F">
        <w:rPr>
          <w:rFonts w:cs="Times New Roman"/>
          <w:sz w:val="24"/>
          <w:szCs w:val="28"/>
        </w:rPr>
        <w:fldChar w:fldCharType="separate"/>
      </w:r>
      <w:r w:rsidR="00D3137A" w:rsidRPr="009F784F">
        <w:rPr>
          <w:rFonts w:cs="Times New Roman"/>
          <w:noProof/>
          <w:sz w:val="24"/>
          <w:szCs w:val="28"/>
          <w:vertAlign w:val="superscript"/>
        </w:rPr>
        <w:t>6</w:t>
      </w:r>
      <w:r w:rsidRPr="009F784F">
        <w:rPr>
          <w:rFonts w:cs="Times New Roman"/>
          <w:sz w:val="24"/>
          <w:szCs w:val="28"/>
        </w:rPr>
        <w:fldChar w:fldCharType="end"/>
      </w:r>
      <w:r w:rsidRPr="009F784F">
        <w:rPr>
          <w:rFonts w:cs="Times New Roman"/>
          <w:sz w:val="24"/>
          <w:szCs w:val="28"/>
        </w:rPr>
        <w:t>.</w:t>
      </w:r>
      <w:r w:rsidR="008C7325" w:rsidRPr="009F784F">
        <w:rPr>
          <w:rFonts w:cs="Times New Roman"/>
          <w:sz w:val="24"/>
          <w:szCs w:val="28"/>
        </w:rPr>
        <w:t xml:space="preserve"> </w:t>
      </w:r>
      <w:r w:rsidRPr="009F784F">
        <w:rPr>
          <w:rFonts w:cs="Times New Roman"/>
          <w:sz w:val="24"/>
          <w:szCs w:val="28"/>
          <w:lang w:val="en-US"/>
        </w:rPr>
        <w:t>All mice were maintained on a 12</w:t>
      </w:r>
      <w:r w:rsidR="00D3137A" w:rsidRPr="009F784F">
        <w:rPr>
          <w:rFonts w:cs="Times New Roman"/>
          <w:sz w:val="24"/>
          <w:szCs w:val="28"/>
          <w:lang w:val="en-US"/>
        </w:rPr>
        <w:t>–</w:t>
      </w:r>
      <w:r w:rsidRPr="009F784F">
        <w:rPr>
          <w:rFonts w:cs="Times New Roman"/>
          <w:sz w:val="24"/>
          <w:szCs w:val="28"/>
          <w:lang w:val="en-US"/>
        </w:rPr>
        <w:t>hour light</w:t>
      </w:r>
      <w:r w:rsidR="00D3137A" w:rsidRPr="009F784F">
        <w:rPr>
          <w:rFonts w:cs="Times New Roman"/>
          <w:sz w:val="24"/>
          <w:szCs w:val="28"/>
          <w:lang w:val="en-US"/>
        </w:rPr>
        <w:t>–</w:t>
      </w:r>
      <w:r w:rsidRPr="009F784F">
        <w:rPr>
          <w:rFonts w:cs="Times New Roman"/>
          <w:sz w:val="24"/>
          <w:szCs w:val="28"/>
          <w:lang w:val="en-US"/>
        </w:rPr>
        <w:t>dark cycle at a controlled temperature (21</w:t>
      </w:r>
      <w:proofErr w:type="spellStart"/>
      <w:r w:rsidRPr="009F784F">
        <w:rPr>
          <w:rFonts w:cs="Times New Roman"/>
          <w:sz w:val="24"/>
          <w:szCs w:val="28"/>
          <w:vertAlign w:val="superscript"/>
        </w:rPr>
        <w:t>o</w:t>
      </w:r>
      <w:r w:rsidRPr="009F784F">
        <w:rPr>
          <w:rFonts w:cs="Times New Roman"/>
          <w:sz w:val="24"/>
          <w:szCs w:val="28"/>
        </w:rPr>
        <w:t>C</w:t>
      </w:r>
      <w:proofErr w:type="spellEnd"/>
      <w:r w:rsidRPr="009F784F">
        <w:rPr>
          <w:rFonts w:cs="Times New Roman"/>
          <w:sz w:val="24"/>
          <w:szCs w:val="28"/>
        </w:rPr>
        <w:t>)</w:t>
      </w:r>
      <w:r w:rsidRPr="009F784F">
        <w:rPr>
          <w:rFonts w:cs="Times New Roman"/>
          <w:sz w:val="24"/>
          <w:szCs w:val="28"/>
          <w:lang w:val="en-US"/>
        </w:rPr>
        <w:t xml:space="preserve">, provided </w:t>
      </w:r>
      <w:r w:rsidRPr="009F784F">
        <w:rPr>
          <w:rFonts w:cs="Times New Roman"/>
          <w:i/>
          <w:iCs/>
          <w:sz w:val="24"/>
          <w:szCs w:val="28"/>
          <w:lang w:val="en-US"/>
        </w:rPr>
        <w:t>ad libitum</w:t>
      </w:r>
      <w:r w:rsidRPr="009F784F">
        <w:rPr>
          <w:rFonts w:cs="Times New Roman"/>
          <w:sz w:val="24"/>
          <w:szCs w:val="28"/>
          <w:lang w:val="en-US"/>
        </w:rPr>
        <w:t xml:space="preserve"> access to food and water, and acclimated to the research facility for a minimum of 7 days prior to experimentation.  </w:t>
      </w:r>
    </w:p>
    <w:p w14:paraId="3DA7990D" w14:textId="77777777" w:rsidR="007141F7" w:rsidRPr="009F784F" w:rsidRDefault="007141F7" w:rsidP="00641B58">
      <w:pPr>
        <w:pStyle w:val="Style2"/>
        <w:spacing w:line="480" w:lineRule="auto"/>
        <w:rPr>
          <w:sz w:val="24"/>
          <w:szCs w:val="24"/>
        </w:rPr>
      </w:pPr>
      <w:bookmarkStart w:id="13" w:name="_Toc217294920"/>
      <w:r w:rsidRPr="009F784F">
        <w:rPr>
          <w:sz w:val="24"/>
          <w:szCs w:val="24"/>
        </w:rPr>
        <w:t>EAE Induction</w:t>
      </w:r>
      <w:bookmarkEnd w:id="13"/>
    </w:p>
    <w:p w14:paraId="61A7666E" w14:textId="46B5F09F" w:rsidR="007141F7" w:rsidRPr="009F784F" w:rsidRDefault="00752084" w:rsidP="00641B58">
      <w:pPr>
        <w:spacing w:line="480" w:lineRule="auto"/>
        <w:rPr>
          <w:rFonts w:cs="Times New Roman"/>
          <w:sz w:val="24"/>
          <w:szCs w:val="28"/>
        </w:rPr>
      </w:pPr>
      <w:r w:rsidRPr="009F784F">
        <w:rPr>
          <w:rFonts w:cs="Times New Roman"/>
          <w:sz w:val="24"/>
          <w:szCs w:val="28"/>
          <w:lang w:val="en-US"/>
        </w:rPr>
        <w:t>Experimental autoimmune encephalomyelitis (EAE) was induced in 8</w:t>
      </w:r>
      <w:bookmarkStart w:id="14" w:name="_Hlk212732151"/>
      <w:r w:rsidRPr="009F784F">
        <w:rPr>
          <w:rFonts w:cs="Times New Roman"/>
          <w:sz w:val="24"/>
          <w:szCs w:val="28"/>
          <w:lang w:val="en-US"/>
        </w:rPr>
        <w:t>–</w:t>
      </w:r>
      <w:bookmarkEnd w:id="14"/>
      <w:r w:rsidRPr="009F784F">
        <w:rPr>
          <w:rFonts w:cs="Times New Roman"/>
          <w:sz w:val="24"/>
          <w:szCs w:val="28"/>
          <w:lang w:val="en-US"/>
        </w:rPr>
        <w:t>12–week–old female mice by subcutaneous</w:t>
      </w:r>
      <w:r w:rsidR="005B65BB" w:rsidRPr="009F784F">
        <w:rPr>
          <w:rFonts w:cs="Times New Roman"/>
          <w:sz w:val="24"/>
          <w:szCs w:val="28"/>
        </w:rPr>
        <w:t xml:space="preserve"> (</w:t>
      </w:r>
      <w:proofErr w:type="spellStart"/>
      <w:r w:rsidR="005B65BB" w:rsidRPr="009F784F">
        <w:rPr>
          <w:rFonts w:cs="Times New Roman"/>
          <w:sz w:val="24"/>
          <w:szCs w:val="28"/>
          <w:lang w:val="en-US"/>
        </w:rPr>
        <w:t>s·c</w:t>
      </w:r>
      <w:proofErr w:type="spellEnd"/>
      <w:r w:rsidR="00591BD2" w:rsidRPr="009F784F">
        <w:rPr>
          <w:rFonts w:cs="Times New Roman"/>
          <w:sz w:val="24"/>
          <w:szCs w:val="28"/>
          <w:lang w:val="en-US"/>
        </w:rPr>
        <w:t>·) immunization</w:t>
      </w:r>
      <w:r w:rsidRPr="009F784F">
        <w:rPr>
          <w:rFonts w:cs="Times New Roman"/>
          <w:sz w:val="24"/>
          <w:szCs w:val="28"/>
          <w:lang w:val="en-US"/>
        </w:rPr>
        <w:t xml:space="preserve"> with 200 µg myelin oligodendrocyte glycoprotein peptide (MOG₃₅–₅₅; GL </w:t>
      </w:r>
      <w:proofErr w:type="spellStart"/>
      <w:r w:rsidRPr="009F784F">
        <w:rPr>
          <w:rFonts w:cs="Times New Roman"/>
          <w:sz w:val="24"/>
          <w:szCs w:val="28"/>
          <w:lang w:val="en-US"/>
        </w:rPr>
        <w:t>Biochem</w:t>
      </w:r>
      <w:proofErr w:type="spellEnd"/>
      <w:r w:rsidRPr="009F784F">
        <w:rPr>
          <w:rFonts w:cs="Times New Roman"/>
          <w:sz w:val="24"/>
          <w:szCs w:val="28"/>
          <w:lang w:val="en-US"/>
        </w:rPr>
        <w:t xml:space="preserve">, 51716) emulsified in complete Freund’s adjuvant (Sigma–Aldrich, F5881) containing 4 mg/mL heat–inactivated Mycobacterium tuberculosis (BD Biosciences, 231141). Mice received intraperitoneal </w:t>
      </w:r>
      <w:r w:rsidR="00591BD2" w:rsidRPr="009F784F">
        <w:rPr>
          <w:rFonts w:cs="Times New Roman"/>
          <w:sz w:val="24"/>
          <w:szCs w:val="28"/>
          <w:lang w:val="en-US"/>
        </w:rPr>
        <w:t>(</w:t>
      </w:r>
      <w:proofErr w:type="spellStart"/>
      <w:r w:rsidR="00591BD2" w:rsidRPr="009F784F">
        <w:rPr>
          <w:rFonts w:cs="Times New Roman"/>
          <w:sz w:val="24"/>
          <w:szCs w:val="28"/>
          <w:lang w:val="en-US"/>
        </w:rPr>
        <w:t>i·p</w:t>
      </w:r>
      <w:proofErr w:type="spellEnd"/>
      <w:r w:rsidR="00591BD2" w:rsidRPr="009F784F">
        <w:rPr>
          <w:rFonts w:cs="Times New Roman"/>
          <w:sz w:val="24"/>
          <w:szCs w:val="28"/>
          <w:lang w:val="en-US"/>
        </w:rPr>
        <w:t xml:space="preserve">·) </w:t>
      </w:r>
      <w:r w:rsidRPr="009F784F">
        <w:rPr>
          <w:rFonts w:cs="Times New Roman"/>
          <w:sz w:val="24"/>
          <w:szCs w:val="28"/>
          <w:lang w:val="en-US"/>
        </w:rPr>
        <w:t>injections of 350 ng pertussis toxin (List Biological Laboratories, 181) immediately after immunization and again 48 h later. Animals were weighed and examined daily, and disease severity was scored using a standard EAE clinical scale (0–3), as previously described.</w:t>
      </w:r>
      <w:r w:rsidR="007141F7" w:rsidRPr="009F784F">
        <w:rPr>
          <w:rFonts w:cs="Times New Roman"/>
          <w:sz w:val="24"/>
          <w:szCs w:val="28"/>
          <w:lang w:val="en-US"/>
        </w:rPr>
        <w:fldChar w:fldCharType="begin">
          <w:fldData xml:space="preserve">PEVuZE5vdGU+PENpdGU+PEF1dGhvcj5QZXRyYXRvczwvQXV0aG9yPjxZZWFyPjIwMTI8L1llYXI+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</w:fldData>
        </w:fldChar>
      </w:r>
      <w:r w:rsidR="00D3137A" w:rsidRPr="009F784F">
        <w:rPr>
          <w:rFonts w:cs="Times New Roman"/>
          <w:sz w:val="24"/>
          <w:szCs w:val="28"/>
          <w:lang w:val="en-US"/>
        </w:rPr>
        <w:instrText xml:space="preserve"> ADDIN EN.CITE </w:instrText>
      </w:r>
      <w:r w:rsidR="00D3137A" w:rsidRPr="009F784F">
        <w:rPr>
          <w:rFonts w:cs="Times New Roman"/>
          <w:sz w:val="24"/>
          <w:szCs w:val="28"/>
          <w:lang w:val="en-US"/>
        </w:rPr>
        <w:fldChar w:fldCharType="begin">
          <w:fldData xml:space="preserve">PEVuZE5vdGU+PENpdGU+PEF1dGhvcj5QZXRyYXRvczwvQXV0aG9yPjxZZWFyPjIwMTI8L1llYXI+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</w:fldData>
        </w:fldChar>
      </w:r>
      <w:r w:rsidR="00D3137A" w:rsidRPr="009F784F">
        <w:rPr>
          <w:rFonts w:cs="Times New Roman"/>
          <w:sz w:val="24"/>
          <w:szCs w:val="28"/>
          <w:lang w:val="en-US"/>
        </w:rPr>
        <w:instrText xml:space="preserve"> ADDIN EN.CITE.DATA </w:instrText>
      </w:r>
      <w:r w:rsidR="00D3137A" w:rsidRPr="009F784F">
        <w:rPr>
          <w:rFonts w:cs="Times New Roman"/>
          <w:sz w:val="24"/>
          <w:szCs w:val="28"/>
          <w:lang w:val="en-US"/>
        </w:rPr>
      </w:r>
      <w:r w:rsidR="00D3137A" w:rsidRPr="009F784F">
        <w:rPr>
          <w:rFonts w:cs="Times New Roman"/>
          <w:sz w:val="24"/>
          <w:szCs w:val="28"/>
          <w:lang w:val="en-US"/>
        </w:rPr>
        <w:fldChar w:fldCharType="end"/>
      </w:r>
      <w:r w:rsidR="007141F7" w:rsidRPr="009F784F">
        <w:rPr>
          <w:rFonts w:cs="Times New Roman"/>
          <w:sz w:val="24"/>
          <w:szCs w:val="28"/>
          <w:lang w:val="en-US"/>
        </w:rPr>
      </w:r>
      <w:r w:rsidR="007141F7" w:rsidRPr="009F784F">
        <w:rPr>
          <w:rFonts w:cs="Times New Roman"/>
          <w:sz w:val="24"/>
          <w:szCs w:val="28"/>
          <w:lang w:val="en-US"/>
        </w:rPr>
        <w:fldChar w:fldCharType="separate"/>
      </w:r>
      <w:r w:rsidR="00D3137A" w:rsidRPr="009F784F">
        <w:rPr>
          <w:rFonts w:cs="Times New Roman"/>
          <w:noProof/>
          <w:sz w:val="24"/>
          <w:szCs w:val="28"/>
          <w:vertAlign w:val="superscript"/>
          <w:lang w:val="en-US"/>
        </w:rPr>
        <w:t>2</w:t>
      </w:r>
      <w:r w:rsidR="007141F7" w:rsidRPr="009F784F">
        <w:rPr>
          <w:rFonts w:cs="Times New Roman"/>
          <w:sz w:val="24"/>
          <w:szCs w:val="28"/>
          <w:lang w:val="en-US"/>
        </w:rPr>
        <w:fldChar w:fldCharType="end"/>
      </w:r>
      <w:r w:rsidR="007141F7" w:rsidRPr="009F784F">
        <w:rPr>
          <w:rFonts w:cs="Times New Roman"/>
          <w:sz w:val="24"/>
          <w:szCs w:val="28"/>
        </w:rPr>
        <w:t xml:space="preserve"> </w:t>
      </w:r>
      <w:r w:rsidR="00591BD2" w:rsidRPr="009F784F">
        <w:rPr>
          <w:rFonts w:cs="Times New Roman"/>
          <w:sz w:val="24"/>
          <w:szCs w:val="28"/>
        </w:rPr>
        <w:t xml:space="preserve"> </w:t>
      </w:r>
    </w:p>
    <w:p w14:paraId="20A5A2BC" w14:textId="77777777" w:rsidR="006E388D" w:rsidRPr="009F784F" w:rsidRDefault="006E388D" w:rsidP="00641B58">
      <w:pPr>
        <w:pStyle w:val="Style2"/>
        <w:spacing w:line="480" w:lineRule="auto"/>
        <w:rPr>
          <w:sz w:val="24"/>
          <w:szCs w:val="24"/>
        </w:rPr>
      </w:pPr>
      <w:bookmarkStart w:id="15" w:name="_Toc217294921"/>
      <w:proofErr w:type="spellStart"/>
      <w:r w:rsidRPr="009F784F">
        <w:rPr>
          <w:sz w:val="24"/>
          <w:szCs w:val="24"/>
        </w:rPr>
        <w:t>DigiGait</w:t>
      </w:r>
      <w:r w:rsidRPr="009F784F">
        <w:rPr>
          <w:sz w:val="24"/>
          <w:szCs w:val="24"/>
          <w:vertAlign w:val="superscript"/>
        </w:rPr>
        <w:t>TM</w:t>
      </w:r>
      <w:proofErr w:type="spellEnd"/>
      <w:r w:rsidRPr="009F784F">
        <w:rPr>
          <w:sz w:val="24"/>
          <w:szCs w:val="24"/>
        </w:rPr>
        <w:t xml:space="preserve"> mouse locomotor performance analysis</w:t>
      </w:r>
      <w:bookmarkEnd w:id="15"/>
      <w:r w:rsidRPr="009F784F">
        <w:rPr>
          <w:sz w:val="24"/>
          <w:szCs w:val="24"/>
        </w:rPr>
        <w:t xml:space="preserve"> </w:t>
      </w:r>
    </w:p>
    <w:p w14:paraId="59B49CA6" w14:textId="38FA9836" w:rsidR="007D7AF3" w:rsidRPr="009F784F" w:rsidRDefault="006E388D" w:rsidP="00641B58">
      <w:pPr>
        <w:spacing w:line="480" w:lineRule="auto"/>
        <w:rPr>
          <w:rFonts w:cs="Times New Roman"/>
          <w:sz w:val="24"/>
          <w:szCs w:val="28"/>
        </w:rPr>
      </w:pPr>
      <w:r w:rsidRPr="009F784F">
        <w:rPr>
          <w:rFonts w:cs="Times New Roman"/>
          <w:sz w:val="24"/>
          <w:szCs w:val="28"/>
        </w:rPr>
        <w:t xml:space="preserve">Mice were evaluated using the </w:t>
      </w:r>
      <w:proofErr w:type="spellStart"/>
      <w:r w:rsidRPr="009F784F">
        <w:rPr>
          <w:rFonts w:cs="Times New Roman"/>
          <w:sz w:val="24"/>
          <w:szCs w:val="28"/>
        </w:rPr>
        <w:t>DigiGait</w:t>
      </w:r>
      <w:r w:rsidRPr="009F784F">
        <w:rPr>
          <w:rFonts w:cs="Times New Roman"/>
          <w:sz w:val="24"/>
          <w:szCs w:val="28"/>
          <w:vertAlign w:val="superscript"/>
        </w:rPr>
        <w:t>TM</w:t>
      </w:r>
      <w:proofErr w:type="spellEnd"/>
      <w:r w:rsidRPr="009F784F">
        <w:rPr>
          <w:rFonts w:cs="Times New Roman"/>
          <w:sz w:val="24"/>
          <w:szCs w:val="28"/>
        </w:rPr>
        <w:t xml:space="preserve"> imaging system and </w:t>
      </w:r>
      <w:proofErr w:type="spellStart"/>
      <w:r w:rsidRPr="009F784F">
        <w:rPr>
          <w:rFonts w:cs="Times New Roman"/>
          <w:sz w:val="24"/>
          <w:szCs w:val="28"/>
        </w:rPr>
        <w:t>DigiGait</w:t>
      </w:r>
      <w:r w:rsidRPr="009F784F">
        <w:rPr>
          <w:rFonts w:cs="Times New Roman"/>
          <w:sz w:val="24"/>
          <w:szCs w:val="28"/>
          <w:vertAlign w:val="superscript"/>
        </w:rPr>
        <w:t>TM</w:t>
      </w:r>
      <w:proofErr w:type="spellEnd"/>
      <w:r w:rsidRPr="009F784F">
        <w:rPr>
          <w:rFonts w:cs="Times New Roman"/>
          <w:sz w:val="24"/>
          <w:szCs w:val="28"/>
        </w:rPr>
        <w:t xml:space="preserve"> 15</w:t>
      </w:r>
      <w:r w:rsidR="004C204F" w:rsidRPr="009F784F">
        <w:rPr>
          <w:rFonts w:cs="Times New Roman"/>
          <w:sz w:val="24"/>
          <w:szCs w:val="28"/>
        </w:rPr>
        <w:t>·</w:t>
      </w:r>
      <w:r w:rsidRPr="009F784F">
        <w:rPr>
          <w:rFonts w:cs="Times New Roman"/>
          <w:sz w:val="24"/>
          <w:szCs w:val="28"/>
        </w:rPr>
        <w:t>0 analysis software (Mouse Specifics)</w:t>
      </w:r>
      <w:r w:rsidR="004C204F" w:rsidRPr="009F784F">
        <w:rPr>
          <w:rFonts w:cs="Times New Roman"/>
          <w:sz w:val="24"/>
          <w:szCs w:val="28"/>
        </w:rPr>
        <w:t>.</w:t>
      </w:r>
      <w:r w:rsidRPr="009F784F">
        <w:rPr>
          <w:rFonts w:cs="Times New Roman"/>
          <w:sz w:val="24"/>
          <w:szCs w:val="28"/>
        </w:rPr>
        <w:fldChar w:fldCharType="begin"/>
      </w:r>
      <w:r w:rsidR="0074005E" w:rsidRPr="009F784F">
        <w:rPr>
          <w:rFonts w:cs="Times New Roman"/>
          <w:sz w:val="24"/>
          <w:szCs w:val="28"/>
        </w:rPr>
        <w:instrText xml:space="preserve"> ADDIN EN.CITE &lt;EndNote&gt;&lt;Cite&gt;&lt;Author&gt;Vincelette&lt;/Author&gt;&lt;Year&gt;2007&lt;/Year&gt;&lt;RecNum&gt;682&lt;/RecNum&gt;&lt;DisplayText&gt;&lt;style face="superscript"&gt;7&lt;/style&gt;&lt;/DisplayText&gt;&lt;record&gt;&lt;rec-number&gt;682&lt;/rec-number&gt;&lt;foreign-keys&gt;&lt;key app="EN" db-id="05xad0tf15f9weepssy5td09frpw0wxe5vfa" timestamp="1745988348"&gt;682&lt;/key&gt;&lt;/foreign-keys&gt;&lt;ref-type name="Journal Article"&gt;17&lt;/ref-type&gt;&lt;contributors&gt;&lt;authors&gt;&lt;author&gt;Vincelette, Jon&lt;/author&gt;&lt;author&gt;Xu, Yifan&lt;/author&gt;&lt;author&gt;Zhang, Le-Ning&lt;/author&gt;&lt;author&gt;Schaefer, Caralee J.&lt;/author&gt;&lt;author&gt;Vergona, Ronald&lt;/author&gt;&lt;author&gt;Sullivan, Mark E.&lt;/author&gt;&lt;author&gt;Hampton, Thomas G.&lt;/author&gt;&lt;author&gt;Wang, Yi-Xin&lt;/author&gt;&lt;/authors&gt;&lt;/contributors&gt;&lt;titles&gt;&lt;title&gt;Gait analysis in a murine model of collagen-induced arthritis&lt;/title&gt;&lt;secondary-title&gt;Arthritis Research &amp;amp; Therapy&lt;/secondary-title&gt;&lt;/titles&gt;&lt;pages&gt;R123&lt;/pages&gt;&lt;volume&gt;9&lt;/volume&gt;&lt;number&gt;6&lt;/number&gt;&lt;dates&gt;&lt;year&gt;2007&lt;/year&gt;&lt;pub-dates&gt;&lt;date&gt;2007/11/24&lt;/date&gt;&lt;/pub-dates&gt;&lt;/dates&gt;&lt;isbn&gt;1478-6354&lt;/isbn&gt;&lt;urls&gt;&lt;related-urls&gt;&lt;url&gt;https://doi.org/10.1186/ar2331&lt;/url&gt;&lt;/related-urls&gt;&lt;/urls&gt;&lt;electronic-resource-num&gt;10.1186/ar2331&lt;/electronic-resource-num&gt;&lt;/record&gt;&lt;/Cite&gt;&lt;/EndNote&gt;</w:instrText>
      </w:r>
      <w:r w:rsidRPr="009F784F">
        <w:rPr>
          <w:rFonts w:cs="Times New Roman"/>
          <w:sz w:val="24"/>
          <w:szCs w:val="28"/>
        </w:rPr>
        <w:fldChar w:fldCharType="separate"/>
      </w:r>
      <w:r w:rsidR="0074005E" w:rsidRPr="009F784F">
        <w:rPr>
          <w:rFonts w:cs="Times New Roman"/>
          <w:noProof/>
          <w:sz w:val="24"/>
          <w:szCs w:val="28"/>
          <w:vertAlign w:val="superscript"/>
        </w:rPr>
        <w:t>7</w:t>
      </w:r>
      <w:r w:rsidRPr="009F784F">
        <w:rPr>
          <w:rFonts w:cs="Times New Roman"/>
          <w:sz w:val="24"/>
          <w:szCs w:val="28"/>
        </w:rPr>
        <w:fldChar w:fldCharType="end"/>
      </w:r>
      <w:r w:rsidRPr="009F784F">
        <w:rPr>
          <w:rFonts w:cs="Times New Roman"/>
          <w:sz w:val="24"/>
          <w:szCs w:val="28"/>
        </w:rPr>
        <w:t xml:space="preserve"> Mice were acclimated to the behaviour room for 30 min before each training or trial session, and to the </w:t>
      </w:r>
      <w:proofErr w:type="spellStart"/>
      <w:r w:rsidRPr="009F784F">
        <w:rPr>
          <w:rFonts w:cs="Times New Roman"/>
          <w:sz w:val="24"/>
          <w:szCs w:val="28"/>
        </w:rPr>
        <w:t>Digigait</w:t>
      </w:r>
      <w:proofErr w:type="spellEnd"/>
      <w:r w:rsidRPr="009F784F">
        <w:rPr>
          <w:rFonts w:cs="Times New Roman"/>
          <w:sz w:val="24"/>
          <w:szCs w:val="28"/>
        </w:rPr>
        <w:t xml:space="preserve"> chamber for 5 min before the treadmill was activated.  Mice were trained on the </w:t>
      </w:r>
      <w:proofErr w:type="spellStart"/>
      <w:r w:rsidRPr="009F784F">
        <w:rPr>
          <w:rFonts w:cs="Times New Roman"/>
          <w:sz w:val="24"/>
          <w:szCs w:val="28"/>
        </w:rPr>
        <w:t>DigiGait</w:t>
      </w:r>
      <w:proofErr w:type="spellEnd"/>
      <w:r w:rsidRPr="009F784F">
        <w:rPr>
          <w:rFonts w:cs="Times New Roman"/>
          <w:sz w:val="24"/>
          <w:szCs w:val="28"/>
        </w:rPr>
        <w:t xml:space="preserve"> for </w:t>
      </w:r>
      <w:r w:rsidR="0004609C">
        <w:rPr>
          <w:rFonts w:cs="Times New Roman"/>
          <w:sz w:val="24"/>
          <w:szCs w:val="28"/>
        </w:rPr>
        <w:t>seven</w:t>
      </w:r>
      <w:r w:rsidRPr="009F784F">
        <w:rPr>
          <w:rFonts w:cs="Times New Roman"/>
          <w:sz w:val="24"/>
          <w:szCs w:val="28"/>
        </w:rPr>
        <w:t xml:space="preserve"> consecutive days, and the treadmill </w:t>
      </w:r>
      <w:r w:rsidRPr="009F784F">
        <w:rPr>
          <w:rFonts w:cs="Times New Roman"/>
          <w:sz w:val="24"/>
          <w:szCs w:val="28"/>
        </w:rPr>
        <w:lastRenderedPageBreak/>
        <w:t>speed was incrementally increased, so that mice ran for 10 s at 5cm/s, 10cm/s or 15cm/s with 5 s intervals between speeds. Locomotor performance was assessed at day</w:t>
      </w:r>
      <w:r w:rsidR="00D3137A" w:rsidRPr="009F784F">
        <w:rPr>
          <w:rFonts w:cs="Times New Roman"/>
          <w:sz w:val="24"/>
          <w:szCs w:val="28"/>
        </w:rPr>
        <w:t>–</w:t>
      </w:r>
      <w:r w:rsidRPr="009F784F">
        <w:rPr>
          <w:rFonts w:cs="Times New Roman"/>
          <w:sz w:val="24"/>
          <w:szCs w:val="28"/>
        </w:rPr>
        <w:t>1, 7, 10, 14, 18, 21, 24 and 30 of the 30</w:t>
      </w:r>
      <w:r w:rsidR="00D3137A" w:rsidRPr="009F784F">
        <w:rPr>
          <w:rFonts w:cs="Times New Roman"/>
          <w:sz w:val="24"/>
          <w:szCs w:val="28"/>
        </w:rPr>
        <w:t>–</w:t>
      </w:r>
      <w:r w:rsidRPr="009F784F">
        <w:rPr>
          <w:rFonts w:cs="Times New Roman"/>
          <w:sz w:val="24"/>
          <w:szCs w:val="28"/>
        </w:rPr>
        <w:t>day EAE disease course. On the day of testing, mice that maintain speed for ≥ 5 s were considered to pass. Videos obtained from the trials were scored by a blinded investigator not conducting the trials.</w:t>
      </w:r>
    </w:p>
    <w:p w14:paraId="481CF20F" w14:textId="096A9A78" w:rsidR="006E388D" w:rsidRPr="009F784F" w:rsidRDefault="006E388D" w:rsidP="00641B58">
      <w:pPr>
        <w:pStyle w:val="Style2"/>
        <w:spacing w:line="480" w:lineRule="auto"/>
        <w:rPr>
          <w:sz w:val="24"/>
          <w:szCs w:val="24"/>
        </w:rPr>
      </w:pPr>
      <w:bookmarkStart w:id="16" w:name="_Toc217294922"/>
      <w:r w:rsidRPr="009F784F">
        <w:rPr>
          <w:sz w:val="24"/>
          <w:szCs w:val="24"/>
        </w:rPr>
        <w:t>Stool grading assessment</w:t>
      </w:r>
      <w:bookmarkEnd w:id="16"/>
      <w:r w:rsidRPr="009F784F">
        <w:rPr>
          <w:sz w:val="24"/>
          <w:szCs w:val="24"/>
        </w:rPr>
        <w:t xml:space="preserve"> </w:t>
      </w:r>
    </w:p>
    <w:p w14:paraId="3A0F8FA6" w14:textId="488F8B4B" w:rsidR="006E388D" w:rsidRPr="009F784F" w:rsidRDefault="006E388D" w:rsidP="00641B58">
      <w:pPr>
        <w:spacing w:line="480" w:lineRule="auto"/>
        <w:rPr>
          <w:rFonts w:cs="Times New Roman"/>
          <w:b/>
          <w:bCs/>
          <w:i/>
          <w:iCs/>
          <w:sz w:val="24"/>
          <w:szCs w:val="28"/>
        </w:rPr>
      </w:pPr>
      <w:r w:rsidRPr="009F784F">
        <w:rPr>
          <w:rFonts w:cs="Times New Roman"/>
          <w:sz w:val="24"/>
          <w:szCs w:val="28"/>
        </w:rPr>
        <w:t>One hour following drug treatment, mice were placed in a metabolic cage with a wire base over a paper towel for 1h stool assessment</w:t>
      </w:r>
      <w:r w:rsidR="007D7AF3" w:rsidRPr="009F784F">
        <w:rPr>
          <w:rFonts w:cs="Times New Roman"/>
          <w:sz w:val="24"/>
          <w:szCs w:val="28"/>
        </w:rPr>
        <w:t>.</w:t>
      </w:r>
      <w:r w:rsidRPr="009F784F">
        <w:rPr>
          <w:rFonts w:cs="Times New Roman"/>
          <w:sz w:val="24"/>
          <w:szCs w:val="28"/>
        </w:rPr>
        <w:fldChar w:fldCharType="begin"/>
      </w:r>
      <w:r w:rsidR="0074005E" w:rsidRPr="009F784F">
        <w:rPr>
          <w:rFonts w:cs="Times New Roman"/>
          <w:sz w:val="24"/>
          <w:szCs w:val="28"/>
        </w:rPr>
        <w:instrText xml:space="preserve"> ADDIN EN.CITE &lt;EndNote&gt;&lt;Cite&gt;&lt;Author&gt;Yim&lt;/Author&gt;&lt;Year&gt;2021&lt;/Year&gt;&lt;RecNum&gt;660&lt;/RecNum&gt;&lt;DisplayText&gt;&lt;style face="superscript"&gt;8&lt;/style&gt;&lt;/DisplayText&gt;&lt;record&gt;&lt;rec-number&gt;660&lt;/rec-number&gt;&lt;foreign-keys&gt;&lt;key app="EN" db-id="05xad0tf15f9weepssy5td09frpw0wxe5vfa" timestamp="1743920008"&gt;660&lt;/key&gt;&lt;/foreign-keys&gt;&lt;ref-type name="Journal Article"&gt;17&lt;/ref-type&gt;&lt;contributors&gt;&lt;authors&gt;&lt;author&gt;Yim, S. K.&lt;/author&gt;&lt;author&gt;Kim, S. W.&lt;/author&gt;&lt;author&gt;Lee, S. T.&lt;/author&gt;&lt;/authors&gt;&lt;/contributors&gt;&lt;auth-address&gt;Division of Gastroenterology and Hepatology, Department of Internal Medicine, Jeonbuk National University Medical School and Hospital, Jeonju, Republic of Korea.&amp;#xD;Research Institute of Clinical Medicine, Jeonbuk National University, Jeonju, Republic of Korea.&amp;#xD;Division of Gastroenterology and Hepatology, Department of Internal Medicine, Jeonbuk National University Medical School and Hospital, Jeonju, Republic of Korea; soo@jbnu.ac.kr.&lt;/auth-address&gt;&lt;titles&gt;&lt;title&gt;Efficient Stool Collection Methods for Evaluating the Diarrhea Score in Mouse Diarrhea Models&lt;/title&gt;&lt;secondary-title&gt;In Vivo&lt;/secondary-title&gt;&lt;/titles&gt;&lt;pages&gt;2115-2125&lt;/pages&gt;&lt;volume&gt;35&lt;/volume&gt;&lt;number&gt;4&lt;/number&gt;&lt;edition&gt;2021/06/29&lt;/edition&gt;&lt;keywords&gt;&lt;keyword&gt;Animals&lt;/keyword&gt;&lt;keyword&gt;*Diarrhea/diagnosis&lt;/keyword&gt;&lt;keyword&gt;Disease Models, Animal&lt;/keyword&gt;&lt;keyword&gt;Feces&lt;/keyword&gt;&lt;keyword&gt;Mice&lt;/keyword&gt;&lt;keyword&gt;*Water&lt;/keyword&gt;&lt;keyword&gt;Diarrhea&lt;/keyword&gt;&lt;keyword&gt;method&lt;/keyword&gt;&lt;keyword&gt;mouse&lt;/keyword&gt;&lt;keyword&gt;score&lt;/keyword&gt;&lt;keyword&gt;stool&lt;/keyword&gt;&lt;/keywords&gt;&lt;dates&gt;&lt;year&gt;2021&lt;/year&gt;&lt;pub-dates&gt;&lt;date&gt;Jul-Aug&lt;/date&gt;&lt;/pub-dates&gt;&lt;/dates&gt;&lt;isbn&gt;0258-851X (Print)&amp;#xD;0258-851x&lt;/isbn&gt;&lt;accession-num&gt;34182487&lt;/accession-num&gt;&lt;urls&gt;&lt;/urls&gt;&lt;custom2&gt;PMC8286486&lt;/custom2&gt;&lt;electronic-resource-num&gt;10.21873/invivo.12481&lt;/electronic-resource-num&gt;&lt;remote-database-provider&gt;NLM&lt;/remote-database-provider&gt;&lt;language&gt;eng&lt;/language&gt;&lt;/record&gt;&lt;/Cite&gt;&lt;/EndNote&gt;</w:instrText>
      </w:r>
      <w:r w:rsidRPr="009F784F">
        <w:rPr>
          <w:rFonts w:cs="Times New Roman"/>
          <w:sz w:val="24"/>
          <w:szCs w:val="28"/>
        </w:rPr>
        <w:fldChar w:fldCharType="separate"/>
      </w:r>
      <w:r w:rsidR="0074005E" w:rsidRPr="009F784F">
        <w:rPr>
          <w:rFonts w:cs="Times New Roman"/>
          <w:noProof/>
          <w:sz w:val="24"/>
          <w:szCs w:val="28"/>
          <w:vertAlign w:val="superscript"/>
        </w:rPr>
        <w:t>8</w:t>
      </w:r>
      <w:r w:rsidRPr="009F784F">
        <w:rPr>
          <w:rFonts w:cs="Times New Roman"/>
          <w:sz w:val="24"/>
          <w:szCs w:val="28"/>
        </w:rPr>
        <w:fldChar w:fldCharType="end"/>
      </w:r>
      <w:r w:rsidRPr="009F784F">
        <w:rPr>
          <w:rFonts w:cs="Times New Roman"/>
          <w:sz w:val="24"/>
          <w:szCs w:val="28"/>
        </w:rPr>
        <w:t xml:space="preserve"> Stool number was recorded and graded [1</w:t>
      </w:r>
      <w:r w:rsidR="00D3137A" w:rsidRPr="009F784F">
        <w:rPr>
          <w:rFonts w:cs="Times New Roman"/>
          <w:sz w:val="24"/>
          <w:szCs w:val="28"/>
        </w:rPr>
        <w:t>–</w:t>
      </w:r>
      <w:r w:rsidRPr="009F784F">
        <w:rPr>
          <w:rFonts w:cs="Times New Roman"/>
          <w:sz w:val="24"/>
          <w:szCs w:val="28"/>
        </w:rPr>
        <w:t xml:space="preserve"> normal; 2</w:t>
      </w:r>
      <w:r w:rsidR="00D3137A" w:rsidRPr="009F784F">
        <w:rPr>
          <w:rFonts w:cs="Times New Roman"/>
          <w:sz w:val="24"/>
          <w:szCs w:val="28"/>
        </w:rPr>
        <w:t>–</w:t>
      </w:r>
      <w:r w:rsidRPr="009F784F">
        <w:rPr>
          <w:rFonts w:cs="Times New Roman"/>
          <w:sz w:val="24"/>
          <w:szCs w:val="28"/>
        </w:rPr>
        <w:t xml:space="preserve"> wet, and 3</w:t>
      </w:r>
      <w:r w:rsidR="00D3137A" w:rsidRPr="009F784F">
        <w:rPr>
          <w:rFonts w:cs="Times New Roman"/>
          <w:sz w:val="24"/>
          <w:szCs w:val="28"/>
        </w:rPr>
        <w:t>–</w:t>
      </w:r>
      <w:r w:rsidRPr="009F784F">
        <w:rPr>
          <w:rFonts w:cs="Times New Roman"/>
          <w:sz w:val="24"/>
          <w:szCs w:val="28"/>
        </w:rPr>
        <w:t xml:space="preserve"> watery diarrhea]. Mice with a stool grade &gt;2 were supplemented with subcutaneous (</w:t>
      </w:r>
      <w:proofErr w:type="spellStart"/>
      <w:r w:rsidR="005B65BB" w:rsidRPr="009F784F">
        <w:rPr>
          <w:rFonts w:cs="Times New Roman"/>
          <w:sz w:val="24"/>
          <w:szCs w:val="28"/>
        </w:rPr>
        <w:t>s·c</w:t>
      </w:r>
      <w:proofErr w:type="spellEnd"/>
      <w:r w:rsidR="005B65BB" w:rsidRPr="009F784F">
        <w:rPr>
          <w:rFonts w:cs="Times New Roman"/>
          <w:sz w:val="24"/>
          <w:szCs w:val="28"/>
        </w:rPr>
        <w:t xml:space="preserve">·) </w:t>
      </w:r>
      <w:r w:rsidRPr="009F784F">
        <w:rPr>
          <w:rFonts w:cs="Times New Roman"/>
          <w:sz w:val="24"/>
          <w:szCs w:val="28"/>
        </w:rPr>
        <w:t xml:space="preserve">saline.   </w:t>
      </w:r>
    </w:p>
    <w:p w14:paraId="0206A488" w14:textId="3A6957EF" w:rsidR="006E388D" w:rsidRPr="009F784F" w:rsidRDefault="006E388D" w:rsidP="00641B58">
      <w:pPr>
        <w:pStyle w:val="Style2"/>
        <w:spacing w:line="480" w:lineRule="auto"/>
        <w:rPr>
          <w:sz w:val="24"/>
          <w:szCs w:val="24"/>
        </w:rPr>
      </w:pPr>
      <w:bookmarkStart w:id="17" w:name="_Toc217294923"/>
      <w:r w:rsidRPr="009F784F">
        <w:rPr>
          <w:sz w:val="24"/>
          <w:szCs w:val="24"/>
        </w:rPr>
        <w:t xml:space="preserve">Mouse </w:t>
      </w:r>
      <w:r w:rsidR="00FE3A19" w:rsidRPr="009F784F">
        <w:rPr>
          <w:sz w:val="24"/>
          <w:szCs w:val="24"/>
        </w:rPr>
        <w:t>p</w:t>
      </w:r>
      <w:r w:rsidR="00D34CD8" w:rsidRPr="009F784F">
        <w:rPr>
          <w:sz w:val="24"/>
          <w:szCs w:val="24"/>
        </w:rPr>
        <w:t xml:space="preserve">eriphery </w:t>
      </w:r>
      <w:r w:rsidRPr="009F784F">
        <w:rPr>
          <w:sz w:val="24"/>
          <w:szCs w:val="24"/>
        </w:rPr>
        <w:t>blood</w:t>
      </w:r>
      <w:r w:rsidR="00D34CD8" w:rsidRPr="009F784F">
        <w:rPr>
          <w:sz w:val="24"/>
          <w:szCs w:val="24"/>
        </w:rPr>
        <w:t xml:space="preserve"> and serum</w:t>
      </w:r>
      <w:r w:rsidRPr="009F784F">
        <w:rPr>
          <w:sz w:val="24"/>
          <w:szCs w:val="24"/>
        </w:rPr>
        <w:t xml:space="preserve"> collection</w:t>
      </w:r>
      <w:bookmarkEnd w:id="17"/>
    </w:p>
    <w:p w14:paraId="38E03E80" w14:textId="32B033BD" w:rsidR="006E388D" w:rsidRPr="009F784F" w:rsidRDefault="006E388D" w:rsidP="00641B58">
      <w:pPr>
        <w:spacing w:line="480" w:lineRule="auto"/>
        <w:rPr>
          <w:rFonts w:cs="Times New Roman"/>
          <w:sz w:val="24"/>
          <w:szCs w:val="28"/>
        </w:rPr>
      </w:pPr>
      <w:r w:rsidRPr="009F784F">
        <w:rPr>
          <w:rFonts w:cs="Times New Roman"/>
          <w:sz w:val="24"/>
          <w:szCs w:val="28"/>
        </w:rPr>
        <w:t>Approximately 100 µL of blood was collected by submandibular bleed (SMB) 4 days prior to EAE induction (baseline), at day 7 (pre</w:t>
      </w:r>
      <w:r w:rsidR="00D3137A" w:rsidRPr="009F784F">
        <w:rPr>
          <w:rFonts w:cs="Times New Roman"/>
          <w:sz w:val="24"/>
          <w:szCs w:val="28"/>
        </w:rPr>
        <w:t>–</w:t>
      </w:r>
      <w:r w:rsidRPr="009F784F">
        <w:rPr>
          <w:rFonts w:cs="Times New Roman"/>
          <w:sz w:val="24"/>
          <w:szCs w:val="28"/>
        </w:rPr>
        <w:t>onset), and peak disease (EAE clinical score 2</w:t>
      </w:r>
      <w:r w:rsidR="00D3137A" w:rsidRPr="009F784F">
        <w:rPr>
          <w:rFonts w:cs="Times New Roman"/>
          <w:sz w:val="24"/>
          <w:szCs w:val="28"/>
        </w:rPr>
        <w:t>–</w:t>
      </w:r>
      <w:r w:rsidRPr="009F784F">
        <w:rPr>
          <w:rFonts w:cs="Times New Roman"/>
          <w:sz w:val="24"/>
          <w:szCs w:val="28"/>
        </w:rPr>
        <w:t>3), or by cardiac puncture at the experimental end point (EAE day 30). Whole blood was transferred to a K2</w:t>
      </w:r>
      <w:r w:rsidR="00D3137A" w:rsidRPr="009F784F">
        <w:rPr>
          <w:rFonts w:cs="Times New Roman"/>
          <w:sz w:val="24"/>
          <w:szCs w:val="28"/>
        </w:rPr>
        <w:t>–</w:t>
      </w:r>
      <w:r w:rsidRPr="009F784F">
        <w:rPr>
          <w:rFonts w:cs="Times New Roman"/>
          <w:sz w:val="24"/>
          <w:szCs w:val="28"/>
        </w:rPr>
        <w:t>EDTA collection tube, lysed in ACK lysis buffer (Gibco, A1049201) for 10 min at RT, centrifuged (300 ×</w:t>
      </w:r>
      <w:r w:rsidRPr="009F784F">
        <w:rPr>
          <w:rFonts w:cs="Times New Roman"/>
          <w:i/>
          <w:iCs/>
          <w:sz w:val="24"/>
          <w:szCs w:val="28"/>
        </w:rPr>
        <w:t>g</w:t>
      </w:r>
      <w:r w:rsidRPr="009F784F">
        <w:rPr>
          <w:rFonts w:cs="Times New Roman"/>
          <w:sz w:val="24"/>
          <w:szCs w:val="28"/>
        </w:rPr>
        <w:t>, 5 min, 4</w:t>
      </w:r>
      <w:r w:rsidRPr="009F784F">
        <w:rPr>
          <w:rFonts w:cs="Times New Roman"/>
          <w:sz w:val="24"/>
          <w:szCs w:val="28"/>
          <w:vertAlign w:val="superscript"/>
        </w:rPr>
        <w:t>o</w:t>
      </w:r>
      <w:r w:rsidRPr="009F784F">
        <w:rPr>
          <w:rFonts w:cs="Times New Roman"/>
          <w:sz w:val="24"/>
          <w:szCs w:val="28"/>
        </w:rPr>
        <w:t xml:space="preserve">C), the cell pellet washed in FACS buffer (2 mM EDTA / 2% FBS in 0.1M PBS), </w:t>
      </w:r>
      <w:r w:rsidR="00F04E50" w:rsidRPr="009F784F">
        <w:rPr>
          <w:rFonts w:cs="Times New Roman"/>
          <w:sz w:val="24"/>
          <w:szCs w:val="28"/>
        </w:rPr>
        <w:t>centrifugation</w:t>
      </w:r>
      <w:r w:rsidRPr="009F784F">
        <w:rPr>
          <w:rFonts w:cs="Times New Roman"/>
          <w:sz w:val="24"/>
          <w:szCs w:val="28"/>
        </w:rPr>
        <w:t>, and the cells resuspended in FACS buffer with 5 µg/mL Fc receptor blocker (</w:t>
      </w:r>
      <w:proofErr w:type="spellStart"/>
      <w:r w:rsidRPr="009F784F">
        <w:rPr>
          <w:rFonts w:cs="Times New Roman"/>
          <w:sz w:val="24"/>
          <w:szCs w:val="28"/>
        </w:rPr>
        <w:t>eBiosciences</w:t>
      </w:r>
      <w:proofErr w:type="spellEnd"/>
      <w:r w:rsidRPr="009F784F">
        <w:rPr>
          <w:rFonts w:cs="Times New Roman"/>
          <w:sz w:val="24"/>
          <w:szCs w:val="28"/>
        </w:rPr>
        <w:t xml:space="preserve">, 14916173) for 10 min at RT. Cells were stained with antibody cocktails </w:t>
      </w:r>
      <w:r w:rsidR="005E56A9" w:rsidRPr="009F784F">
        <w:rPr>
          <w:rFonts w:cs="Times New Roman"/>
          <w:sz w:val="24"/>
          <w:szCs w:val="28"/>
        </w:rPr>
        <w:t xml:space="preserve">containing </w:t>
      </w:r>
      <w:r w:rsidRPr="009F784F">
        <w:rPr>
          <w:rFonts w:cs="Times New Roman"/>
          <w:sz w:val="24"/>
          <w:szCs w:val="28"/>
        </w:rPr>
        <w:t xml:space="preserve">Zombie Yellow </w:t>
      </w:r>
      <w:r w:rsidR="005E56A9" w:rsidRPr="009F784F">
        <w:rPr>
          <w:rFonts w:cs="Times New Roman"/>
          <w:sz w:val="24"/>
          <w:szCs w:val="28"/>
        </w:rPr>
        <w:t>dye</w:t>
      </w:r>
      <w:r w:rsidRPr="009F784F">
        <w:rPr>
          <w:rFonts w:cs="Times New Roman"/>
          <w:sz w:val="24"/>
          <w:szCs w:val="28"/>
        </w:rPr>
        <w:t xml:space="preserve"> (</w:t>
      </w:r>
      <w:proofErr w:type="spellStart"/>
      <w:r w:rsidRPr="009F784F">
        <w:rPr>
          <w:rFonts w:cs="Times New Roman"/>
          <w:sz w:val="24"/>
          <w:szCs w:val="28"/>
        </w:rPr>
        <w:t>BioLegend</w:t>
      </w:r>
      <w:proofErr w:type="spellEnd"/>
      <w:r w:rsidRPr="009F784F">
        <w:rPr>
          <w:rFonts w:cs="Times New Roman"/>
          <w:sz w:val="24"/>
          <w:szCs w:val="28"/>
        </w:rPr>
        <w:t>, 423103; 1:2000)</w:t>
      </w:r>
      <w:r w:rsidR="002F2754" w:rsidRPr="009F784F">
        <w:rPr>
          <w:rFonts w:cs="Times New Roman"/>
          <w:sz w:val="24"/>
          <w:szCs w:val="28"/>
        </w:rPr>
        <w:t>, CD19</w:t>
      </w:r>
      <w:bookmarkStart w:id="18" w:name="_Hlk212732651"/>
      <w:r w:rsidR="002F2754" w:rsidRPr="009F784F">
        <w:rPr>
          <w:rFonts w:cs="Times New Roman"/>
          <w:sz w:val="24"/>
          <w:szCs w:val="28"/>
        </w:rPr>
        <w:t>–</w:t>
      </w:r>
      <w:bookmarkEnd w:id="18"/>
      <w:r w:rsidR="002F2754" w:rsidRPr="009F784F">
        <w:rPr>
          <w:rFonts w:cs="Times New Roman"/>
          <w:sz w:val="24"/>
          <w:szCs w:val="28"/>
        </w:rPr>
        <w:t>PE</w:t>
      </w:r>
      <w:r w:rsidR="00412A67" w:rsidRPr="009F784F">
        <w:rPr>
          <w:rFonts w:cs="Times New Roman"/>
          <w:sz w:val="24"/>
          <w:szCs w:val="28"/>
        </w:rPr>
        <w:t xml:space="preserve"> </w:t>
      </w:r>
      <w:r w:rsidR="002F2754" w:rsidRPr="009F784F">
        <w:rPr>
          <w:rFonts w:cs="Times New Roman"/>
          <w:sz w:val="24"/>
          <w:szCs w:val="28"/>
        </w:rPr>
        <w:t>Cyanine 5 (</w:t>
      </w:r>
      <w:proofErr w:type="spellStart"/>
      <w:r w:rsidR="002F2754" w:rsidRPr="009F784F">
        <w:rPr>
          <w:rFonts w:cs="Times New Roman"/>
          <w:sz w:val="24"/>
          <w:szCs w:val="28"/>
        </w:rPr>
        <w:t>Cytek</w:t>
      </w:r>
      <w:proofErr w:type="spellEnd"/>
      <w:r w:rsidR="002F2754" w:rsidRPr="009F784F">
        <w:rPr>
          <w:rFonts w:cs="Times New Roman"/>
          <w:sz w:val="24"/>
          <w:szCs w:val="28"/>
        </w:rPr>
        <w:t xml:space="preserve">; 1:1000), </w:t>
      </w:r>
      <w:r w:rsidR="00412A67" w:rsidRPr="009F784F">
        <w:rPr>
          <w:rFonts w:cs="Times New Roman"/>
          <w:sz w:val="24"/>
          <w:szCs w:val="28"/>
        </w:rPr>
        <w:t>CD11b–FITC (</w:t>
      </w:r>
      <w:proofErr w:type="spellStart"/>
      <w:r w:rsidR="00412A67" w:rsidRPr="009F784F">
        <w:rPr>
          <w:rFonts w:cs="Times New Roman"/>
          <w:sz w:val="24"/>
          <w:szCs w:val="28"/>
        </w:rPr>
        <w:t>eBioscience</w:t>
      </w:r>
      <w:proofErr w:type="spellEnd"/>
      <w:r w:rsidR="00412A67" w:rsidRPr="009F784F">
        <w:rPr>
          <w:rFonts w:cs="Times New Roman"/>
          <w:sz w:val="24"/>
          <w:szCs w:val="28"/>
        </w:rPr>
        <w:t>; 1:1000), CD11c</w:t>
      </w:r>
      <w:bookmarkStart w:id="19" w:name="_Hlk212732917"/>
      <w:r w:rsidR="00412A67" w:rsidRPr="009F784F">
        <w:rPr>
          <w:rFonts w:cs="Times New Roman"/>
          <w:sz w:val="24"/>
          <w:szCs w:val="28"/>
        </w:rPr>
        <w:t>–</w:t>
      </w:r>
      <w:bookmarkEnd w:id="19"/>
      <w:r w:rsidR="00412A67" w:rsidRPr="009F784F">
        <w:rPr>
          <w:rFonts w:cs="Times New Roman"/>
          <w:sz w:val="24"/>
          <w:szCs w:val="28"/>
        </w:rPr>
        <w:t xml:space="preserve">PE Cyanine7 (eBioscience:1:1000), </w:t>
      </w:r>
      <w:r w:rsidR="00390FA6" w:rsidRPr="009F784F">
        <w:rPr>
          <w:rFonts w:cs="Times New Roman"/>
          <w:sz w:val="24"/>
          <w:szCs w:val="28"/>
        </w:rPr>
        <w:t>CD3e–PE (</w:t>
      </w:r>
      <w:proofErr w:type="spellStart"/>
      <w:r w:rsidR="00390FA6" w:rsidRPr="009F784F">
        <w:rPr>
          <w:rFonts w:cs="Times New Roman"/>
          <w:sz w:val="24"/>
          <w:szCs w:val="28"/>
        </w:rPr>
        <w:t>eBioscience</w:t>
      </w:r>
      <w:proofErr w:type="spellEnd"/>
      <w:r w:rsidR="00390FA6" w:rsidRPr="009F784F">
        <w:rPr>
          <w:rFonts w:cs="Times New Roman"/>
          <w:sz w:val="24"/>
          <w:szCs w:val="28"/>
        </w:rPr>
        <w:t>; 1:1000)</w:t>
      </w:r>
      <w:r w:rsidR="00A12F61" w:rsidRPr="009F784F">
        <w:rPr>
          <w:rFonts w:cs="Times New Roman"/>
          <w:sz w:val="24"/>
          <w:szCs w:val="28"/>
        </w:rPr>
        <w:t xml:space="preserve">, and Ly-6G/Ly-6C–APC </w:t>
      </w:r>
      <w:proofErr w:type="spellStart"/>
      <w:r w:rsidR="00A12F61" w:rsidRPr="009F784F">
        <w:rPr>
          <w:rFonts w:cs="Times New Roman"/>
          <w:sz w:val="24"/>
          <w:szCs w:val="28"/>
        </w:rPr>
        <w:t>eFluor</w:t>
      </w:r>
      <w:proofErr w:type="spellEnd"/>
      <w:r w:rsidR="00A12F61" w:rsidRPr="009F784F">
        <w:rPr>
          <w:rFonts w:cs="Times New Roman"/>
          <w:sz w:val="24"/>
          <w:szCs w:val="28"/>
        </w:rPr>
        <w:t xml:space="preserve"> 780 (</w:t>
      </w:r>
      <w:proofErr w:type="spellStart"/>
      <w:r w:rsidR="00A12F61" w:rsidRPr="009F784F">
        <w:rPr>
          <w:rFonts w:cs="Times New Roman"/>
          <w:sz w:val="24"/>
          <w:szCs w:val="28"/>
        </w:rPr>
        <w:t>eBioscience</w:t>
      </w:r>
      <w:proofErr w:type="spellEnd"/>
      <w:r w:rsidR="00A12F61" w:rsidRPr="009F784F">
        <w:rPr>
          <w:rFonts w:cs="Times New Roman"/>
          <w:sz w:val="24"/>
          <w:szCs w:val="28"/>
        </w:rPr>
        <w:t>; 1:1000)</w:t>
      </w:r>
      <w:r w:rsidRPr="009F784F">
        <w:rPr>
          <w:rFonts w:cs="Times New Roman"/>
          <w:sz w:val="24"/>
          <w:szCs w:val="28"/>
        </w:rPr>
        <w:t xml:space="preserve"> for 30 min at RT in the dark</w:t>
      </w:r>
      <w:r w:rsidR="00D34CD8" w:rsidRPr="009F784F">
        <w:rPr>
          <w:rFonts w:cs="Times New Roman"/>
          <w:sz w:val="24"/>
          <w:szCs w:val="28"/>
        </w:rPr>
        <w:t xml:space="preserve">. </w:t>
      </w:r>
      <w:r w:rsidRPr="009F784F">
        <w:rPr>
          <w:rFonts w:cs="Times New Roman"/>
          <w:sz w:val="24"/>
          <w:szCs w:val="28"/>
        </w:rPr>
        <w:t xml:space="preserve"> </w:t>
      </w:r>
      <w:r w:rsidR="00D34CD8" w:rsidRPr="009F784F">
        <w:rPr>
          <w:rFonts w:cs="Times New Roman"/>
          <w:sz w:val="24"/>
          <w:szCs w:val="28"/>
        </w:rPr>
        <w:t xml:space="preserve">Data was acquired using a </w:t>
      </w:r>
      <w:proofErr w:type="spellStart"/>
      <w:r w:rsidR="00D34CD8" w:rsidRPr="009F784F">
        <w:rPr>
          <w:rFonts w:cs="Times New Roman"/>
          <w:sz w:val="24"/>
          <w:szCs w:val="28"/>
        </w:rPr>
        <w:t>Cytek</w:t>
      </w:r>
      <w:proofErr w:type="spellEnd"/>
      <w:r w:rsidR="00D34CD8" w:rsidRPr="009F784F">
        <w:rPr>
          <w:rFonts w:cs="Times New Roman"/>
          <w:sz w:val="24"/>
          <w:szCs w:val="28"/>
        </w:rPr>
        <w:t xml:space="preserve"> Aurora cytometer with </w:t>
      </w:r>
      <w:proofErr w:type="spellStart"/>
      <w:r w:rsidR="00D34CD8" w:rsidRPr="009F784F">
        <w:rPr>
          <w:rFonts w:cs="Times New Roman"/>
          <w:sz w:val="24"/>
          <w:szCs w:val="28"/>
        </w:rPr>
        <w:t>SpectroFlo</w:t>
      </w:r>
      <w:proofErr w:type="spellEnd"/>
      <w:r w:rsidR="00D34CD8" w:rsidRPr="009F784F">
        <w:rPr>
          <w:rFonts w:cs="Times New Roman"/>
          <w:sz w:val="24"/>
          <w:szCs w:val="28"/>
        </w:rPr>
        <w:t xml:space="preserve"> software (gates excluded cellular debris and doublets; ≥ 10,000 events per sample) and </w:t>
      </w:r>
      <w:r w:rsidR="0004609C" w:rsidRPr="009F784F">
        <w:rPr>
          <w:rFonts w:cs="Times New Roman"/>
          <w:sz w:val="24"/>
          <w:szCs w:val="28"/>
        </w:rPr>
        <w:t>analysed</w:t>
      </w:r>
      <w:r w:rsidR="00D34CD8" w:rsidRPr="009F784F">
        <w:rPr>
          <w:rFonts w:cs="Times New Roman"/>
          <w:sz w:val="24"/>
          <w:szCs w:val="28"/>
        </w:rPr>
        <w:t xml:space="preserve"> in </w:t>
      </w:r>
      <w:proofErr w:type="spellStart"/>
      <w:r w:rsidR="00D34CD8" w:rsidRPr="009F784F">
        <w:rPr>
          <w:rFonts w:cs="Times New Roman"/>
          <w:sz w:val="24"/>
          <w:szCs w:val="28"/>
        </w:rPr>
        <w:t>FlowJo</w:t>
      </w:r>
      <w:proofErr w:type="spellEnd"/>
      <w:r w:rsidR="00D34CD8" w:rsidRPr="009F784F">
        <w:rPr>
          <w:rFonts w:cs="Times New Roman"/>
          <w:sz w:val="24"/>
          <w:szCs w:val="28"/>
        </w:rPr>
        <w:t xml:space="preserve"> (v10</w:t>
      </w:r>
      <w:bookmarkStart w:id="20" w:name="_Hlk212738708"/>
      <w:r w:rsidR="00D34CD8" w:rsidRPr="009F784F">
        <w:rPr>
          <w:rFonts w:cs="Times New Roman"/>
          <w:sz w:val="24"/>
          <w:szCs w:val="28"/>
        </w:rPr>
        <w:t>·</w:t>
      </w:r>
      <w:bookmarkEnd w:id="20"/>
      <w:r w:rsidR="00D34CD8" w:rsidRPr="009F784F">
        <w:rPr>
          <w:rFonts w:cs="Times New Roman"/>
          <w:sz w:val="24"/>
          <w:szCs w:val="28"/>
        </w:rPr>
        <w:t xml:space="preserve">8).  </w:t>
      </w:r>
    </w:p>
    <w:p w14:paraId="0DCA9503" w14:textId="6E456D08" w:rsidR="006E388D" w:rsidRPr="009F784F" w:rsidRDefault="006E388D" w:rsidP="00641B58">
      <w:pPr>
        <w:spacing w:line="480" w:lineRule="auto"/>
        <w:rPr>
          <w:rFonts w:cs="Times New Roman"/>
          <w:sz w:val="24"/>
          <w:szCs w:val="28"/>
        </w:rPr>
      </w:pPr>
      <w:r w:rsidRPr="009F784F">
        <w:rPr>
          <w:rFonts w:cs="Times New Roman"/>
          <w:sz w:val="24"/>
          <w:szCs w:val="28"/>
        </w:rPr>
        <w:lastRenderedPageBreak/>
        <w:t xml:space="preserve">At experimental endpoint of mice (EAE day 30 or at EAE clinical score 3), an additional </w:t>
      </w:r>
      <w:r w:rsidR="0004609C">
        <w:rPr>
          <w:rFonts w:cs="Times New Roman"/>
          <w:sz w:val="24"/>
          <w:szCs w:val="28"/>
        </w:rPr>
        <w:t>6</w:t>
      </w:r>
      <w:r w:rsidRPr="009F784F">
        <w:rPr>
          <w:rFonts w:cs="Times New Roman"/>
          <w:sz w:val="24"/>
          <w:szCs w:val="28"/>
        </w:rPr>
        <w:t>00</w:t>
      </w:r>
      <w:r w:rsidR="00D3137A" w:rsidRPr="009F784F">
        <w:rPr>
          <w:rFonts w:cs="Times New Roman"/>
          <w:sz w:val="24"/>
          <w:szCs w:val="28"/>
        </w:rPr>
        <w:t>–</w:t>
      </w:r>
      <w:r w:rsidRPr="009F784F">
        <w:rPr>
          <w:rFonts w:cs="Times New Roman"/>
          <w:sz w:val="24"/>
          <w:szCs w:val="28"/>
        </w:rPr>
        <w:t xml:space="preserve">700 µL of cardiac blood was transferred to a gel serum separating tube and centrifuged at 1000 × g for 10 min.  Serum (50–90 µL) was stored at </w:t>
      </w:r>
      <w:r w:rsidR="00D3137A" w:rsidRPr="009F784F">
        <w:rPr>
          <w:rFonts w:cs="Times New Roman"/>
          <w:sz w:val="24"/>
          <w:szCs w:val="28"/>
        </w:rPr>
        <w:t>–</w:t>
      </w:r>
      <w:r w:rsidRPr="009F784F">
        <w:rPr>
          <w:rFonts w:cs="Times New Roman"/>
          <w:sz w:val="24"/>
          <w:szCs w:val="28"/>
        </w:rPr>
        <w:t xml:space="preserve">20°C for </w:t>
      </w:r>
      <w:proofErr w:type="spellStart"/>
      <w:r w:rsidRPr="009F784F">
        <w:rPr>
          <w:rFonts w:cs="Times New Roman"/>
          <w:sz w:val="24"/>
          <w:szCs w:val="28"/>
        </w:rPr>
        <w:t>NfL</w:t>
      </w:r>
      <w:proofErr w:type="spellEnd"/>
      <w:r w:rsidRPr="009F784F">
        <w:rPr>
          <w:rFonts w:cs="Times New Roman"/>
          <w:sz w:val="24"/>
          <w:szCs w:val="28"/>
        </w:rPr>
        <w:t xml:space="preserve"> analysis and the remainder was immediately transported at 4°C to Gribbles Veterinary Pathology (Clayton, Victoria) to measure T4, TSH, lipid profile</w:t>
      </w:r>
      <w:r w:rsidR="00F42347">
        <w:rPr>
          <w:rFonts w:cs="Times New Roman"/>
          <w:sz w:val="24"/>
          <w:szCs w:val="28"/>
        </w:rPr>
        <w:t xml:space="preserve"> </w:t>
      </w:r>
      <w:r w:rsidR="00F42347" w:rsidRPr="00F42347">
        <w:rPr>
          <w:rFonts w:cs="Times New Roman"/>
          <w:sz w:val="24"/>
          <w:szCs w:val="28"/>
        </w:rPr>
        <w:t>(total cholesterol, triglycerides, HDL, and LDL cholesterol)</w:t>
      </w:r>
      <w:r w:rsidRPr="009F784F">
        <w:rPr>
          <w:rFonts w:cs="Times New Roman"/>
          <w:sz w:val="24"/>
          <w:szCs w:val="28"/>
        </w:rPr>
        <w:t>, liver enzymes</w:t>
      </w:r>
      <w:r w:rsidR="00F42347">
        <w:rPr>
          <w:rFonts w:cs="Times New Roman"/>
          <w:sz w:val="24"/>
          <w:szCs w:val="28"/>
        </w:rPr>
        <w:t xml:space="preserve"> </w:t>
      </w:r>
      <w:r w:rsidR="00F42347" w:rsidRPr="00F42347">
        <w:rPr>
          <w:rFonts w:cs="Times New Roman"/>
          <w:sz w:val="24"/>
          <w:szCs w:val="28"/>
        </w:rPr>
        <w:t>(ALT, AST, ALP, and GGT)</w:t>
      </w:r>
      <w:r w:rsidRPr="009F784F">
        <w:rPr>
          <w:rFonts w:cs="Times New Roman"/>
          <w:sz w:val="24"/>
          <w:szCs w:val="28"/>
        </w:rPr>
        <w:t>, albumin and glucose.</w:t>
      </w:r>
    </w:p>
    <w:p w14:paraId="768721B4" w14:textId="77777777" w:rsidR="00724BAB" w:rsidRPr="009F784F" w:rsidRDefault="00724BAB" w:rsidP="00641B58">
      <w:pPr>
        <w:spacing w:line="480" w:lineRule="auto"/>
        <w:rPr>
          <w:rFonts w:cs="Times New Roman"/>
          <w:b/>
          <w:bCs/>
          <w:sz w:val="24"/>
          <w:szCs w:val="28"/>
          <w:lang w:val="en-US"/>
        </w:rPr>
      </w:pPr>
      <w:r w:rsidRPr="009F784F">
        <w:rPr>
          <w:rFonts w:cs="Times New Roman"/>
          <w:b/>
          <w:bCs/>
          <w:sz w:val="24"/>
          <w:szCs w:val="28"/>
          <w:lang w:val="en-US"/>
        </w:rPr>
        <w:t>Ex-vivo mouse spinal cord, optic nerve and brain tissue processing</w:t>
      </w:r>
    </w:p>
    <w:p w14:paraId="3924F8D7" w14:textId="737620B6" w:rsidR="00724BAB" w:rsidRPr="009F784F" w:rsidRDefault="00724BAB" w:rsidP="00641B58">
      <w:pPr>
        <w:spacing w:line="480" w:lineRule="auto"/>
        <w:rPr>
          <w:rFonts w:cs="Times New Roman"/>
          <w:sz w:val="24"/>
          <w:szCs w:val="28"/>
          <w:lang w:val="en-US"/>
        </w:rPr>
      </w:pPr>
      <w:r w:rsidRPr="009F784F">
        <w:rPr>
          <w:rFonts w:cs="Times New Roman"/>
          <w:sz w:val="24"/>
          <w:szCs w:val="28"/>
          <w:lang w:val="en-US"/>
        </w:rPr>
        <w:t xml:space="preserve">All mice were humanely euthanized via CO2 inhalation. For proteomic, metabolomic, and ultrastructural analyses, </w:t>
      </w:r>
      <w:proofErr w:type="spellStart"/>
      <w:r w:rsidRPr="009F784F">
        <w:rPr>
          <w:rFonts w:cs="Times New Roman"/>
          <w:sz w:val="24"/>
          <w:szCs w:val="28"/>
          <w:lang w:val="en-US"/>
        </w:rPr>
        <w:t>transcardial</w:t>
      </w:r>
      <w:proofErr w:type="spellEnd"/>
      <w:r w:rsidRPr="009F784F">
        <w:rPr>
          <w:rFonts w:cs="Times New Roman"/>
          <w:sz w:val="24"/>
          <w:szCs w:val="28"/>
          <w:lang w:val="en-US"/>
        </w:rPr>
        <w:t xml:space="preserve"> perfusion was performed with PBS alone. Spinal cords were immediately dissected, snap–frozen in liquid nitrogen, and stored at -80°C for downstream proteomics and metabolomic profiling. For transmission electron microscopy (TEM), optic nerves were dissected and immersion</w:t>
      </w:r>
      <w:bookmarkStart w:id="21" w:name="_Hlk212738789"/>
      <w:r w:rsidRPr="009F784F">
        <w:rPr>
          <w:rFonts w:cs="Times New Roman"/>
          <w:sz w:val="24"/>
          <w:szCs w:val="28"/>
          <w:lang w:val="en-US"/>
        </w:rPr>
        <w:t>–</w:t>
      </w:r>
      <w:bookmarkEnd w:id="21"/>
      <w:r w:rsidRPr="009F784F">
        <w:rPr>
          <w:rFonts w:cs="Times New Roman"/>
          <w:sz w:val="24"/>
          <w:szCs w:val="28"/>
          <w:lang w:val="en-US"/>
        </w:rPr>
        <w:t>fixed in a 2</w:t>
      </w:r>
      <w:bookmarkStart w:id="22" w:name="_Hlk212739171"/>
      <w:r w:rsidRPr="009F784F">
        <w:rPr>
          <w:rFonts w:cs="Times New Roman"/>
          <w:sz w:val="24"/>
          <w:szCs w:val="28"/>
          <w:lang w:val="en-US"/>
        </w:rPr>
        <w:t>·</w:t>
      </w:r>
      <w:bookmarkEnd w:id="22"/>
      <w:r w:rsidRPr="009F784F">
        <w:rPr>
          <w:rFonts w:cs="Times New Roman"/>
          <w:sz w:val="24"/>
          <w:szCs w:val="28"/>
          <w:lang w:val="en-US"/>
        </w:rPr>
        <w:t xml:space="preserve">5% glutaraldehyde/4% paraformaldehyde (GTA/PFA) mixture for 24 h at 4°C. The tissues were then washed in 0·1M sodium cacodylate buffer; optic nerves were sent to the Monash </w:t>
      </w:r>
      <w:proofErr w:type="spellStart"/>
      <w:r w:rsidRPr="009F784F">
        <w:rPr>
          <w:rFonts w:cs="Times New Roman"/>
          <w:sz w:val="24"/>
          <w:szCs w:val="28"/>
          <w:lang w:val="en-US"/>
        </w:rPr>
        <w:t>Ramaciotti</w:t>
      </w:r>
      <w:proofErr w:type="spellEnd"/>
      <w:r w:rsidRPr="009F784F">
        <w:rPr>
          <w:rFonts w:cs="Times New Roman"/>
          <w:sz w:val="24"/>
          <w:szCs w:val="28"/>
          <w:lang w:val="en-US"/>
        </w:rPr>
        <w:t xml:space="preserve"> Centre for Cryo-Electron Microscopy.  </w:t>
      </w:r>
    </w:p>
    <w:p w14:paraId="57F53F38" w14:textId="68A3D0D0" w:rsidR="00724BAB" w:rsidRPr="009F784F" w:rsidRDefault="00724BAB" w:rsidP="00641B58">
      <w:pPr>
        <w:spacing w:line="480" w:lineRule="auto"/>
        <w:rPr>
          <w:rFonts w:cs="Times New Roman"/>
          <w:sz w:val="24"/>
          <w:szCs w:val="28"/>
        </w:rPr>
      </w:pPr>
      <w:r w:rsidRPr="009F784F">
        <w:rPr>
          <w:rFonts w:cs="Times New Roman"/>
          <w:sz w:val="24"/>
          <w:szCs w:val="28"/>
          <w:lang w:val="en-US"/>
        </w:rPr>
        <w:t>For immunostaining and</w:t>
      </w:r>
      <w:r w:rsidR="00B522B2">
        <w:rPr>
          <w:rFonts w:cs="Times New Roman"/>
          <w:sz w:val="24"/>
          <w:szCs w:val="28"/>
          <w:lang w:val="en-US"/>
        </w:rPr>
        <w:t xml:space="preserve"> m</w:t>
      </w:r>
      <w:r w:rsidR="00B522B2" w:rsidRPr="00B522B2">
        <w:rPr>
          <w:rFonts w:cs="Times New Roman"/>
          <w:sz w:val="24"/>
          <w:szCs w:val="28"/>
          <w:lang w:val="en-US"/>
        </w:rPr>
        <w:t>agnetic resonance imaging</w:t>
      </w:r>
      <w:r w:rsidRPr="009F784F">
        <w:rPr>
          <w:rFonts w:cs="Times New Roman"/>
          <w:sz w:val="24"/>
          <w:szCs w:val="28"/>
          <w:lang w:val="en-US"/>
        </w:rPr>
        <w:t xml:space="preserve"> </w:t>
      </w:r>
      <w:r w:rsidR="00B522B2">
        <w:rPr>
          <w:rFonts w:cs="Times New Roman"/>
          <w:sz w:val="24"/>
          <w:szCs w:val="28"/>
          <w:lang w:val="en-US"/>
        </w:rPr>
        <w:t>(</w:t>
      </w:r>
      <w:r w:rsidRPr="009F784F">
        <w:rPr>
          <w:rFonts w:cs="Times New Roman"/>
          <w:sz w:val="24"/>
          <w:szCs w:val="28"/>
          <w:lang w:val="en-US"/>
        </w:rPr>
        <w:t>MRI</w:t>
      </w:r>
      <w:r w:rsidR="00B522B2">
        <w:rPr>
          <w:rFonts w:cs="Times New Roman"/>
          <w:sz w:val="24"/>
          <w:szCs w:val="28"/>
          <w:lang w:val="en-US"/>
        </w:rPr>
        <w:t>)</w:t>
      </w:r>
      <w:r w:rsidRPr="009F784F">
        <w:rPr>
          <w:rFonts w:cs="Times New Roman"/>
          <w:sz w:val="24"/>
          <w:szCs w:val="28"/>
          <w:lang w:val="en-US"/>
        </w:rPr>
        <w:t>, mice were perfused with PBS followed by 10 mL of ice–cold 4% PFA (Sigma–Aldrich, 441244). Spinal cords were post–fixed</w:t>
      </w:r>
      <w:r w:rsidRPr="009F784F">
        <w:rPr>
          <w:rFonts w:cs="Times New Roman"/>
          <w:sz w:val="24"/>
          <w:szCs w:val="28"/>
        </w:rPr>
        <w:t xml:space="preserve"> </w:t>
      </w:r>
      <w:r w:rsidRPr="009F784F">
        <w:rPr>
          <w:rFonts w:cs="Times New Roman"/>
          <w:sz w:val="24"/>
          <w:szCs w:val="28"/>
          <w:lang w:val="en-US"/>
        </w:rPr>
        <w:t xml:space="preserve">in 4% PFA overnight and for MRI, fixed tissues were shipped in 4% PFA to the Alfred Centre, where lumbosacral spinal cords were washed twice overnight in PBS to remove fixative and incubated in </w:t>
      </w:r>
      <w:proofErr w:type="spellStart"/>
      <w:r w:rsidRPr="009F784F">
        <w:rPr>
          <w:rFonts w:cs="Times New Roman"/>
          <w:sz w:val="24"/>
          <w:szCs w:val="28"/>
          <w:lang w:val="en-US"/>
        </w:rPr>
        <w:t>Fomblin</w:t>
      </w:r>
      <w:proofErr w:type="spellEnd"/>
      <w:r w:rsidRPr="009F784F">
        <w:rPr>
          <w:rFonts w:cs="Times New Roman"/>
          <w:sz w:val="24"/>
          <w:szCs w:val="28"/>
          <w:lang w:val="en-US"/>
        </w:rPr>
        <w:t xml:space="preserve"> overnight for imaging. Post–MRI, samples were washed in PBS (2× overnight at 4 °C), cryoprotected in 30% sucrose, embedded in OCT, and stored at −80 °C. All OCT–embedded tissues were sectioned longitudinally at 10 </w:t>
      </w:r>
      <w:r w:rsidR="00884DFA">
        <w:rPr>
          <w:rFonts w:cs="Times New Roman"/>
          <w:sz w:val="24"/>
          <w:szCs w:val="28"/>
          <w:lang w:val="en-US"/>
        </w:rPr>
        <w:t>µ</w:t>
      </w:r>
      <w:r w:rsidRPr="009F784F">
        <w:rPr>
          <w:rFonts w:cs="Times New Roman"/>
          <w:sz w:val="24"/>
          <w:szCs w:val="28"/>
          <w:lang w:val="en-US"/>
        </w:rPr>
        <w:t xml:space="preserve">m thickness using a Leica cryostat (−20 °C) and mounted on </w:t>
      </w:r>
      <w:proofErr w:type="spellStart"/>
      <w:r w:rsidRPr="009F784F">
        <w:rPr>
          <w:rFonts w:cs="Times New Roman"/>
          <w:sz w:val="24"/>
          <w:szCs w:val="28"/>
          <w:lang w:val="en-US"/>
        </w:rPr>
        <w:t>Superfrost</w:t>
      </w:r>
      <w:proofErr w:type="spellEnd"/>
      <w:r w:rsidRPr="009F784F">
        <w:rPr>
          <w:rFonts w:cs="Times New Roman"/>
          <w:sz w:val="24"/>
          <w:szCs w:val="28"/>
          <w:lang w:val="en-US"/>
        </w:rPr>
        <w:t xml:space="preserve"> Plus slides (Thermo Scientific, J1800AMNZ) for downstream fate map analysis.    </w:t>
      </w:r>
    </w:p>
    <w:p w14:paraId="62B2D844" w14:textId="77777777" w:rsidR="006E388D" w:rsidRPr="009F784F" w:rsidRDefault="006E388D" w:rsidP="00641B58">
      <w:pPr>
        <w:pStyle w:val="Style2"/>
        <w:spacing w:line="480" w:lineRule="auto"/>
        <w:rPr>
          <w:sz w:val="24"/>
          <w:szCs w:val="24"/>
        </w:rPr>
      </w:pPr>
      <w:bookmarkStart w:id="23" w:name="_Toc217294924"/>
      <w:r w:rsidRPr="009F784F">
        <w:rPr>
          <w:sz w:val="24"/>
          <w:szCs w:val="24"/>
        </w:rPr>
        <w:lastRenderedPageBreak/>
        <w:t>Metabolomics:</w:t>
      </w:r>
      <w:bookmarkEnd w:id="23"/>
    </w:p>
    <w:p w14:paraId="021F949B" w14:textId="77777777" w:rsidR="006E388D" w:rsidRPr="009F784F" w:rsidRDefault="006E388D" w:rsidP="00641B58">
      <w:pPr>
        <w:spacing w:line="480" w:lineRule="auto"/>
        <w:rPr>
          <w:rFonts w:cs="Times New Roman"/>
          <w:b/>
          <w:bCs/>
          <w:sz w:val="24"/>
          <w:szCs w:val="28"/>
        </w:rPr>
      </w:pPr>
      <w:r w:rsidRPr="009F784F">
        <w:rPr>
          <w:rFonts w:cs="Times New Roman"/>
          <w:b/>
          <w:bCs/>
          <w:sz w:val="24"/>
          <w:szCs w:val="28"/>
        </w:rPr>
        <w:t>Sample Preparation</w:t>
      </w:r>
    </w:p>
    <w:p w14:paraId="30F15AAA" w14:textId="10057B72" w:rsidR="006E388D" w:rsidRPr="009F784F" w:rsidRDefault="00440225" w:rsidP="00641B58">
      <w:pPr>
        <w:spacing w:line="480" w:lineRule="auto"/>
        <w:rPr>
          <w:rFonts w:cs="Times New Roman"/>
          <w:sz w:val="24"/>
          <w:szCs w:val="28"/>
        </w:rPr>
      </w:pPr>
      <w:r w:rsidRPr="009F784F">
        <w:rPr>
          <w:rFonts w:cs="Times New Roman"/>
          <w:sz w:val="24"/>
          <w:szCs w:val="28"/>
        </w:rPr>
        <w:t xml:space="preserve">Metabolomic </w:t>
      </w:r>
      <w:r>
        <w:rPr>
          <w:rFonts w:cs="Times New Roman"/>
          <w:sz w:val="24"/>
          <w:szCs w:val="28"/>
        </w:rPr>
        <w:t>profiling</w:t>
      </w:r>
      <w:r w:rsidRPr="009F784F">
        <w:rPr>
          <w:rFonts w:cs="Times New Roman"/>
          <w:sz w:val="24"/>
          <w:szCs w:val="28"/>
        </w:rPr>
        <w:t xml:space="preserve"> of murine spinal cords was performed as has been described previously with minor modifications</w:t>
      </w:r>
      <w:r w:rsidRPr="009F784F">
        <w:rPr>
          <w:rFonts w:cs="Times New Roman"/>
          <w:sz w:val="24"/>
          <w:szCs w:val="28"/>
        </w:rPr>
        <w:fldChar w:fldCharType="begin">
          <w:fldData xml:space="preserve">PEVuZE5vdGU+PENpdGU+PEF1dGhvcj5SdXBhcmVsaWE8L0F1dGhvcj48WWVhcj4yMDI0PC9ZZWFy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</w:fldData>
        </w:fldChar>
      </w:r>
      <w:r w:rsidRPr="009F784F">
        <w:rPr>
          <w:rFonts w:cs="Times New Roman"/>
          <w:sz w:val="24"/>
          <w:szCs w:val="28"/>
        </w:rPr>
        <w:instrText xml:space="preserve"> ADDIN EN.CITE </w:instrText>
      </w:r>
      <w:r w:rsidRPr="009F784F">
        <w:rPr>
          <w:rFonts w:cs="Times New Roman"/>
          <w:sz w:val="24"/>
          <w:szCs w:val="28"/>
        </w:rPr>
        <w:fldChar w:fldCharType="begin">
          <w:fldData xml:space="preserve">PEVuZE5vdGU+PENpdGU+PEF1dGhvcj5SdXBhcmVsaWE8L0F1dGhvcj48WWVhcj4yMDI0PC9ZZWFy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</w:fldData>
        </w:fldChar>
      </w:r>
      <w:r w:rsidRPr="009F784F">
        <w:rPr>
          <w:rFonts w:cs="Times New Roman"/>
          <w:sz w:val="24"/>
          <w:szCs w:val="28"/>
        </w:rPr>
        <w:instrText xml:space="preserve"> ADDIN EN.CITE.DATA </w:instrText>
      </w:r>
      <w:r w:rsidRPr="009F784F">
        <w:rPr>
          <w:rFonts w:cs="Times New Roman"/>
          <w:sz w:val="24"/>
          <w:szCs w:val="28"/>
        </w:rPr>
      </w:r>
      <w:r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Pr="009F784F">
        <w:rPr>
          <w:rFonts w:cs="Times New Roman"/>
          <w:noProof/>
          <w:sz w:val="24"/>
          <w:szCs w:val="28"/>
          <w:vertAlign w:val="superscript"/>
        </w:rPr>
        <w:t>9,10</w:t>
      </w:r>
      <w:r w:rsidRPr="009F784F">
        <w:rPr>
          <w:rFonts w:cs="Times New Roman"/>
          <w:sz w:val="24"/>
          <w:szCs w:val="28"/>
        </w:rPr>
        <w:fldChar w:fldCharType="end"/>
      </w:r>
      <w:r>
        <w:rPr>
          <w:rFonts w:cs="Times New Roman"/>
          <w:sz w:val="24"/>
          <w:szCs w:val="28"/>
        </w:rPr>
        <w:t xml:space="preserve"> </w:t>
      </w:r>
      <w:r w:rsidR="006E388D" w:rsidRPr="009F784F">
        <w:rPr>
          <w:rFonts w:cs="Times New Roman"/>
          <w:sz w:val="24"/>
          <w:szCs w:val="28"/>
        </w:rPr>
        <w:t xml:space="preserve">Frozen tissue samples from mouse spinal cords </w:t>
      </w:r>
      <w:r w:rsidRPr="009F784F">
        <w:rPr>
          <w:rFonts w:cs="Times New Roman"/>
          <w:sz w:val="24"/>
          <w:szCs w:val="28"/>
        </w:rPr>
        <w:t>(</w:t>
      </w:r>
      <w:r>
        <w:rPr>
          <w:rFonts w:cs="Times New Roman"/>
          <w:sz w:val="24"/>
          <w:szCs w:val="28"/>
        </w:rPr>
        <w:t xml:space="preserve">lumbosacral </w:t>
      </w:r>
      <w:r w:rsidR="005B3FB3">
        <w:rPr>
          <w:rFonts w:cs="Times New Roman"/>
          <w:sz w:val="24"/>
          <w:szCs w:val="28"/>
        </w:rPr>
        <w:t xml:space="preserve"> (LSSC) </w:t>
      </w:r>
      <w:r>
        <w:rPr>
          <w:rFonts w:cs="Times New Roman"/>
          <w:sz w:val="24"/>
          <w:szCs w:val="28"/>
        </w:rPr>
        <w:t>and thoracis</w:t>
      </w:r>
      <w:r w:rsidR="005B3FB3">
        <w:rPr>
          <w:rFonts w:cs="Times New Roman"/>
          <w:sz w:val="24"/>
          <w:szCs w:val="28"/>
        </w:rPr>
        <w:t xml:space="preserve"> (TSC)</w:t>
      </w:r>
      <w:r>
        <w:rPr>
          <w:rFonts w:cs="Times New Roman"/>
          <w:sz w:val="24"/>
          <w:szCs w:val="28"/>
        </w:rPr>
        <w:t xml:space="preserve"> regions; </w:t>
      </w:r>
      <w:r w:rsidR="006E388D" w:rsidRPr="009F784F">
        <w:rPr>
          <w:rFonts w:cs="Times New Roman"/>
          <w:sz w:val="24"/>
          <w:szCs w:val="28"/>
        </w:rPr>
        <w:t xml:space="preserve">treated with TH </w:t>
      </w:r>
      <w:r w:rsidR="00196457" w:rsidRPr="009F784F">
        <w:rPr>
          <w:rFonts w:cs="Times New Roman"/>
          <w:sz w:val="24"/>
          <w:szCs w:val="28"/>
        </w:rPr>
        <w:t>analog</w:t>
      </w:r>
      <w:r w:rsidR="00196457">
        <w:rPr>
          <w:rFonts w:cs="Times New Roman"/>
          <w:sz w:val="24"/>
          <w:szCs w:val="28"/>
        </w:rPr>
        <w:t>ous</w:t>
      </w:r>
      <w:r w:rsidR="006E388D" w:rsidRPr="009F784F">
        <w:rPr>
          <w:rFonts w:cs="Times New Roman"/>
          <w:sz w:val="24"/>
          <w:szCs w:val="28"/>
        </w:rPr>
        <w:t xml:space="preserve">, corn oil as vehicle control, or Naive) were </w:t>
      </w:r>
      <w:proofErr w:type="spellStart"/>
      <w:r w:rsidR="006E388D" w:rsidRPr="009F784F">
        <w:rPr>
          <w:rFonts w:cs="Times New Roman"/>
          <w:sz w:val="24"/>
          <w:szCs w:val="28"/>
        </w:rPr>
        <w:t>cryo</w:t>
      </w:r>
      <w:proofErr w:type="spellEnd"/>
      <w:r w:rsidR="00D3137A" w:rsidRPr="009F784F">
        <w:rPr>
          <w:rFonts w:cs="Times New Roman"/>
          <w:sz w:val="24"/>
          <w:szCs w:val="28"/>
        </w:rPr>
        <w:t>–</w:t>
      </w:r>
      <w:r w:rsidR="006E388D" w:rsidRPr="009F784F">
        <w:rPr>
          <w:rFonts w:cs="Times New Roman"/>
          <w:sz w:val="24"/>
          <w:szCs w:val="28"/>
        </w:rPr>
        <w:t>pulverized (30mg powder)</w:t>
      </w:r>
      <w:r w:rsidRPr="00440225">
        <w:rPr>
          <w:rFonts w:cs="Times New Roman"/>
          <w:sz w:val="24"/>
          <w:szCs w:val="28"/>
        </w:rPr>
        <w:t xml:space="preserve"> </w:t>
      </w:r>
      <w:r w:rsidRPr="009F784F">
        <w:rPr>
          <w:rFonts w:cs="Times New Roman"/>
          <w:sz w:val="24"/>
          <w:szCs w:val="28"/>
        </w:rPr>
        <w:t xml:space="preserve">using a 12–well </w:t>
      </w:r>
      <w:proofErr w:type="spellStart"/>
      <w:r w:rsidRPr="009F784F">
        <w:rPr>
          <w:rFonts w:cs="Times New Roman"/>
          <w:sz w:val="24"/>
          <w:szCs w:val="28"/>
        </w:rPr>
        <w:t>biopulverizer</w:t>
      </w:r>
      <w:proofErr w:type="spellEnd"/>
      <w:r w:rsidRPr="009F784F">
        <w:rPr>
          <w:rFonts w:cs="Times New Roman"/>
          <w:sz w:val="24"/>
          <w:szCs w:val="28"/>
        </w:rPr>
        <w:t xml:space="preserve"> (</w:t>
      </w:r>
      <w:proofErr w:type="spellStart"/>
      <w:r w:rsidRPr="009F784F">
        <w:rPr>
          <w:rFonts w:cs="Times New Roman"/>
          <w:sz w:val="24"/>
          <w:szCs w:val="28"/>
        </w:rPr>
        <w:t>BioSpec</w:t>
      </w:r>
      <w:proofErr w:type="spellEnd"/>
      <w:r w:rsidRPr="009F784F">
        <w:rPr>
          <w:rFonts w:cs="Times New Roman"/>
          <w:sz w:val="24"/>
          <w:szCs w:val="28"/>
        </w:rPr>
        <w:t xml:space="preserve"> Products, OK USA Part number 59012MS) according to the manufacturer’s instructions as has been described previously.</w:t>
      </w:r>
      <w:r w:rsidRPr="009F784F">
        <w:rPr>
          <w:rFonts w:cs="Times New Roman"/>
          <w:sz w:val="24"/>
          <w:szCs w:val="28"/>
        </w:rPr>
        <w:fldChar w:fldCharType="begin"/>
      </w:r>
      <w:r w:rsidRPr="009F784F">
        <w:rPr>
          <w:rFonts w:cs="Times New Roman"/>
          <w:sz w:val="24"/>
          <w:szCs w:val="28"/>
        </w:rPr>
        <w:instrText xml:space="preserve"> ADDIN EN.CITE &lt;EndNote&gt;&lt;Cite&gt;&lt;Author&gt;Ruparelia&lt;/Author&gt;&lt;Year&gt;2024&lt;/Year&gt;&lt;RecNum&gt;667&lt;/RecNum&gt;&lt;DisplayText&gt;&lt;style face="superscript"&gt;9&lt;/style&gt;&lt;/DisplayText&gt;&lt;record&gt;&lt;rec-number&gt;667&lt;/rec-number&gt;&lt;foreign-keys&gt;&lt;key app="EN" db-id="05xad0tf15f9weepssy5td09frpw0wxe5vfa" timestamp="1744346419"&gt;667&lt;/key&gt;&lt;/foreign-keys&gt;&lt;ref-type name="Journal Article"&gt;17&lt;/ref-type&gt;&lt;contributors&gt;&lt;authors&gt;&lt;author&gt;Ruparelia, Avnika A.&lt;/author&gt;&lt;author&gt;Salavaty, Adrian&lt;/author&gt;&lt;author&gt;Barlow, Christopher K.&lt;/author&gt;&lt;author&gt;Lu, Yansong&lt;/author&gt;&lt;author&gt;Sonntag, Carmen&lt;/author&gt;&lt;author&gt;Hersey, Lucy&lt;/author&gt;&lt;author&gt;Eramo, Matthew J.&lt;/author&gt;&lt;author&gt;Krug, Johannes&lt;/author&gt;&lt;author&gt;Reuter, Hanna&lt;/author&gt;&lt;author&gt;Schittenhelm, Ralf B.&lt;/author&gt;&lt;author&gt;Ramialison, Mirana&lt;/author&gt;&lt;author&gt;Cox, Andrew&lt;/author&gt;&lt;author&gt;Ryan, Michael T.&lt;/author&gt;&lt;author&gt;Creek, Darren J.&lt;/author&gt;&lt;author&gt;Englert, Christoph&lt;/author&gt;&lt;author&gt;Currie, Peter D.&lt;/author&gt;&lt;/authors&gt;&lt;/contributors&gt;&lt;titles&gt;&lt;title&gt;The African killifish: A short-lived vertebrate model to study the biology of sarcopenia and longevity&lt;/title&gt;&lt;secondary-title&gt;Aging Cell&lt;/secondary-title&gt;&lt;/titles&gt;&lt;pages&gt;e13862&lt;/pages&gt;&lt;volume&gt;23&lt;/volume&gt;&lt;number&gt;1&lt;/number&gt;&lt;keywords&gt;&lt;keyword&gt;killifish&lt;/keyword&gt;&lt;keyword&gt;longevity&lt;/keyword&gt;&lt;keyword&gt;mitohormesis&lt;/keyword&gt;&lt;keyword&gt;sarcopenia&lt;/keyword&gt;&lt;keyword&gt;skeletal muscle&lt;/keyword&gt;&lt;/keywords&gt;&lt;dates&gt;&lt;year&gt;2024&lt;/year&gt;&lt;pub-dates&gt;&lt;date&gt;2024/01/01&lt;/date&gt;&lt;/pub-dates&gt;&lt;/dates&gt;&lt;publisher&gt;John Wiley &amp;amp; Sons, Ltd&lt;/publisher&gt;&lt;isbn&gt;1474-9718&lt;/isbn&gt;&lt;urls&gt;&lt;related-urls&gt;&lt;url&gt;https://doi.org/10.1111/acel.13862&lt;/url&gt;&lt;/related-urls&gt;&lt;/urls&gt;&lt;electronic-resource-num&gt;https://doi.org/10.1111/acel.13862&lt;/electronic-resource-num&gt;&lt;access-date&gt;2025/04/10&lt;/access-date&gt;&lt;/record&gt;&lt;/Cite&gt;&lt;/EndNote&gt;</w:instrText>
      </w:r>
      <w:r w:rsidRPr="009F784F">
        <w:rPr>
          <w:rFonts w:cs="Times New Roman"/>
          <w:sz w:val="24"/>
          <w:szCs w:val="28"/>
        </w:rPr>
        <w:fldChar w:fldCharType="separate"/>
      </w:r>
      <w:r w:rsidRPr="009F784F">
        <w:rPr>
          <w:rFonts w:cs="Times New Roman"/>
          <w:noProof/>
          <w:sz w:val="24"/>
          <w:szCs w:val="28"/>
          <w:vertAlign w:val="superscript"/>
        </w:rPr>
        <w:t>9</w:t>
      </w:r>
      <w:r w:rsidRPr="009F784F">
        <w:rPr>
          <w:rFonts w:cs="Times New Roman"/>
          <w:sz w:val="24"/>
          <w:szCs w:val="28"/>
        </w:rPr>
        <w:fldChar w:fldCharType="end"/>
      </w:r>
      <w:r w:rsidR="006E388D" w:rsidRPr="009F784F">
        <w:rPr>
          <w:rFonts w:cs="Times New Roman"/>
          <w:sz w:val="24"/>
          <w:szCs w:val="28"/>
        </w:rPr>
        <w:t xml:space="preserve"> Extraction was performed using a 1:3:0</w:t>
      </w:r>
      <w:r w:rsidR="00E86F24" w:rsidRPr="009F784F">
        <w:rPr>
          <w:rFonts w:cs="Times New Roman"/>
          <w:sz w:val="24"/>
          <w:szCs w:val="28"/>
          <w:lang w:val="en-US"/>
        </w:rPr>
        <w:t>·</w:t>
      </w:r>
      <w:r w:rsidR="006E388D" w:rsidRPr="009F784F">
        <w:rPr>
          <w:rFonts w:cs="Times New Roman"/>
          <w:sz w:val="24"/>
          <w:szCs w:val="28"/>
        </w:rPr>
        <w:t>5 chloroform/methanol/water solvent system with 2 µM CCPT.</w:t>
      </w:r>
      <w:r w:rsidR="00EF5A08" w:rsidRPr="009F784F">
        <w:rPr>
          <w:rFonts w:cs="Times New Roman"/>
          <w:sz w:val="24"/>
          <w:szCs w:val="28"/>
        </w:rPr>
        <w:t xml:space="preserve"> </w:t>
      </w:r>
      <w:proofErr w:type="spellStart"/>
      <w:r w:rsidR="006E388D" w:rsidRPr="009F784F">
        <w:rPr>
          <w:rFonts w:cs="Times New Roman"/>
          <w:sz w:val="24"/>
          <w:szCs w:val="28"/>
        </w:rPr>
        <w:t>Cryo</w:t>
      </w:r>
      <w:proofErr w:type="spellEnd"/>
      <w:r w:rsidR="00D3137A" w:rsidRPr="009F784F">
        <w:rPr>
          <w:rFonts w:cs="Times New Roman"/>
          <w:sz w:val="24"/>
          <w:szCs w:val="28"/>
        </w:rPr>
        <w:t>–</w:t>
      </w:r>
      <w:r w:rsidR="006E388D" w:rsidRPr="009F784F">
        <w:rPr>
          <w:rFonts w:cs="Times New Roman"/>
          <w:sz w:val="24"/>
          <w:szCs w:val="28"/>
        </w:rPr>
        <w:t>pulverized tissue was weighed, and 400 µL of ice</w:t>
      </w:r>
      <w:r w:rsidR="00D3137A" w:rsidRPr="009F784F">
        <w:rPr>
          <w:rFonts w:cs="Times New Roman"/>
          <w:sz w:val="24"/>
          <w:szCs w:val="28"/>
        </w:rPr>
        <w:t>–</w:t>
      </w:r>
      <w:r w:rsidR="006E388D" w:rsidRPr="009F784F">
        <w:rPr>
          <w:rFonts w:cs="Times New Roman"/>
          <w:sz w:val="24"/>
          <w:szCs w:val="28"/>
        </w:rPr>
        <w:t>cold extraction solvent was added on ice. After processing, additional solvent was added to reach 20 µL/mg tissue. Samples were vortexed (3 × 10 sec), sonicated (10 min, ice</w:t>
      </w:r>
      <w:r w:rsidR="00D3137A" w:rsidRPr="009F784F">
        <w:rPr>
          <w:rFonts w:cs="Times New Roman"/>
          <w:sz w:val="24"/>
          <w:szCs w:val="28"/>
        </w:rPr>
        <w:t>–</w:t>
      </w:r>
      <w:r w:rsidR="006E388D" w:rsidRPr="009F784F">
        <w:rPr>
          <w:rFonts w:cs="Times New Roman"/>
          <w:sz w:val="24"/>
          <w:szCs w:val="28"/>
        </w:rPr>
        <w:t xml:space="preserve">water bath), and centrifuged (10 min, 4°C) to remove debris. Supernatants were stored at </w:t>
      </w:r>
      <w:r w:rsidR="00D3137A" w:rsidRPr="009F784F">
        <w:rPr>
          <w:rFonts w:cs="Times New Roman"/>
          <w:sz w:val="24"/>
          <w:szCs w:val="28"/>
        </w:rPr>
        <w:t>–</w:t>
      </w:r>
      <w:r w:rsidR="006E388D" w:rsidRPr="009F784F">
        <w:rPr>
          <w:rFonts w:cs="Times New Roman"/>
          <w:sz w:val="24"/>
          <w:szCs w:val="28"/>
        </w:rPr>
        <w:t>80°C</w:t>
      </w:r>
      <w:r>
        <w:rPr>
          <w:rFonts w:cs="Times New Roman"/>
          <w:sz w:val="24"/>
          <w:szCs w:val="28"/>
        </w:rPr>
        <w:t xml:space="preserve"> and used for </w:t>
      </w:r>
      <w:r w:rsidRPr="009F784F">
        <w:rPr>
          <w:rFonts w:cs="Times New Roman"/>
          <w:sz w:val="24"/>
          <w:szCs w:val="28"/>
        </w:rPr>
        <w:t>subsequent liquid chromatography coupled to high–resolution mass spectrometry (LC−MS) analysis</w:t>
      </w:r>
      <w:r w:rsidR="006E388D" w:rsidRPr="009F784F">
        <w:rPr>
          <w:rFonts w:cs="Times New Roman"/>
          <w:sz w:val="24"/>
          <w:szCs w:val="28"/>
        </w:rPr>
        <w:t>. For pooled biological QC (</w:t>
      </w:r>
      <w:proofErr w:type="spellStart"/>
      <w:r w:rsidR="006E388D" w:rsidRPr="009F784F">
        <w:rPr>
          <w:rFonts w:cs="Times New Roman"/>
          <w:sz w:val="24"/>
          <w:szCs w:val="28"/>
        </w:rPr>
        <w:t>pbQC</w:t>
      </w:r>
      <w:proofErr w:type="spellEnd"/>
      <w:r w:rsidR="006E388D" w:rsidRPr="009F784F">
        <w:rPr>
          <w:rFonts w:cs="Times New Roman"/>
          <w:sz w:val="24"/>
          <w:szCs w:val="28"/>
        </w:rPr>
        <w:t xml:space="preserve">), 10 µL of reconstituted lysates from each sample were combined. </w:t>
      </w:r>
    </w:p>
    <w:p w14:paraId="643BCB4B" w14:textId="0D3DE30A" w:rsidR="006E388D" w:rsidRPr="009F784F" w:rsidRDefault="006E388D" w:rsidP="00641B58">
      <w:pPr>
        <w:spacing w:line="480" w:lineRule="auto"/>
        <w:rPr>
          <w:rFonts w:cs="Times New Roman"/>
          <w:b/>
          <w:bCs/>
          <w:sz w:val="24"/>
          <w:szCs w:val="28"/>
        </w:rPr>
      </w:pPr>
      <w:r w:rsidRPr="009F784F">
        <w:rPr>
          <w:rFonts w:cs="Times New Roman"/>
          <w:b/>
          <w:bCs/>
          <w:sz w:val="24"/>
          <w:szCs w:val="28"/>
        </w:rPr>
        <w:t>Mass Spectrometry acquisition</w:t>
      </w:r>
      <w:r w:rsidR="003C3EEE" w:rsidRPr="009F784F">
        <w:rPr>
          <w:rFonts w:cs="Times New Roman"/>
          <w:b/>
          <w:bCs/>
          <w:sz w:val="24"/>
          <w:szCs w:val="28"/>
        </w:rPr>
        <w:t xml:space="preserve"> </w:t>
      </w:r>
    </w:p>
    <w:p w14:paraId="64F2D88E" w14:textId="0F456D1B" w:rsidR="006E388D" w:rsidRPr="009F784F" w:rsidRDefault="0074005E" w:rsidP="00641B58">
      <w:pPr>
        <w:spacing w:line="480" w:lineRule="auto"/>
        <w:rPr>
          <w:rFonts w:cs="Times New Roman"/>
          <w:sz w:val="24"/>
          <w:szCs w:val="28"/>
        </w:rPr>
      </w:pPr>
      <w:r w:rsidRPr="009F784F">
        <w:rPr>
          <w:rFonts w:cs="Times New Roman"/>
          <w:sz w:val="24"/>
          <w:szCs w:val="28"/>
        </w:rPr>
        <w:t>LC-MS analysis was performed using Vanquish Horizon coupled to a Q</w:t>
      </w:r>
      <w:r w:rsidR="00AD0332" w:rsidRPr="009F784F">
        <w:rPr>
          <w:rFonts w:cs="Times New Roman"/>
          <w:sz w:val="24"/>
          <w:szCs w:val="28"/>
        </w:rPr>
        <w:t>−</w:t>
      </w:r>
      <w:proofErr w:type="spellStart"/>
      <w:r w:rsidRPr="009F784F">
        <w:rPr>
          <w:rFonts w:cs="Times New Roman"/>
          <w:sz w:val="24"/>
          <w:szCs w:val="28"/>
        </w:rPr>
        <w:t>Exactive</w:t>
      </w:r>
      <w:proofErr w:type="spellEnd"/>
      <w:r w:rsidRPr="009F784F">
        <w:rPr>
          <w:rFonts w:cs="Times New Roman"/>
          <w:sz w:val="24"/>
          <w:szCs w:val="28"/>
        </w:rPr>
        <w:t xml:space="preserve"> Plus Orbitrap MS (Thermo Scientific, Australia). Samples were analysed by hydrophilic interaction liquid chromatography (HILIC) following a previously published method</w:t>
      </w:r>
      <w:r w:rsidR="00AD0332" w:rsidRPr="009F784F">
        <w:rPr>
          <w:rFonts w:cs="Times New Roman"/>
          <w:sz w:val="24"/>
          <w:szCs w:val="28"/>
        </w:rPr>
        <w:t>.</w:t>
      </w:r>
      <w:r w:rsidRPr="009F784F">
        <w:rPr>
          <w:rFonts w:cs="Times New Roman"/>
          <w:sz w:val="24"/>
          <w:szCs w:val="28"/>
        </w:rPr>
        <w:fldChar w:fldCharType="begin"/>
      </w:r>
      <w:r w:rsidRPr="009F784F">
        <w:rPr>
          <w:rFonts w:cs="Times New Roman"/>
          <w:sz w:val="24"/>
          <w:szCs w:val="28"/>
        </w:rPr>
        <w:instrText xml:space="preserve"> ADDIN EN.CITE &lt;EndNote&gt;&lt;Cite&gt;&lt;Author&gt;Stoessel&lt;/Author&gt;&lt;Year&gt;2016&lt;/Year&gt;&lt;RecNum&gt;9&lt;/RecNum&gt;&lt;DisplayText&gt;&lt;style face="superscript"&gt;11&lt;/style&gt;&lt;/DisplayText&gt;&lt;record&gt;&lt;rec-number&gt;9&lt;/rec-number&gt;&lt;foreign-keys&gt;&lt;key app="EN" db-id="pw5rfdtfhvs2fje5vzpv92s42rzwsxax9rpr" timestamp="1636350699"&gt;9&lt;/key&gt;&lt;/foreign-keys&gt;&lt;ref-type name="Journal Article"&gt;17&lt;/ref-type&gt;&lt;contributors&gt;&lt;authors&gt;&lt;author&gt;Stoessel, D&lt;/author&gt;&lt;author&gt;Nowell, CJ&lt;/author&gt;&lt;author&gt;Jones, AJ&lt;/author&gt;&lt;author&gt;Ferrins, L&lt;/author&gt;&lt;author&gt;Ellis, KM&lt;/author&gt;&lt;author&gt;Riley, J&lt;/author&gt;&lt;author&gt;Rahmani, R&lt;/author&gt;&lt;author&gt;Read, KD&lt;/author&gt;&lt;author&gt;McConville, MJ&lt;/author&gt;&lt;author&gt;Avery, VM&lt;/author&gt;&lt;/authors&gt;&lt;/contributors&gt;&lt;titles&gt;&lt;title&gt;Metabolomics and lipidomics reveal perturbation of sphingolipid metabolism by a novel anti-trypanosomal 3-(oxazolo [4, 5-b] pyridine-2-yl) anilide&lt;/title&gt;&lt;secondary-title&gt;Metabolomics&lt;/secondary-title&gt;&lt;/titles&gt;&lt;pages&gt;126&lt;/pages&gt;&lt;volume&gt;12&lt;/volume&gt;&lt;number&gt;7&lt;/number&gt;&lt;dates&gt;&lt;year&gt;2016&lt;/year&gt;&lt;/dates&gt;&lt;isbn&gt;1573-3882&lt;/isbn&gt;&lt;urls&gt;&lt;/urls&gt;&lt;/record&gt;&lt;/Cite&gt;&lt;/EndNote&gt;</w:instrText>
      </w:r>
      <w:r w:rsidRPr="009F784F">
        <w:rPr>
          <w:rFonts w:cs="Times New Roman"/>
          <w:sz w:val="24"/>
          <w:szCs w:val="28"/>
        </w:rPr>
        <w:fldChar w:fldCharType="separate"/>
      </w:r>
      <w:r w:rsidRPr="009F784F">
        <w:rPr>
          <w:rFonts w:cs="Times New Roman"/>
          <w:noProof/>
          <w:sz w:val="24"/>
          <w:szCs w:val="28"/>
          <w:vertAlign w:val="superscript"/>
        </w:rPr>
        <w:t>11</w:t>
      </w:r>
      <w:r w:rsidRPr="009F784F">
        <w:rPr>
          <w:rFonts w:cs="Times New Roman"/>
          <w:sz w:val="24"/>
          <w:szCs w:val="28"/>
        </w:rPr>
        <w:fldChar w:fldCharType="end"/>
      </w:r>
      <w:r w:rsidRPr="009F784F">
        <w:rPr>
          <w:rFonts w:cs="Times New Roman"/>
          <w:sz w:val="24"/>
          <w:szCs w:val="28"/>
        </w:rPr>
        <w:t xml:space="preserve"> The chromatography utilized a HILIC Column 5µm 150 x 4</w:t>
      </w:r>
      <w:r w:rsidR="00E86F24" w:rsidRPr="009F784F">
        <w:rPr>
          <w:rFonts w:cs="Times New Roman"/>
          <w:sz w:val="24"/>
          <w:szCs w:val="28"/>
          <w:lang w:val="en-US"/>
        </w:rPr>
        <w:t>·</w:t>
      </w:r>
      <w:r w:rsidRPr="009F784F">
        <w:rPr>
          <w:rFonts w:cs="Times New Roman"/>
          <w:sz w:val="24"/>
          <w:szCs w:val="28"/>
        </w:rPr>
        <w:t xml:space="preserve">6 mm (25 °C) a </w:t>
      </w:r>
      <w:proofErr w:type="spellStart"/>
      <w:r w:rsidRPr="009F784F">
        <w:rPr>
          <w:rFonts w:cs="Times New Roman"/>
          <w:sz w:val="24"/>
          <w:szCs w:val="28"/>
        </w:rPr>
        <w:t>iHILIC</w:t>
      </w:r>
      <w:proofErr w:type="spellEnd"/>
      <w:r w:rsidRPr="009F784F">
        <w:rPr>
          <w:rFonts w:cs="Times New Roman"/>
          <w:sz w:val="24"/>
          <w:szCs w:val="28"/>
        </w:rPr>
        <w:t>®-(P) Classic (</w:t>
      </w:r>
      <w:proofErr w:type="spellStart"/>
      <w:r w:rsidRPr="009F784F">
        <w:rPr>
          <w:rFonts w:cs="Times New Roman"/>
          <w:sz w:val="24"/>
          <w:szCs w:val="28"/>
        </w:rPr>
        <w:t>Hilicon</w:t>
      </w:r>
      <w:proofErr w:type="spellEnd"/>
      <w:r w:rsidRPr="009F784F">
        <w:rPr>
          <w:rFonts w:cs="Times New Roman"/>
          <w:sz w:val="24"/>
          <w:szCs w:val="28"/>
        </w:rPr>
        <w:t xml:space="preserve">, </w:t>
      </w:r>
      <w:proofErr w:type="spellStart"/>
      <w:r w:rsidRPr="009F784F">
        <w:rPr>
          <w:rFonts w:cs="Times New Roman"/>
          <w:sz w:val="24"/>
          <w:szCs w:val="28"/>
        </w:rPr>
        <w:t>Sweeden</w:t>
      </w:r>
      <w:proofErr w:type="spellEnd"/>
      <w:r w:rsidRPr="009F784F">
        <w:rPr>
          <w:rFonts w:cs="Times New Roman"/>
          <w:sz w:val="24"/>
          <w:szCs w:val="28"/>
        </w:rPr>
        <w:t xml:space="preserve">). </w:t>
      </w:r>
      <w:r w:rsidR="00E457FA" w:rsidRPr="009F784F">
        <w:rPr>
          <w:rFonts w:cs="Times New Roman"/>
          <w:sz w:val="24"/>
          <w:szCs w:val="28"/>
        </w:rPr>
        <w:t xml:space="preserve">All LC–MS procedures were performed as previously described </w:t>
      </w:r>
      <w:r w:rsidR="003C3EEE" w:rsidRPr="009F784F">
        <w:rPr>
          <w:rFonts w:cs="Times New Roman"/>
          <w:sz w:val="24"/>
          <w:szCs w:val="28"/>
        </w:rPr>
        <w:t>(Emamnejad et al., 2025a; submitted).</w:t>
      </w:r>
      <w:r w:rsidRPr="009F784F" w:rsidDel="008D67B2">
        <w:rPr>
          <w:rFonts w:cs="Times New Roman"/>
          <w:sz w:val="24"/>
          <w:szCs w:val="28"/>
        </w:rPr>
        <w:t xml:space="preserve"> </w:t>
      </w:r>
      <w:r w:rsidR="006E388D" w:rsidRPr="009F784F">
        <w:rPr>
          <w:rFonts w:cs="Times New Roman"/>
          <w:sz w:val="24"/>
          <w:szCs w:val="28"/>
        </w:rPr>
        <w:t>Acquired LC</w:t>
      </w:r>
      <w:r w:rsidR="00D3137A" w:rsidRPr="009F784F">
        <w:rPr>
          <w:rFonts w:cs="Times New Roman"/>
          <w:sz w:val="24"/>
          <w:szCs w:val="28"/>
        </w:rPr>
        <w:t>–</w:t>
      </w:r>
      <w:r w:rsidR="006E388D" w:rsidRPr="009F784F">
        <w:rPr>
          <w:rFonts w:cs="Times New Roman"/>
          <w:sz w:val="24"/>
          <w:szCs w:val="28"/>
        </w:rPr>
        <w:t xml:space="preserve">MS data was processed in an untargeted fashion using open source software IDEOM, which initially used </w:t>
      </w:r>
      <w:proofErr w:type="spellStart"/>
      <w:r w:rsidR="006E388D" w:rsidRPr="009F784F">
        <w:rPr>
          <w:rFonts w:cs="Times New Roman"/>
          <w:i/>
          <w:sz w:val="24"/>
          <w:szCs w:val="28"/>
        </w:rPr>
        <w:t>msConvert</w:t>
      </w:r>
      <w:proofErr w:type="spellEnd"/>
      <w:r w:rsidR="006E388D" w:rsidRPr="009F784F">
        <w:rPr>
          <w:rFonts w:cs="Times New Roman"/>
          <w:sz w:val="24"/>
          <w:szCs w:val="28"/>
        </w:rPr>
        <w:t xml:space="preserve"> (</w:t>
      </w:r>
      <w:proofErr w:type="spellStart"/>
      <w:r w:rsidR="006E388D" w:rsidRPr="009F784F">
        <w:rPr>
          <w:rFonts w:cs="Times New Roman"/>
          <w:i/>
          <w:sz w:val="24"/>
          <w:szCs w:val="28"/>
        </w:rPr>
        <w:t>ProteoWizard</w:t>
      </w:r>
      <w:proofErr w:type="spellEnd"/>
      <w:r w:rsidR="006E388D" w:rsidRPr="009F784F">
        <w:rPr>
          <w:rFonts w:cs="Times New Roman"/>
          <w:sz w:val="24"/>
          <w:szCs w:val="28"/>
        </w:rPr>
        <w:t>)</w:t>
      </w:r>
      <w:r w:rsidR="006E388D" w:rsidRPr="009F784F">
        <w:rPr>
          <w:rFonts w:cs="Times New Roman"/>
          <w:sz w:val="24"/>
          <w:szCs w:val="28"/>
        </w:rPr>
        <w:fldChar w:fldCharType="begin">
          <w:fldData xml:space="preserve">PEVuZE5vdGU+PENpdGU+PEF1dGhvcj5DaGFtYmVyczwvQXV0aG9yPjxZZWFyPjIwMTI8L1llYXI+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</w:fldData>
        </w:fldChar>
      </w:r>
      <w:r w:rsidR="00D614B1" w:rsidRPr="009F784F">
        <w:rPr>
          <w:rFonts w:cs="Times New Roman"/>
          <w:sz w:val="24"/>
          <w:szCs w:val="28"/>
        </w:rPr>
        <w:instrText xml:space="preserve"> ADDIN EN.CITE </w:instrText>
      </w:r>
      <w:r w:rsidR="00D614B1" w:rsidRPr="009F784F">
        <w:rPr>
          <w:rFonts w:cs="Times New Roman"/>
          <w:sz w:val="24"/>
          <w:szCs w:val="28"/>
        </w:rPr>
        <w:fldChar w:fldCharType="begin">
          <w:fldData xml:space="preserve">PEVuZE5vdGU+PENpdGU+PEF1dGhvcj5DaGFtYmVyczwvQXV0aG9yPjxZZWFyPjIwMTI8L1llYXI+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</w:fldData>
        </w:fldChar>
      </w:r>
      <w:r w:rsidR="00D614B1" w:rsidRPr="009F784F">
        <w:rPr>
          <w:rFonts w:cs="Times New Roman"/>
          <w:sz w:val="24"/>
          <w:szCs w:val="28"/>
        </w:rPr>
        <w:instrText xml:space="preserve"> ADDIN EN.CITE.DATA </w:instrText>
      </w:r>
      <w:r w:rsidR="00D614B1" w:rsidRPr="009F784F">
        <w:rPr>
          <w:rFonts w:cs="Times New Roman"/>
          <w:sz w:val="24"/>
          <w:szCs w:val="28"/>
        </w:rPr>
      </w:r>
      <w:r w:rsidR="00D614B1" w:rsidRPr="009F784F">
        <w:rPr>
          <w:rFonts w:cs="Times New Roman"/>
          <w:sz w:val="24"/>
          <w:szCs w:val="28"/>
        </w:rPr>
        <w:fldChar w:fldCharType="end"/>
      </w:r>
      <w:r w:rsidR="006E388D" w:rsidRPr="009F784F">
        <w:rPr>
          <w:rFonts w:cs="Times New Roman"/>
          <w:sz w:val="24"/>
          <w:szCs w:val="28"/>
        </w:rPr>
      </w:r>
      <w:r w:rsidR="006E388D" w:rsidRPr="009F784F">
        <w:rPr>
          <w:rFonts w:cs="Times New Roman"/>
          <w:sz w:val="24"/>
          <w:szCs w:val="28"/>
        </w:rPr>
        <w:fldChar w:fldCharType="separate"/>
      </w:r>
      <w:r w:rsidR="00D614B1" w:rsidRPr="009F784F">
        <w:rPr>
          <w:rFonts w:cs="Times New Roman"/>
          <w:noProof/>
          <w:sz w:val="24"/>
          <w:szCs w:val="28"/>
          <w:vertAlign w:val="superscript"/>
        </w:rPr>
        <w:t>12</w:t>
      </w:r>
      <w:r w:rsidR="006E388D" w:rsidRPr="009F784F">
        <w:rPr>
          <w:rFonts w:cs="Times New Roman"/>
          <w:sz w:val="24"/>
          <w:szCs w:val="28"/>
        </w:rPr>
        <w:fldChar w:fldCharType="end"/>
      </w:r>
      <w:r w:rsidR="006E388D" w:rsidRPr="009F784F">
        <w:rPr>
          <w:rFonts w:cs="Times New Roman"/>
          <w:sz w:val="24"/>
          <w:szCs w:val="28"/>
        </w:rPr>
        <w:t xml:space="preserve"> to convert raw LC</w:t>
      </w:r>
      <w:r w:rsidR="00D3137A" w:rsidRPr="009F784F">
        <w:rPr>
          <w:rFonts w:cs="Times New Roman"/>
          <w:sz w:val="24"/>
          <w:szCs w:val="28"/>
        </w:rPr>
        <w:t>–</w:t>
      </w:r>
      <w:r w:rsidR="006E388D" w:rsidRPr="009F784F">
        <w:rPr>
          <w:rFonts w:cs="Times New Roman"/>
          <w:sz w:val="24"/>
          <w:szCs w:val="28"/>
        </w:rPr>
        <w:t xml:space="preserve">MS files to </w:t>
      </w:r>
      <w:proofErr w:type="spellStart"/>
      <w:r w:rsidR="006E388D" w:rsidRPr="009F784F">
        <w:rPr>
          <w:rFonts w:cs="Times New Roman"/>
          <w:i/>
          <w:sz w:val="24"/>
          <w:szCs w:val="28"/>
        </w:rPr>
        <w:t>mzXML</w:t>
      </w:r>
      <w:proofErr w:type="spellEnd"/>
      <w:r w:rsidR="006E388D" w:rsidRPr="009F784F">
        <w:rPr>
          <w:rFonts w:cs="Times New Roman"/>
          <w:sz w:val="24"/>
          <w:szCs w:val="28"/>
        </w:rPr>
        <w:t xml:space="preserve"> format and </w:t>
      </w:r>
      <w:r w:rsidR="006E388D" w:rsidRPr="009F784F">
        <w:rPr>
          <w:rFonts w:cs="Times New Roman"/>
          <w:i/>
          <w:sz w:val="24"/>
          <w:szCs w:val="28"/>
        </w:rPr>
        <w:t>XCMS</w:t>
      </w:r>
      <w:r w:rsidR="006E388D" w:rsidRPr="009F784F">
        <w:rPr>
          <w:rFonts w:cs="Times New Roman"/>
          <w:sz w:val="24"/>
          <w:szCs w:val="28"/>
        </w:rPr>
        <w:t xml:space="preserve"> to pick peaks to convert to .</w:t>
      </w:r>
      <w:proofErr w:type="spellStart"/>
      <w:r w:rsidR="006E388D" w:rsidRPr="009F784F">
        <w:rPr>
          <w:rFonts w:cs="Times New Roman"/>
          <w:i/>
          <w:sz w:val="24"/>
          <w:szCs w:val="28"/>
        </w:rPr>
        <w:t>peakML</w:t>
      </w:r>
      <w:proofErr w:type="spellEnd"/>
      <w:r w:rsidR="006E388D" w:rsidRPr="009F784F">
        <w:rPr>
          <w:rFonts w:cs="Times New Roman"/>
          <w:sz w:val="24"/>
          <w:szCs w:val="28"/>
        </w:rPr>
        <w:t xml:space="preserve"> </w:t>
      </w:r>
      <w:r w:rsidR="006E388D" w:rsidRPr="009F784F">
        <w:rPr>
          <w:rFonts w:cs="Times New Roman"/>
          <w:sz w:val="24"/>
          <w:szCs w:val="28"/>
        </w:rPr>
        <w:lastRenderedPageBreak/>
        <w:t>files</w:t>
      </w:r>
      <w:r w:rsidR="006E388D" w:rsidRPr="009F784F">
        <w:rPr>
          <w:rFonts w:cs="Times New Roman"/>
          <w:sz w:val="24"/>
          <w:szCs w:val="28"/>
        </w:rPr>
        <w:fldChar w:fldCharType="begin"/>
      </w:r>
      <w:r w:rsidR="00D614B1" w:rsidRPr="009F784F">
        <w:rPr>
          <w:rFonts w:cs="Times New Roman"/>
          <w:sz w:val="24"/>
          <w:szCs w:val="28"/>
        </w:rPr>
        <w:instrText xml:space="preserve"> ADDIN EN.CITE &lt;EndNote&gt;&lt;Cite&gt;&lt;Author&gt;Creek&lt;/Author&gt;&lt;Year&gt;2012&lt;/Year&gt;&lt;RecNum&gt;651&lt;/RecNum&gt;&lt;DisplayText&gt;&lt;style face="superscript"&gt;13&lt;/style&gt;&lt;/DisplayText&gt;&lt;record&gt;&lt;rec-number&gt;651&lt;/rec-number&gt;&lt;foreign-keys&gt;&lt;key app="EN" db-id="05xad0tf15f9weepssy5td09frpw0wxe5vfa" timestamp="1743469744"&gt;651&lt;/key&gt;&lt;/foreign-keys&gt;&lt;ref-type name="Journal Article"&gt;17&lt;/ref-type&gt;&lt;contributors&gt;&lt;authors&gt;&lt;author&gt;Creek, D. J.&lt;/author&gt;&lt;author&gt;Jankevics, A.&lt;/author&gt;&lt;author&gt;Burgess, K. E.&lt;/author&gt;&lt;author&gt;Breitling, R.&lt;/author&gt;&lt;author&gt;Barrett, M. P.&lt;/author&gt;&lt;/authors&gt;&lt;/contributors&gt;&lt;auth-address&gt;Institute of Infection, Immunity and Inflammation, Wellcome Trust Centre for Molecular Parasitology, College of Medical, Veterinary and Life Sciences, University of Glasgow, Glasgow G12 8TA, UK.&lt;/auth-address&gt;&lt;titles&gt;&lt;title&gt;IDEOM: an Excel interface for analysis of LC-MS-based metabolomics data&lt;/title&gt;&lt;secondary-title&gt;Bioinformatics&lt;/secondary-title&gt;&lt;/titles&gt;&lt;pages&gt;1048-9&lt;/pages&gt;&lt;volume&gt;28&lt;/volume&gt;&lt;number&gt;7&lt;/number&gt;&lt;edition&gt;2012/02/07&lt;/edition&gt;&lt;keywords&gt;&lt;keyword&gt;Chromatography, Liquid/*methods&lt;/keyword&gt;&lt;keyword&gt;Computational Biology/*methods&lt;/keyword&gt;&lt;keyword&gt;Databases, Factual&lt;/keyword&gt;&lt;keyword&gt;Mass Spectrometry/*methods&lt;/keyword&gt;&lt;keyword&gt;*Metabolomics&lt;/keyword&gt;&lt;keyword&gt;*Software&lt;/keyword&gt;&lt;keyword&gt;User-Computer Interface&lt;/keyword&gt;&lt;/keywords&gt;&lt;dates&gt;&lt;year&gt;2012&lt;/year&gt;&lt;pub-dates&gt;&lt;date&gt;Apr 1&lt;/date&gt;&lt;/pub-dates&gt;&lt;/dates&gt;&lt;isbn&gt;1367-4803&lt;/isbn&gt;&lt;accession-num&gt;22308147&lt;/accession-num&gt;&lt;urls&gt;&lt;/urls&gt;&lt;electronic-resource-num&gt;10.1093/bioinformatics/bts069&lt;/electronic-resource-num&gt;&lt;remote-database-provider&gt;NLM&lt;/remote-database-provider&gt;&lt;language&gt;eng&lt;/language&gt;&lt;/record&gt;&lt;/Cite&gt;&lt;/EndNote&gt;</w:instrText>
      </w:r>
      <w:r w:rsidR="006E388D" w:rsidRPr="009F784F">
        <w:rPr>
          <w:rFonts w:cs="Times New Roman"/>
          <w:sz w:val="24"/>
          <w:szCs w:val="28"/>
        </w:rPr>
        <w:fldChar w:fldCharType="separate"/>
      </w:r>
      <w:r w:rsidR="00D614B1" w:rsidRPr="009F784F">
        <w:rPr>
          <w:rFonts w:cs="Times New Roman"/>
          <w:noProof/>
          <w:sz w:val="24"/>
          <w:szCs w:val="28"/>
          <w:vertAlign w:val="superscript"/>
        </w:rPr>
        <w:t>13</w:t>
      </w:r>
      <w:r w:rsidR="006E388D" w:rsidRPr="009F784F">
        <w:rPr>
          <w:rFonts w:cs="Times New Roman"/>
          <w:sz w:val="24"/>
          <w:szCs w:val="28"/>
        </w:rPr>
        <w:fldChar w:fldCharType="end"/>
      </w:r>
      <w:r w:rsidR="006E388D" w:rsidRPr="009F784F">
        <w:rPr>
          <w:rFonts w:cs="Times New Roman"/>
          <w:sz w:val="24"/>
          <w:szCs w:val="28"/>
        </w:rPr>
        <w:t xml:space="preserve">. </w:t>
      </w:r>
      <w:proofErr w:type="spellStart"/>
      <w:r w:rsidR="006E388D" w:rsidRPr="009F784F">
        <w:rPr>
          <w:rFonts w:cs="Times New Roman"/>
          <w:i/>
          <w:sz w:val="24"/>
          <w:szCs w:val="28"/>
        </w:rPr>
        <w:t>Mzmatch</w:t>
      </w:r>
      <w:proofErr w:type="spellEnd"/>
      <w:r w:rsidR="006E388D" w:rsidRPr="009F784F">
        <w:rPr>
          <w:rFonts w:cs="Times New Roman"/>
          <w:sz w:val="24"/>
          <w:szCs w:val="28"/>
        </w:rPr>
        <w:t xml:space="preserve"> was subsequently used for sample alignment and filtering</w:t>
      </w:r>
      <w:r w:rsidR="00E86F24" w:rsidRPr="009F784F">
        <w:rPr>
          <w:rFonts w:cs="Times New Roman"/>
          <w:sz w:val="24"/>
          <w:szCs w:val="28"/>
        </w:rPr>
        <w:t>.</w:t>
      </w:r>
      <w:r w:rsidR="006E388D" w:rsidRPr="009F784F">
        <w:rPr>
          <w:rFonts w:cs="Times New Roman"/>
          <w:sz w:val="24"/>
          <w:szCs w:val="28"/>
        </w:rPr>
        <w:fldChar w:fldCharType="begin"/>
      </w:r>
      <w:r w:rsidR="00D614B1" w:rsidRPr="009F784F">
        <w:rPr>
          <w:rFonts w:cs="Times New Roman"/>
          <w:sz w:val="24"/>
          <w:szCs w:val="28"/>
        </w:rPr>
        <w:instrText xml:space="preserve"> ADDIN EN.CITE &lt;EndNote&gt;&lt;Cite&gt;&lt;Author&gt;Scheltema&lt;/Author&gt;&lt;Year&gt;2011&lt;/Year&gt;&lt;RecNum&gt;1566&lt;/RecNum&gt;&lt;DisplayText&gt;&lt;style face="superscript"&gt;14&lt;/style&gt;&lt;/DisplayText&gt;&lt;record&gt;&lt;rec-number&gt;1566&lt;/rec-number&gt;&lt;foreign-keys&gt;&lt;key app="EN" db-id="5fts9xvs2treemervxhpatswvvwsz5pft5p2" timestamp="1588051660"&gt;1566&lt;/key&gt;&lt;/foreign-keys&gt;&lt;ref-type name="Journal Article"&gt;17&lt;/ref-type&gt;&lt;contributors&gt;&lt;authors&gt;&lt;author&gt;Scheltema, R. A.&lt;/author&gt;&lt;author&gt;Jankevics, A.&lt;/author&gt;&lt;author&gt;Jansen, R. C.&lt;/author&gt;&lt;author&gt;Swertz, M. A.&lt;/author&gt;&lt;author&gt;Breitling, R.&lt;/author&gt;&lt;/authors&gt;&lt;/contributors&gt;&lt;auth-address&gt;Groningen Bioinformatics Centre, Groningen Biomolecular Sciences and Biotechnology Institute, University of Groningen, Nijenborgh 7, 9747 AG Groningen, The Netherlands.&lt;/auth-address&gt;&lt;titles&gt;&lt;title&gt;PeakML/mzMatch: a file format, Java library, R library, and tool-chain for mass spectrometry data analysis&lt;/title&gt;&lt;secondary-title&gt;Anal Chem&lt;/secondary-title&gt;&lt;/titles&gt;&lt;periodical&gt;&lt;full-title&gt;Anal Chem&lt;/full-title&gt;&lt;/periodical&gt;&lt;pages&gt;2786-93&lt;/pages&gt;&lt;volume&gt;83&lt;/volume&gt;&lt;number&gt;7&lt;/number&gt;&lt;edition&gt;2011/03/16&lt;/edition&gt;&lt;keywords&gt;&lt;keyword&gt;Computer Graphics&lt;/keyword&gt;&lt;keyword&gt;Information Storage and Retrieval/*methods&lt;/keyword&gt;&lt;keyword&gt;Mass Spectrometry/*methods&lt;/keyword&gt;&lt;keyword&gt;*Software&lt;/keyword&gt;&lt;keyword&gt;Statistics as Topic/*methods&lt;/keyword&gt;&lt;/keywords&gt;&lt;dates&gt;&lt;year&gt;2011&lt;/year&gt;&lt;pub-dates&gt;&lt;date&gt;Apr 1&lt;/date&gt;&lt;/pub-dates&gt;&lt;/dates&gt;&lt;isbn&gt;1520-6882 (Electronic)&amp;#xD;0003-2700 (Linking)&lt;/isbn&gt;&lt;accession-num&gt;21401061&lt;/accession-num&gt;&lt;urls&gt;&lt;related-urls&gt;&lt;url&gt;https://www.ncbi.nlm.nih.gov/pubmed/21401061&lt;/url&gt;&lt;url&gt;https://pubs.acs.org/doi/10.1021/ac2000994&lt;/url&gt;&lt;/related-urls&gt;&lt;/urls&gt;&lt;electronic-resource-num&gt;10.1021/ac2000994&lt;/electronic-resource-num&gt;&lt;/record&gt;&lt;/Cite&gt;&lt;/EndNote&gt;</w:instrText>
      </w:r>
      <w:r w:rsidR="006E388D" w:rsidRPr="009F784F">
        <w:rPr>
          <w:rFonts w:cs="Times New Roman"/>
          <w:sz w:val="24"/>
          <w:szCs w:val="28"/>
        </w:rPr>
        <w:fldChar w:fldCharType="separate"/>
      </w:r>
      <w:r w:rsidR="00D614B1" w:rsidRPr="009F784F">
        <w:rPr>
          <w:rFonts w:cs="Times New Roman"/>
          <w:noProof/>
          <w:sz w:val="24"/>
          <w:szCs w:val="28"/>
          <w:vertAlign w:val="superscript"/>
        </w:rPr>
        <w:t>14</w:t>
      </w:r>
      <w:r w:rsidR="006E388D" w:rsidRPr="009F784F">
        <w:rPr>
          <w:rFonts w:cs="Times New Roman"/>
          <w:sz w:val="24"/>
          <w:szCs w:val="28"/>
        </w:rPr>
        <w:fldChar w:fldCharType="end"/>
      </w:r>
      <w:r w:rsidR="006E388D" w:rsidRPr="009F784F">
        <w:rPr>
          <w:rFonts w:cs="Times New Roman"/>
          <w:sz w:val="24"/>
          <w:szCs w:val="28"/>
        </w:rPr>
        <w:t xml:space="preserve"> </w:t>
      </w:r>
      <w:r w:rsidR="006E388D" w:rsidRPr="009F784F">
        <w:rPr>
          <w:rFonts w:eastAsiaTheme="majorEastAsia" w:cs="Times New Roman"/>
          <w:sz w:val="24"/>
          <w:szCs w:val="28"/>
        </w:rPr>
        <w:t>IDEOM was utilised for further data pre</w:t>
      </w:r>
      <w:r w:rsidR="00D3137A" w:rsidRPr="009F784F">
        <w:rPr>
          <w:rFonts w:eastAsiaTheme="majorEastAsia" w:cs="Times New Roman"/>
          <w:sz w:val="24"/>
          <w:szCs w:val="28"/>
        </w:rPr>
        <w:t>–</w:t>
      </w:r>
      <w:r w:rsidR="006E388D" w:rsidRPr="009F784F">
        <w:rPr>
          <w:rFonts w:eastAsiaTheme="majorEastAsia" w:cs="Times New Roman"/>
          <w:sz w:val="24"/>
          <w:szCs w:val="28"/>
        </w:rPr>
        <w:t>processing, organisation and quality evaluation</w:t>
      </w:r>
      <w:r w:rsidR="00E86F24" w:rsidRPr="009F784F">
        <w:rPr>
          <w:rFonts w:eastAsiaTheme="majorEastAsia" w:cs="Times New Roman"/>
          <w:sz w:val="24"/>
          <w:szCs w:val="28"/>
        </w:rPr>
        <w:t>.</w:t>
      </w:r>
      <w:r w:rsidR="006E388D" w:rsidRPr="009F784F">
        <w:rPr>
          <w:rFonts w:eastAsiaTheme="majorEastAsia" w:cs="Times New Roman"/>
          <w:sz w:val="24"/>
          <w:szCs w:val="28"/>
        </w:rPr>
        <w:fldChar w:fldCharType="begin"/>
      </w:r>
      <w:r w:rsidR="00D614B1" w:rsidRPr="009F784F">
        <w:rPr>
          <w:rFonts w:eastAsiaTheme="majorEastAsia" w:cs="Times New Roman"/>
          <w:sz w:val="24"/>
          <w:szCs w:val="28"/>
        </w:rPr>
        <w:instrText xml:space="preserve"> ADDIN EN.CITE &lt;EndNote&gt;&lt;Cite&gt;&lt;Author&gt;Creek&lt;/Author&gt;&lt;Year&gt;2012&lt;/Year&gt;&lt;RecNum&gt;651&lt;/RecNum&gt;&lt;DisplayText&gt;&lt;style face="superscript"&gt;13&lt;/style&gt;&lt;/DisplayText&gt;&lt;record&gt;&lt;rec-number&gt;651&lt;/rec-number&gt;&lt;foreign-keys&gt;&lt;key app="EN" db-id="05xad0tf15f9weepssy5td09frpw0wxe5vfa" timestamp="1743469744"&gt;651&lt;/key&gt;&lt;/foreign-keys&gt;&lt;ref-type name="Journal Article"&gt;17&lt;/ref-type&gt;&lt;contributors&gt;&lt;authors&gt;&lt;author&gt;Creek, D. J.&lt;/author&gt;&lt;author&gt;Jankevics, A.&lt;/author&gt;&lt;author&gt;Burgess, K. E.&lt;/author&gt;&lt;author&gt;Breitling, R.&lt;/author&gt;&lt;author&gt;Barrett, M. P.&lt;/author&gt;&lt;/authors&gt;&lt;/contributors&gt;&lt;auth-address&gt;Institute of Infection, Immunity and Inflammation, Wellcome Trust Centre for Molecular Parasitology, College of Medical, Veterinary and Life Sciences, University of Glasgow, Glasgow G12 8TA, UK.&lt;/auth-address&gt;&lt;titles&gt;&lt;title&gt;IDEOM: an Excel interface for analysis of LC-MS-based metabolomics data&lt;/title&gt;&lt;secondary-title&gt;Bioinformatics&lt;/secondary-title&gt;&lt;/titles&gt;&lt;pages&gt;1048-9&lt;/pages&gt;&lt;volume&gt;28&lt;/volume&gt;&lt;number&gt;7&lt;/number&gt;&lt;edition&gt;2012/02/07&lt;/edition&gt;&lt;keywords&gt;&lt;keyword&gt;Chromatography, Liquid/*methods&lt;/keyword&gt;&lt;keyword&gt;Computational Biology/*methods&lt;/keyword&gt;&lt;keyword&gt;Databases, Factual&lt;/keyword&gt;&lt;keyword&gt;Mass Spectrometry/*methods&lt;/keyword&gt;&lt;keyword&gt;*Metabolomics&lt;/keyword&gt;&lt;keyword&gt;*Software&lt;/keyword&gt;&lt;keyword&gt;User-Computer Interface&lt;/keyword&gt;&lt;/keywords&gt;&lt;dates&gt;&lt;year&gt;2012&lt;/year&gt;&lt;pub-dates&gt;&lt;date&gt;Apr 1&lt;/date&gt;&lt;/pub-dates&gt;&lt;/dates&gt;&lt;isbn&gt;1367-4803&lt;/isbn&gt;&lt;accession-num&gt;22308147&lt;/accession-num&gt;&lt;urls&gt;&lt;/urls&gt;&lt;electronic-resource-num&gt;10.1093/bioinformatics/bts069&lt;/electronic-resource-num&gt;&lt;remote-database-provider&gt;NLM&lt;/remote-database-provider&gt;&lt;language&gt;eng&lt;/language&gt;&lt;/record&gt;&lt;/Cite&gt;&lt;/EndNote&gt;</w:instrText>
      </w:r>
      <w:r w:rsidR="006E388D" w:rsidRPr="009F784F">
        <w:rPr>
          <w:rFonts w:eastAsiaTheme="majorEastAsia" w:cs="Times New Roman"/>
          <w:sz w:val="24"/>
          <w:szCs w:val="28"/>
        </w:rPr>
        <w:fldChar w:fldCharType="separate"/>
      </w:r>
      <w:r w:rsidR="00D614B1" w:rsidRPr="009F784F">
        <w:rPr>
          <w:rFonts w:eastAsiaTheme="majorEastAsia" w:cs="Times New Roman"/>
          <w:noProof/>
          <w:sz w:val="24"/>
          <w:szCs w:val="28"/>
          <w:vertAlign w:val="superscript"/>
        </w:rPr>
        <w:t>13</w:t>
      </w:r>
      <w:r w:rsidR="006E388D" w:rsidRPr="009F784F">
        <w:rPr>
          <w:rFonts w:eastAsiaTheme="majorEastAsia" w:cs="Times New Roman"/>
          <w:sz w:val="24"/>
          <w:szCs w:val="28"/>
        </w:rPr>
        <w:fldChar w:fldCharType="end"/>
      </w:r>
    </w:p>
    <w:p w14:paraId="536AB765" w14:textId="1EC2692A" w:rsidR="006E388D" w:rsidRPr="009F784F" w:rsidRDefault="006E388D" w:rsidP="00641B58">
      <w:pPr>
        <w:spacing w:line="480" w:lineRule="auto"/>
        <w:rPr>
          <w:rFonts w:cs="Times New Roman"/>
          <w:sz w:val="24"/>
          <w:szCs w:val="28"/>
        </w:rPr>
      </w:pPr>
      <w:r w:rsidRPr="009F784F">
        <w:rPr>
          <w:rFonts w:cs="Times New Roman"/>
          <w:sz w:val="24"/>
          <w:szCs w:val="28"/>
        </w:rPr>
        <w:t xml:space="preserve">Data analysis was conducted </w:t>
      </w:r>
      <w:r w:rsidR="003B34C1">
        <w:rPr>
          <w:rFonts w:cs="Times New Roman"/>
          <w:sz w:val="24"/>
          <w:szCs w:val="28"/>
        </w:rPr>
        <w:t>in</w:t>
      </w:r>
      <w:r w:rsidRPr="009F784F">
        <w:rPr>
          <w:rFonts w:cs="Times New Roman"/>
          <w:sz w:val="24"/>
          <w:szCs w:val="28"/>
        </w:rPr>
        <w:t xml:space="preserve"> R (v4</w:t>
      </w:r>
      <w:r w:rsidR="00E86F24" w:rsidRPr="009F784F">
        <w:rPr>
          <w:rFonts w:cs="Times New Roman"/>
          <w:sz w:val="24"/>
          <w:szCs w:val="28"/>
          <w:lang w:val="en-US"/>
        </w:rPr>
        <w:t>·</w:t>
      </w:r>
      <w:r w:rsidRPr="009F784F">
        <w:rPr>
          <w:rFonts w:cs="Times New Roman"/>
          <w:sz w:val="24"/>
          <w:szCs w:val="28"/>
        </w:rPr>
        <w:t>2</w:t>
      </w:r>
      <w:r w:rsidR="00E86F24" w:rsidRPr="009F784F">
        <w:rPr>
          <w:rFonts w:cs="Times New Roman"/>
          <w:sz w:val="24"/>
          <w:szCs w:val="28"/>
          <w:lang w:val="en-US"/>
        </w:rPr>
        <w:t>·</w:t>
      </w:r>
      <w:r w:rsidRPr="009F784F">
        <w:rPr>
          <w:rFonts w:cs="Times New Roman"/>
          <w:sz w:val="24"/>
          <w:szCs w:val="28"/>
        </w:rPr>
        <w:t>1), with intensity peaks of metabolites serving as the basis for evaluation. Missing values were imputed using the k</w:t>
      </w:r>
      <w:r w:rsidR="00D3137A" w:rsidRPr="009F784F">
        <w:rPr>
          <w:rFonts w:cs="Times New Roman"/>
          <w:sz w:val="24"/>
          <w:szCs w:val="28"/>
        </w:rPr>
        <w:t>–</w:t>
      </w:r>
      <w:r w:rsidRPr="009F784F">
        <w:rPr>
          <w:rFonts w:cs="Times New Roman"/>
          <w:sz w:val="24"/>
          <w:szCs w:val="28"/>
        </w:rPr>
        <w:t xml:space="preserve">nearest </w:t>
      </w:r>
      <w:proofErr w:type="spellStart"/>
      <w:r w:rsidRPr="009F784F">
        <w:rPr>
          <w:rFonts w:cs="Times New Roman"/>
          <w:sz w:val="24"/>
          <w:szCs w:val="28"/>
        </w:rPr>
        <w:t>neighbors</w:t>
      </w:r>
      <w:proofErr w:type="spellEnd"/>
      <w:r w:rsidRPr="009F784F">
        <w:rPr>
          <w:rFonts w:cs="Times New Roman"/>
          <w:sz w:val="24"/>
          <w:szCs w:val="28"/>
        </w:rPr>
        <w:t xml:space="preserve"> (</w:t>
      </w:r>
      <w:proofErr w:type="spellStart"/>
      <w:r w:rsidRPr="009F784F">
        <w:rPr>
          <w:rFonts w:cs="Times New Roman"/>
          <w:sz w:val="24"/>
          <w:szCs w:val="28"/>
        </w:rPr>
        <w:t>kNN</w:t>
      </w:r>
      <w:proofErr w:type="spellEnd"/>
      <w:r w:rsidRPr="009F784F">
        <w:rPr>
          <w:rFonts w:cs="Times New Roman"/>
          <w:sz w:val="24"/>
          <w:szCs w:val="28"/>
        </w:rPr>
        <w:t xml:space="preserve">) algorithm (parameters: </w:t>
      </w:r>
      <w:proofErr w:type="spellStart"/>
      <w:r w:rsidRPr="009F784F">
        <w:rPr>
          <w:rFonts w:cs="Times New Roman"/>
          <w:sz w:val="24"/>
          <w:szCs w:val="28"/>
        </w:rPr>
        <w:t>neighbors</w:t>
      </w:r>
      <w:proofErr w:type="spellEnd"/>
      <w:r w:rsidRPr="009F784F">
        <w:rPr>
          <w:rFonts w:cs="Times New Roman"/>
          <w:sz w:val="24"/>
          <w:szCs w:val="28"/>
        </w:rPr>
        <w:t xml:space="preserve"> = 5, </w:t>
      </w:r>
      <w:proofErr w:type="spellStart"/>
      <w:r w:rsidRPr="009F784F">
        <w:rPr>
          <w:rFonts w:cs="Times New Roman"/>
          <w:sz w:val="24"/>
          <w:szCs w:val="28"/>
        </w:rPr>
        <w:t>sample_max</w:t>
      </w:r>
      <w:proofErr w:type="spellEnd"/>
      <w:r w:rsidRPr="009F784F">
        <w:rPr>
          <w:rFonts w:cs="Times New Roman"/>
          <w:sz w:val="24"/>
          <w:szCs w:val="28"/>
        </w:rPr>
        <w:t xml:space="preserve"> = 50, </w:t>
      </w:r>
      <w:proofErr w:type="spellStart"/>
      <w:r w:rsidRPr="009F784F">
        <w:rPr>
          <w:rFonts w:cs="Times New Roman"/>
          <w:sz w:val="24"/>
          <w:szCs w:val="28"/>
        </w:rPr>
        <w:t>feature_max</w:t>
      </w:r>
      <w:proofErr w:type="spellEnd"/>
      <w:r w:rsidRPr="009F784F">
        <w:rPr>
          <w:rFonts w:cs="Times New Roman"/>
          <w:sz w:val="24"/>
          <w:szCs w:val="28"/>
        </w:rPr>
        <w:t xml:space="preserve"> = 50, by = "features"). Subsequently, we normalized the data across three categories: Probabilistic Quotient Normalization (PQN), Log10 transformation for data transformation, and Pareto Scaling using the </w:t>
      </w:r>
      <w:proofErr w:type="spellStart"/>
      <w:r w:rsidRPr="003B34C1">
        <w:rPr>
          <w:rFonts w:cs="Times New Roman"/>
          <w:i/>
          <w:iCs/>
          <w:sz w:val="24"/>
          <w:szCs w:val="28"/>
        </w:rPr>
        <w:t>structToolbox</w:t>
      </w:r>
      <w:proofErr w:type="spellEnd"/>
      <w:r w:rsidRPr="009F784F">
        <w:rPr>
          <w:rFonts w:cs="Times New Roman"/>
          <w:sz w:val="24"/>
          <w:szCs w:val="28"/>
        </w:rPr>
        <w:t xml:space="preserve"> package.</w:t>
      </w:r>
      <w:r w:rsidR="003B34C1">
        <w:rPr>
          <w:rFonts w:cs="Times New Roman"/>
          <w:sz w:val="24"/>
          <w:szCs w:val="28"/>
        </w:rPr>
        <w:t xml:space="preserve"> </w:t>
      </w:r>
      <w:r w:rsidRPr="009F784F">
        <w:rPr>
          <w:rFonts w:cs="Times New Roman"/>
          <w:sz w:val="24"/>
          <w:szCs w:val="28"/>
        </w:rPr>
        <w:t xml:space="preserve">For comparative analysis between </w:t>
      </w:r>
      <w:r w:rsidR="003B34C1" w:rsidRPr="009F784F">
        <w:rPr>
          <w:rFonts w:cs="Times New Roman"/>
          <w:sz w:val="24"/>
          <w:szCs w:val="28"/>
        </w:rPr>
        <w:t xml:space="preserve">groups, </w:t>
      </w:r>
      <w:r w:rsidR="003B34C1">
        <w:rPr>
          <w:rFonts w:cs="Times New Roman"/>
          <w:sz w:val="24"/>
          <w:szCs w:val="28"/>
        </w:rPr>
        <w:t>multivariate</w:t>
      </w:r>
      <w:r w:rsidRPr="009F784F">
        <w:rPr>
          <w:rFonts w:cs="Times New Roman"/>
          <w:sz w:val="24"/>
          <w:szCs w:val="28"/>
        </w:rPr>
        <w:t xml:space="preserve"> statistical technique</w:t>
      </w:r>
      <w:r w:rsidR="00E16B61">
        <w:rPr>
          <w:rFonts w:cs="Times New Roman"/>
          <w:sz w:val="24"/>
          <w:szCs w:val="28"/>
        </w:rPr>
        <w:t>, p</w:t>
      </w:r>
      <w:r w:rsidR="00E16B61" w:rsidRPr="00E16B61">
        <w:rPr>
          <w:rFonts w:cs="Times New Roman"/>
          <w:sz w:val="24"/>
          <w:szCs w:val="28"/>
        </w:rPr>
        <w:t xml:space="preserve">rincipal component analysis </w:t>
      </w:r>
      <w:r w:rsidR="00E16B61">
        <w:rPr>
          <w:rFonts w:cs="Times New Roman"/>
          <w:sz w:val="24"/>
          <w:szCs w:val="28"/>
        </w:rPr>
        <w:t>(</w:t>
      </w:r>
      <w:r w:rsidRPr="009F784F">
        <w:rPr>
          <w:rFonts w:cs="Times New Roman"/>
          <w:sz w:val="24"/>
          <w:szCs w:val="28"/>
        </w:rPr>
        <w:t>PCA</w:t>
      </w:r>
      <w:r w:rsidR="00E16B61">
        <w:rPr>
          <w:rFonts w:cs="Times New Roman"/>
          <w:sz w:val="24"/>
          <w:szCs w:val="28"/>
        </w:rPr>
        <w:t>)</w:t>
      </w:r>
      <w:r w:rsidRPr="009F784F">
        <w:rPr>
          <w:rFonts w:cs="Times New Roman"/>
          <w:sz w:val="24"/>
          <w:szCs w:val="28"/>
        </w:rPr>
        <w:t xml:space="preserve"> was utilized to visualize variance among samples. For univariate statistical analyses,</w:t>
      </w:r>
      <w:r w:rsidR="003B34C1" w:rsidRPr="003B34C1">
        <w:t xml:space="preserve"> </w:t>
      </w:r>
      <w:r w:rsidR="003B34C1" w:rsidRPr="003B34C1">
        <w:rPr>
          <w:rFonts w:cs="Times New Roman"/>
          <w:sz w:val="24"/>
          <w:szCs w:val="28"/>
        </w:rPr>
        <w:t xml:space="preserve">Student’s t-tests </w:t>
      </w:r>
      <w:r w:rsidRPr="009F784F">
        <w:rPr>
          <w:rFonts w:cs="Times New Roman"/>
          <w:sz w:val="24"/>
          <w:szCs w:val="28"/>
        </w:rPr>
        <w:t xml:space="preserve">with a significance threshold of </w:t>
      </w:r>
      <w:r w:rsidRPr="009F784F">
        <w:rPr>
          <w:rFonts w:cs="Times New Roman"/>
          <w:i/>
          <w:sz w:val="24"/>
          <w:szCs w:val="28"/>
        </w:rPr>
        <w:t>p</w:t>
      </w:r>
      <w:r w:rsidRPr="009F784F">
        <w:rPr>
          <w:rFonts w:cs="Times New Roman"/>
          <w:sz w:val="24"/>
          <w:szCs w:val="28"/>
        </w:rPr>
        <w:t xml:space="preserve">&lt; </w:t>
      </w:r>
      <w:r w:rsidR="00E65447" w:rsidRPr="009F784F">
        <w:rPr>
          <w:rFonts w:cs="Times New Roman"/>
          <w:sz w:val="24"/>
          <w:szCs w:val="28"/>
        </w:rPr>
        <w:t>0·0</w:t>
      </w:r>
      <w:r w:rsidRPr="009F784F">
        <w:rPr>
          <w:rFonts w:cs="Times New Roman"/>
          <w:sz w:val="24"/>
          <w:szCs w:val="28"/>
        </w:rPr>
        <w:t xml:space="preserve">5 were performed. Significant changes in mean expression levels between disease and control groups were further illustrated using Volcano plots, based on </w:t>
      </w:r>
      <w:r w:rsidR="00D3137A" w:rsidRPr="009F784F">
        <w:rPr>
          <w:rFonts w:cs="Times New Roman"/>
          <w:sz w:val="24"/>
          <w:szCs w:val="28"/>
        </w:rPr>
        <w:t>–</w:t>
      </w:r>
      <w:r w:rsidRPr="009F784F">
        <w:rPr>
          <w:rFonts w:cs="Times New Roman"/>
          <w:sz w:val="24"/>
          <w:szCs w:val="28"/>
        </w:rPr>
        <w:t>log10(</w:t>
      </w:r>
      <w:r w:rsidRPr="009F784F">
        <w:rPr>
          <w:rFonts w:cs="Times New Roman"/>
          <w:i/>
          <w:sz w:val="24"/>
          <w:szCs w:val="28"/>
        </w:rPr>
        <w:t>p</w:t>
      </w:r>
      <w:r w:rsidR="00D3137A" w:rsidRPr="009F784F">
        <w:rPr>
          <w:rFonts w:cs="Times New Roman"/>
          <w:sz w:val="24"/>
          <w:szCs w:val="28"/>
        </w:rPr>
        <w:t>–</w:t>
      </w:r>
      <w:r w:rsidRPr="009F784F">
        <w:rPr>
          <w:rFonts w:cs="Times New Roman"/>
          <w:sz w:val="24"/>
          <w:szCs w:val="28"/>
        </w:rPr>
        <w:t>values) and log2(fold change), with a fold change threshold of 1</w:t>
      </w:r>
      <w:r w:rsidR="00E86F24" w:rsidRPr="009F784F">
        <w:rPr>
          <w:rFonts w:cs="Times New Roman"/>
          <w:sz w:val="24"/>
          <w:szCs w:val="28"/>
          <w:lang w:val="en-US"/>
        </w:rPr>
        <w:t>·</w:t>
      </w:r>
      <w:r w:rsidRPr="009F784F">
        <w:rPr>
          <w:rFonts w:cs="Times New Roman"/>
          <w:sz w:val="24"/>
          <w:szCs w:val="28"/>
        </w:rPr>
        <w:t xml:space="preserve">5. These visualizations were created in </w:t>
      </w:r>
      <w:r w:rsidR="00E86F24" w:rsidRPr="009F784F">
        <w:rPr>
          <w:rFonts w:cs="Times New Roman"/>
          <w:sz w:val="24"/>
          <w:szCs w:val="28"/>
        </w:rPr>
        <w:t>R (</w:t>
      </w:r>
      <w:r w:rsidRPr="009F784F">
        <w:rPr>
          <w:rFonts w:cs="Times New Roman"/>
          <w:sz w:val="24"/>
          <w:szCs w:val="28"/>
        </w:rPr>
        <w:t>v4</w:t>
      </w:r>
      <w:r w:rsidR="00E86F24" w:rsidRPr="009F784F">
        <w:rPr>
          <w:rFonts w:cs="Times New Roman"/>
          <w:sz w:val="24"/>
          <w:szCs w:val="28"/>
          <w:lang w:val="en-US"/>
        </w:rPr>
        <w:t>·</w:t>
      </w:r>
      <w:r w:rsidRPr="009F784F">
        <w:rPr>
          <w:rFonts w:cs="Times New Roman"/>
          <w:sz w:val="24"/>
          <w:szCs w:val="28"/>
        </w:rPr>
        <w:t>2</w:t>
      </w:r>
      <w:r w:rsidR="00E86F24" w:rsidRPr="009F784F">
        <w:rPr>
          <w:rFonts w:cs="Times New Roman"/>
          <w:sz w:val="24"/>
          <w:szCs w:val="28"/>
          <w:lang w:val="en-US"/>
        </w:rPr>
        <w:t>·</w:t>
      </w:r>
      <w:r w:rsidRPr="009F784F">
        <w:rPr>
          <w:rFonts w:cs="Times New Roman"/>
          <w:sz w:val="24"/>
          <w:szCs w:val="28"/>
        </w:rPr>
        <w:t xml:space="preserve">1) using the </w:t>
      </w:r>
      <w:r w:rsidRPr="009F784F">
        <w:rPr>
          <w:rFonts w:cs="Times New Roman"/>
          <w:i/>
          <w:iCs/>
          <w:sz w:val="24"/>
          <w:szCs w:val="28"/>
        </w:rPr>
        <w:t>struct</w:t>
      </w:r>
      <w:r w:rsidRPr="009F784F">
        <w:rPr>
          <w:rFonts w:cs="Times New Roman"/>
          <w:sz w:val="24"/>
          <w:szCs w:val="28"/>
        </w:rPr>
        <w:t xml:space="preserve">, </w:t>
      </w:r>
      <w:proofErr w:type="spellStart"/>
      <w:r w:rsidRPr="009F784F">
        <w:rPr>
          <w:rFonts w:cs="Times New Roman"/>
          <w:i/>
          <w:iCs/>
          <w:sz w:val="24"/>
          <w:szCs w:val="28"/>
        </w:rPr>
        <w:t>structToolbox</w:t>
      </w:r>
      <w:proofErr w:type="spellEnd"/>
      <w:r w:rsidRPr="009F784F">
        <w:rPr>
          <w:rFonts w:cs="Times New Roman"/>
          <w:sz w:val="24"/>
          <w:szCs w:val="28"/>
        </w:rPr>
        <w:t xml:space="preserve">, and </w:t>
      </w:r>
      <w:r w:rsidRPr="009F784F">
        <w:rPr>
          <w:rFonts w:cs="Times New Roman"/>
          <w:i/>
          <w:iCs/>
          <w:sz w:val="24"/>
          <w:szCs w:val="28"/>
        </w:rPr>
        <w:t>ggplot2</w:t>
      </w:r>
      <w:r w:rsidRPr="009F784F">
        <w:rPr>
          <w:rFonts w:cs="Times New Roman"/>
          <w:sz w:val="24"/>
          <w:szCs w:val="28"/>
        </w:rPr>
        <w:t xml:space="preserve"> packages. Finally, heatmap</w:t>
      </w:r>
      <w:r w:rsidR="002D5D57">
        <w:rPr>
          <w:rFonts w:cs="Times New Roman"/>
          <w:sz w:val="24"/>
          <w:szCs w:val="28"/>
        </w:rPr>
        <w:t xml:space="preserve"> and violin plots</w:t>
      </w:r>
      <w:r w:rsidRPr="009F784F">
        <w:rPr>
          <w:rFonts w:cs="Times New Roman"/>
          <w:sz w:val="24"/>
          <w:szCs w:val="28"/>
        </w:rPr>
        <w:t xml:space="preserve"> w</w:t>
      </w:r>
      <w:r w:rsidR="002D5D57">
        <w:rPr>
          <w:rFonts w:cs="Times New Roman"/>
          <w:sz w:val="24"/>
          <w:szCs w:val="28"/>
        </w:rPr>
        <w:t>ere</w:t>
      </w:r>
      <w:r w:rsidRPr="009F784F">
        <w:rPr>
          <w:rFonts w:cs="Times New Roman"/>
          <w:sz w:val="24"/>
          <w:szCs w:val="28"/>
        </w:rPr>
        <w:t xml:space="preserve"> generated using the </w:t>
      </w:r>
      <w:r w:rsidRPr="002D5D57">
        <w:rPr>
          <w:rFonts w:cs="Times New Roman"/>
          <w:i/>
          <w:iCs/>
          <w:sz w:val="24"/>
          <w:szCs w:val="28"/>
        </w:rPr>
        <w:t>heatmap</w:t>
      </w:r>
      <w:r w:rsidR="002D5D57">
        <w:rPr>
          <w:rFonts w:cs="Times New Roman"/>
          <w:i/>
          <w:iCs/>
          <w:sz w:val="24"/>
          <w:szCs w:val="28"/>
        </w:rPr>
        <w:t xml:space="preserve"> </w:t>
      </w:r>
      <w:r w:rsidR="002D5D57" w:rsidRPr="002D5D57">
        <w:rPr>
          <w:rFonts w:cs="Times New Roman"/>
          <w:sz w:val="24"/>
          <w:szCs w:val="28"/>
        </w:rPr>
        <w:t>and</w:t>
      </w:r>
      <w:r w:rsidR="002D5D57">
        <w:rPr>
          <w:rFonts w:cs="Times New Roman"/>
          <w:i/>
          <w:iCs/>
          <w:sz w:val="24"/>
          <w:szCs w:val="28"/>
        </w:rPr>
        <w:t xml:space="preserve"> </w:t>
      </w:r>
      <w:r w:rsidR="002D5D57" w:rsidRPr="002D5D57">
        <w:rPr>
          <w:rFonts w:cs="Times New Roman"/>
          <w:i/>
          <w:iCs/>
          <w:sz w:val="24"/>
          <w:szCs w:val="28"/>
        </w:rPr>
        <w:t>ggplot2</w:t>
      </w:r>
      <w:r w:rsidRPr="009F784F">
        <w:rPr>
          <w:rFonts w:cs="Times New Roman"/>
          <w:sz w:val="24"/>
          <w:szCs w:val="28"/>
        </w:rPr>
        <w:t xml:space="preserve"> </w:t>
      </w:r>
      <w:r w:rsidR="004C427D" w:rsidRPr="009F784F">
        <w:rPr>
          <w:rFonts w:cs="Times New Roman"/>
          <w:sz w:val="24"/>
          <w:szCs w:val="28"/>
        </w:rPr>
        <w:t>package</w:t>
      </w:r>
      <w:r w:rsidR="004C427D">
        <w:rPr>
          <w:rFonts w:cs="Times New Roman"/>
          <w:sz w:val="24"/>
          <w:szCs w:val="28"/>
        </w:rPr>
        <w:t xml:space="preserve">s, </w:t>
      </w:r>
      <w:r w:rsidR="004C427D" w:rsidRPr="004C427D">
        <w:rPr>
          <w:rFonts w:cs="Times New Roman"/>
          <w:sz w:val="24"/>
          <w:szCs w:val="28"/>
        </w:rPr>
        <w:t>respectively,</w:t>
      </w:r>
      <w:r w:rsidR="004C427D">
        <w:rPr>
          <w:rFonts w:cs="Times New Roman"/>
          <w:sz w:val="24"/>
          <w:szCs w:val="28"/>
        </w:rPr>
        <w:t xml:space="preserve"> </w:t>
      </w:r>
      <w:r w:rsidRPr="009F784F">
        <w:rPr>
          <w:rFonts w:cs="Times New Roman"/>
          <w:sz w:val="24"/>
          <w:szCs w:val="28"/>
        </w:rPr>
        <w:t>to depict the expression patterns of dysregulated metabolites.</w:t>
      </w:r>
      <w:r w:rsidR="00E86F24" w:rsidRPr="009F784F">
        <w:rPr>
          <w:rFonts w:cs="Times New Roman"/>
          <w:sz w:val="24"/>
          <w:szCs w:val="28"/>
        </w:rPr>
        <w:t xml:space="preserve"> </w:t>
      </w:r>
      <w:r w:rsidR="00E54660">
        <w:rPr>
          <w:rFonts w:cs="Times New Roman"/>
          <w:sz w:val="24"/>
          <w:szCs w:val="28"/>
        </w:rPr>
        <w:t xml:space="preserve"> </w:t>
      </w:r>
    </w:p>
    <w:p w14:paraId="6F24F0B8" w14:textId="77777777" w:rsidR="006E388D" w:rsidRPr="009F784F" w:rsidRDefault="006E388D" w:rsidP="00641B58">
      <w:pPr>
        <w:spacing w:line="480" w:lineRule="auto"/>
        <w:rPr>
          <w:rFonts w:eastAsia="Calibri" w:cs="Times New Roman"/>
          <w:b/>
          <w:bCs/>
          <w:sz w:val="24"/>
          <w:szCs w:val="28"/>
        </w:rPr>
      </w:pPr>
      <w:r w:rsidRPr="009F784F">
        <w:rPr>
          <w:rFonts w:eastAsia="Calibri" w:cs="Times New Roman"/>
          <w:b/>
          <w:bCs/>
          <w:sz w:val="24"/>
          <w:szCs w:val="28"/>
          <w:lang w:val="en-US"/>
        </w:rPr>
        <w:t>Pathway analysis:</w:t>
      </w:r>
    </w:p>
    <w:p w14:paraId="74969590" w14:textId="10D14AE2" w:rsidR="006E388D" w:rsidRPr="009F784F" w:rsidRDefault="006E388D" w:rsidP="00641B58">
      <w:pPr>
        <w:spacing w:line="480" w:lineRule="auto"/>
        <w:rPr>
          <w:rFonts w:cs="Times New Roman"/>
          <w:sz w:val="24"/>
          <w:szCs w:val="28"/>
        </w:rPr>
      </w:pPr>
      <w:proofErr w:type="spellStart"/>
      <w:r w:rsidRPr="009F784F">
        <w:rPr>
          <w:rFonts w:cs="Times New Roman"/>
          <w:sz w:val="24"/>
          <w:szCs w:val="28"/>
        </w:rPr>
        <w:t>MetaboAnalyst</w:t>
      </w:r>
      <w:proofErr w:type="spellEnd"/>
      <w:r w:rsidRPr="009F784F">
        <w:rPr>
          <w:rFonts w:cs="Times New Roman"/>
          <w:sz w:val="24"/>
          <w:szCs w:val="28"/>
        </w:rPr>
        <w:t xml:space="preserve"> 6</w:t>
      </w:r>
      <w:r w:rsidR="00E86F24" w:rsidRPr="009F784F">
        <w:rPr>
          <w:rFonts w:cs="Times New Roman"/>
          <w:sz w:val="24"/>
          <w:szCs w:val="28"/>
          <w:lang w:val="en-US"/>
        </w:rPr>
        <w:t>·</w:t>
      </w:r>
      <w:r w:rsidRPr="009F784F">
        <w:rPr>
          <w:rFonts w:cs="Times New Roman"/>
          <w:sz w:val="24"/>
          <w:szCs w:val="28"/>
        </w:rPr>
        <w:t>0</w:t>
      </w:r>
      <w:r w:rsidRPr="009F784F">
        <w:rPr>
          <w:rFonts w:cs="Times New Roman"/>
          <w:sz w:val="24"/>
          <w:szCs w:val="28"/>
        </w:rPr>
        <w:fldChar w:fldCharType="begin">
          <w:fldData xml:space="preserve">PEVuZE5vdGU+PENpdGU+PEF1dGhvcj5QYW5nPC9BdXRob3I+PFllYXI+MjAyMTwvWWVhcj48UmVj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</w:fldData>
        </w:fldChar>
      </w:r>
      <w:r w:rsidR="00D614B1" w:rsidRPr="009F784F">
        <w:rPr>
          <w:rFonts w:cs="Times New Roman"/>
          <w:sz w:val="24"/>
          <w:szCs w:val="28"/>
        </w:rPr>
        <w:instrText xml:space="preserve"> ADDIN EN.CITE </w:instrText>
      </w:r>
      <w:r w:rsidR="00D614B1" w:rsidRPr="009F784F">
        <w:rPr>
          <w:rFonts w:cs="Times New Roman"/>
          <w:sz w:val="24"/>
          <w:szCs w:val="28"/>
        </w:rPr>
        <w:fldChar w:fldCharType="begin">
          <w:fldData xml:space="preserve">PEVuZE5vdGU+PENpdGU+PEF1dGhvcj5QYW5nPC9BdXRob3I+PFllYXI+MjAyMTwvWWVhcj48UmVj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</w:fldData>
        </w:fldChar>
      </w:r>
      <w:r w:rsidR="00D614B1" w:rsidRPr="009F784F">
        <w:rPr>
          <w:rFonts w:cs="Times New Roman"/>
          <w:sz w:val="24"/>
          <w:szCs w:val="28"/>
        </w:rPr>
        <w:instrText xml:space="preserve"> ADDIN EN.CITE.DATA </w:instrText>
      </w:r>
      <w:r w:rsidR="00D614B1" w:rsidRPr="009F784F">
        <w:rPr>
          <w:rFonts w:cs="Times New Roman"/>
          <w:sz w:val="24"/>
          <w:szCs w:val="28"/>
        </w:rPr>
      </w:r>
      <w:r w:rsidR="00D614B1"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614B1" w:rsidRPr="009F784F">
        <w:rPr>
          <w:rFonts w:cs="Times New Roman"/>
          <w:noProof/>
          <w:sz w:val="24"/>
          <w:szCs w:val="28"/>
          <w:vertAlign w:val="superscript"/>
        </w:rPr>
        <w:t>15,16</w:t>
      </w:r>
      <w:r w:rsidRPr="009F784F">
        <w:rPr>
          <w:rFonts w:cs="Times New Roman"/>
          <w:sz w:val="24"/>
          <w:szCs w:val="28"/>
        </w:rPr>
        <w:fldChar w:fldCharType="end"/>
      </w:r>
      <w:r w:rsidRPr="009F784F">
        <w:rPr>
          <w:rFonts w:cs="Times New Roman"/>
          <w:sz w:val="24"/>
          <w:szCs w:val="28"/>
        </w:rPr>
        <w:t xml:space="preserve">  was utilized to perform enrichment</w:t>
      </w:r>
      <w:r w:rsidR="002323D2">
        <w:rPr>
          <w:rFonts w:cs="Times New Roman"/>
          <w:sz w:val="24"/>
          <w:szCs w:val="28"/>
        </w:rPr>
        <w:t xml:space="preserve"> pathway</w:t>
      </w:r>
      <w:r w:rsidRPr="009F784F">
        <w:rPr>
          <w:rFonts w:cs="Times New Roman"/>
          <w:sz w:val="24"/>
          <w:szCs w:val="28"/>
        </w:rPr>
        <w:t xml:space="preserve"> analysis using KEGG IDs</w:t>
      </w:r>
      <w:r w:rsidR="002323D2">
        <w:rPr>
          <w:rFonts w:cs="Times New Roman"/>
          <w:sz w:val="24"/>
          <w:szCs w:val="28"/>
        </w:rPr>
        <w:t>, and</w:t>
      </w:r>
      <w:r w:rsidRPr="009F784F">
        <w:rPr>
          <w:rFonts w:cs="Times New Roman"/>
          <w:sz w:val="24"/>
          <w:szCs w:val="28"/>
        </w:rPr>
        <w:t xml:space="preserve"> Mus musculus (KEGG) pathway library.</w:t>
      </w:r>
      <w:r w:rsidR="00535DA3" w:rsidRPr="009F784F">
        <w:rPr>
          <w:rFonts w:cs="Times New Roman"/>
          <w:sz w:val="24"/>
          <w:szCs w:val="28"/>
        </w:rPr>
        <w:t xml:space="preserve"> </w:t>
      </w:r>
      <w:r w:rsidRPr="009F784F">
        <w:rPr>
          <w:rFonts w:cs="Times New Roman"/>
          <w:sz w:val="24"/>
          <w:szCs w:val="28"/>
        </w:rPr>
        <w:t>For pathway enrichment analysis, the Global Test algorithm was employed, while pathway topology analysis was conducted using relative betweenness centrality.</w:t>
      </w:r>
      <w:r w:rsidR="00535DA3" w:rsidRPr="009F784F">
        <w:rPr>
          <w:rFonts w:cs="Times New Roman"/>
          <w:sz w:val="24"/>
          <w:szCs w:val="28"/>
        </w:rPr>
        <w:t xml:space="preserve"> </w:t>
      </w:r>
    </w:p>
    <w:p w14:paraId="794C01A0" w14:textId="77777777" w:rsidR="006E388D" w:rsidRPr="009F784F" w:rsidRDefault="006E388D" w:rsidP="00641B58">
      <w:pPr>
        <w:pStyle w:val="Style2"/>
        <w:spacing w:line="480" w:lineRule="auto"/>
        <w:rPr>
          <w:sz w:val="24"/>
          <w:szCs w:val="24"/>
        </w:rPr>
      </w:pPr>
      <w:bookmarkStart w:id="24" w:name="_Toc217294925"/>
      <w:r w:rsidRPr="009F784F">
        <w:rPr>
          <w:sz w:val="24"/>
          <w:szCs w:val="24"/>
        </w:rPr>
        <w:t>Proteomics</w:t>
      </w:r>
      <w:bookmarkEnd w:id="24"/>
    </w:p>
    <w:p w14:paraId="4B466A5D" w14:textId="1F1FFACD" w:rsidR="00535DA3" w:rsidRPr="009F784F" w:rsidRDefault="00535DA3" w:rsidP="00641B58">
      <w:pPr>
        <w:spacing w:line="480" w:lineRule="auto"/>
        <w:rPr>
          <w:rFonts w:cs="Times New Roman"/>
          <w:sz w:val="24"/>
          <w:szCs w:val="28"/>
        </w:rPr>
      </w:pPr>
      <w:r w:rsidRPr="009F784F">
        <w:rPr>
          <w:rFonts w:cs="Times New Roman"/>
          <w:sz w:val="24"/>
          <w:szCs w:val="28"/>
        </w:rPr>
        <w:t>For in vitro studies, cells were harvested, centrifuged at 300 × g for 5 min at 4 °C, and the supernatant discarded. Pellets were resuspended in 400 µl ice</w:t>
      </w:r>
      <w:r w:rsidR="00DB4971" w:rsidRPr="009F784F">
        <w:rPr>
          <w:rFonts w:cs="Times New Roman"/>
          <w:sz w:val="24"/>
          <w:szCs w:val="28"/>
        </w:rPr>
        <w:t>–</w:t>
      </w:r>
      <w:r w:rsidRPr="009F784F">
        <w:rPr>
          <w:rFonts w:cs="Times New Roman"/>
          <w:sz w:val="24"/>
          <w:szCs w:val="28"/>
        </w:rPr>
        <w:t xml:space="preserve">cold RIPA buffer (Thermo </w:t>
      </w:r>
      <w:r w:rsidRPr="009F784F">
        <w:rPr>
          <w:rFonts w:cs="Times New Roman"/>
          <w:sz w:val="24"/>
          <w:szCs w:val="28"/>
        </w:rPr>
        <w:lastRenderedPageBreak/>
        <w:t>Scientific, 89901) supplemented with protease (Roche, 04693124001) and phosphatase (Roche, 04906837001) inhibitor tablets, then homogenized using a 26G needle.</w:t>
      </w:r>
    </w:p>
    <w:p w14:paraId="0D50205E" w14:textId="74F5969C" w:rsidR="006E388D" w:rsidRPr="009F784F" w:rsidRDefault="006E388D" w:rsidP="00641B58">
      <w:pPr>
        <w:spacing w:line="480" w:lineRule="auto"/>
        <w:rPr>
          <w:rFonts w:cs="Times New Roman"/>
          <w:sz w:val="24"/>
          <w:szCs w:val="28"/>
        </w:rPr>
      </w:pPr>
      <w:r w:rsidRPr="009F784F">
        <w:rPr>
          <w:rFonts w:cs="Times New Roman"/>
          <w:sz w:val="24"/>
          <w:szCs w:val="28"/>
        </w:rPr>
        <w:t>Frozen mouse spinal cords were homogenized in 1 ml of the same supplemented RIPA buffer using an electric homogenizer. All homogenates were incubated on ice for 20 min and centrifuged at 13,000 rpm for 20 min at 4 °C. Supernatants were collected, and protein concentrations were determined using the bicinchoninic acid (BCA) assay (Thermo Fisher, 23227), with absorbance measured at 562 nm. Lysates were stored at −80 °</w:t>
      </w:r>
      <w:r w:rsidR="00E86F24" w:rsidRPr="009F784F">
        <w:rPr>
          <w:rFonts w:cs="Times New Roman"/>
          <w:sz w:val="24"/>
          <w:szCs w:val="28"/>
        </w:rPr>
        <w:t>C.</w:t>
      </w:r>
      <w:r w:rsidRPr="009F784F">
        <w:rPr>
          <w:rFonts w:cs="Times New Roman"/>
          <w:sz w:val="24"/>
          <w:szCs w:val="28"/>
        </w:rPr>
        <w:t xml:space="preserve"> </w:t>
      </w:r>
    </w:p>
    <w:p w14:paraId="18FFC86A" w14:textId="4BC67FA0" w:rsidR="00940B1B" w:rsidRPr="009F784F" w:rsidRDefault="006E388D" w:rsidP="00641B58">
      <w:pPr>
        <w:spacing w:line="480" w:lineRule="auto"/>
        <w:rPr>
          <w:rFonts w:cs="Times New Roman"/>
          <w:sz w:val="24"/>
          <w:szCs w:val="28"/>
        </w:rPr>
      </w:pPr>
      <w:r w:rsidRPr="009F784F">
        <w:rPr>
          <w:rFonts w:cs="Times New Roman"/>
          <w:sz w:val="24"/>
          <w:szCs w:val="28"/>
        </w:rPr>
        <w:t>Sodium dodecyl sulphate</w:t>
      </w:r>
      <w:r w:rsidR="00D3137A" w:rsidRPr="009F784F">
        <w:rPr>
          <w:rFonts w:cs="Times New Roman"/>
          <w:sz w:val="24"/>
          <w:szCs w:val="28"/>
        </w:rPr>
        <w:t>–</w:t>
      </w:r>
      <w:r w:rsidRPr="009F784F">
        <w:rPr>
          <w:rFonts w:cs="Times New Roman"/>
          <w:sz w:val="24"/>
          <w:szCs w:val="28"/>
        </w:rPr>
        <w:t>polyacrylamide gel electrophoresis (SDS</w:t>
      </w:r>
      <w:r w:rsidR="00D3137A" w:rsidRPr="009F784F">
        <w:rPr>
          <w:rFonts w:cs="Times New Roman"/>
          <w:sz w:val="24"/>
          <w:szCs w:val="28"/>
        </w:rPr>
        <w:t>–</w:t>
      </w:r>
      <w:r w:rsidRPr="009F784F">
        <w:rPr>
          <w:rFonts w:cs="Times New Roman"/>
          <w:sz w:val="24"/>
          <w:szCs w:val="28"/>
        </w:rPr>
        <w:t xml:space="preserve">PAGE) and </w:t>
      </w:r>
      <w:r w:rsidR="00DB4971" w:rsidRPr="009F784F">
        <w:rPr>
          <w:rFonts w:cs="Times New Roman"/>
          <w:sz w:val="24"/>
          <w:szCs w:val="28"/>
        </w:rPr>
        <w:t>w</w:t>
      </w:r>
      <w:r w:rsidRPr="009F784F">
        <w:rPr>
          <w:rFonts w:cs="Times New Roman"/>
          <w:sz w:val="24"/>
          <w:szCs w:val="28"/>
        </w:rPr>
        <w:t>estern blotting</w:t>
      </w:r>
      <w:r w:rsidR="00503ADF" w:rsidRPr="009F784F">
        <w:rPr>
          <w:rFonts w:cs="Times New Roman"/>
          <w:sz w:val="24"/>
          <w:szCs w:val="28"/>
        </w:rPr>
        <w:t>,</w:t>
      </w:r>
      <w:r w:rsidR="00DB4971" w:rsidRPr="009F784F">
        <w:rPr>
          <w:rFonts w:cs="Times New Roman"/>
          <w:sz w:val="24"/>
          <w:szCs w:val="28"/>
        </w:rPr>
        <w:t xml:space="preserve"> </w:t>
      </w:r>
      <w:r w:rsidR="00503ADF" w:rsidRPr="009F784F">
        <w:rPr>
          <w:rFonts w:cs="Times New Roman"/>
          <w:sz w:val="24"/>
          <w:szCs w:val="28"/>
        </w:rPr>
        <w:t xml:space="preserve">IP </w:t>
      </w:r>
      <w:r w:rsidRPr="009F784F">
        <w:rPr>
          <w:rFonts w:cs="Times New Roman"/>
          <w:sz w:val="24"/>
          <w:szCs w:val="28"/>
        </w:rPr>
        <w:t>and co</w:t>
      </w:r>
      <w:r w:rsidR="00D3137A" w:rsidRPr="009F784F">
        <w:rPr>
          <w:rFonts w:cs="Times New Roman"/>
          <w:sz w:val="24"/>
          <w:szCs w:val="28"/>
        </w:rPr>
        <w:t>–</w:t>
      </w:r>
      <w:r w:rsidRPr="009F784F">
        <w:rPr>
          <w:rFonts w:cs="Times New Roman"/>
          <w:sz w:val="24"/>
          <w:szCs w:val="28"/>
        </w:rPr>
        <w:t xml:space="preserve"> immunoprecipitation</w:t>
      </w:r>
      <w:r w:rsidR="00503ADF" w:rsidRPr="009F784F">
        <w:rPr>
          <w:rFonts w:cs="Times New Roman"/>
          <w:sz w:val="24"/>
          <w:szCs w:val="28"/>
        </w:rPr>
        <w:t xml:space="preserve"> (co–IP)</w:t>
      </w:r>
      <w:r w:rsidR="00890248" w:rsidRPr="009F784F">
        <w:rPr>
          <w:rFonts w:cs="Times New Roman"/>
          <w:sz w:val="24"/>
          <w:szCs w:val="28"/>
        </w:rPr>
        <w:t xml:space="preserve"> were</w:t>
      </w:r>
      <w:r w:rsidR="00DB4971" w:rsidRPr="009F784F">
        <w:rPr>
          <w:rFonts w:cs="Times New Roman"/>
          <w:sz w:val="24"/>
          <w:szCs w:val="28"/>
        </w:rPr>
        <w:t xml:space="preserve"> performed as previous</w:t>
      </w:r>
      <w:r w:rsidR="00414A6F">
        <w:rPr>
          <w:rFonts w:cs="Times New Roman"/>
          <w:sz w:val="24"/>
          <w:szCs w:val="28"/>
        </w:rPr>
        <w:t>ly</w:t>
      </w:r>
      <w:r w:rsidR="00FB404F" w:rsidRPr="009F784F">
        <w:rPr>
          <w:rFonts w:cs="Times New Roman"/>
          <w:sz w:val="24"/>
          <w:szCs w:val="28"/>
        </w:rPr>
        <w:t xml:space="preserve"> </w:t>
      </w:r>
      <w:r w:rsidR="00890248" w:rsidRPr="009F784F">
        <w:rPr>
          <w:rFonts w:cs="Times New Roman"/>
          <w:sz w:val="24"/>
          <w:szCs w:val="28"/>
        </w:rPr>
        <w:t xml:space="preserve">described </w:t>
      </w:r>
      <w:r w:rsidR="00FB404F" w:rsidRPr="009F784F">
        <w:rPr>
          <w:rFonts w:cs="Times New Roman"/>
          <w:sz w:val="24"/>
          <w:szCs w:val="28"/>
        </w:rPr>
        <w:t>(Emamnejad et al., 2025a</w:t>
      </w:r>
      <w:r w:rsidR="00C857D7" w:rsidRPr="009F784F">
        <w:rPr>
          <w:rFonts w:cs="Times New Roman"/>
          <w:sz w:val="24"/>
          <w:szCs w:val="28"/>
        </w:rPr>
        <w:t>;</w:t>
      </w:r>
      <w:r w:rsidR="00FB404F" w:rsidRPr="009F784F">
        <w:rPr>
          <w:rFonts w:cs="Times New Roman"/>
          <w:sz w:val="24"/>
          <w:szCs w:val="28"/>
        </w:rPr>
        <w:t xml:space="preserve"> submitted)</w:t>
      </w:r>
      <w:r w:rsidR="00890248" w:rsidRPr="009F784F">
        <w:rPr>
          <w:rFonts w:cs="Times New Roman"/>
          <w:sz w:val="24"/>
          <w:szCs w:val="28"/>
        </w:rPr>
        <w:t xml:space="preserve">. </w:t>
      </w:r>
      <w:r w:rsidR="0099204E" w:rsidRPr="009F784F">
        <w:rPr>
          <w:rFonts w:cs="Times New Roman"/>
          <w:sz w:val="24"/>
          <w:szCs w:val="28"/>
        </w:rPr>
        <w:t xml:space="preserve"> </w:t>
      </w:r>
    </w:p>
    <w:p w14:paraId="769D0D3B" w14:textId="6ECE90C6" w:rsidR="00890248" w:rsidRPr="009F784F" w:rsidRDefault="00890248" w:rsidP="00641B58">
      <w:pPr>
        <w:spacing w:line="480" w:lineRule="auto"/>
        <w:rPr>
          <w:rFonts w:cs="Times New Roman"/>
          <w:sz w:val="24"/>
          <w:szCs w:val="28"/>
        </w:rPr>
      </w:pPr>
      <w:r w:rsidRPr="009F784F">
        <w:rPr>
          <w:rFonts w:cs="Times New Roman"/>
          <w:sz w:val="24"/>
          <w:szCs w:val="28"/>
        </w:rPr>
        <w:t xml:space="preserve">For western blotting and immunoprecipitation, the following primary antibodies were used: AKT (Cell </w:t>
      </w:r>
      <w:proofErr w:type="spellStart"/>
      <w:r w:rsidRPr="009F784F">
        <w:rPr>
          <w:rFonts w:cs="Times New Roman"/>
          <w:sz w:val="24"/>
          <w:szCs w:val="28"/>
        </w:rPr>
        <w:t>Signaling</w:t>
      </w:r>
      <w:proofErr w:type="spellEnd"/>
      <w:r w:rsidRPr="009F784F">
        <w:rPr>
          <w:rFonts w:cs="Times New Roman"/>
          <w:sz w:val="24"/>
          <w:szCs w:val="28"/>
        </w:rPr>
        <w:t xml:space="preserve"> Technology, #9272; 1:1000), </w:t>
      </w:r>
      <w:proofErr w:type="spellStart"/>
      <w:r w:rsidRPr="009F784F">
        <w:rPr>
          <w:rFonts w:cs="Times New Roman"/>
          <w:sz w:val="24"/>
          <w:szCs w:val="28"/>
        </w:rPr>
        <w:t>phospho</w:t>
      </w:r>
      <w:proofErr w:type="spellEnd"/>
      <w:r w:rsidR="00AC2B32" w:rsidRPr="009F784F">
        <w:rPr>
          <w:rFonts w:cs="Times New Roman"/>
          <w:sz w:val="24"/>
          <w:szCs w:val="28"/>
        </w:rPr>
        <w:t>–</w:t>
      </w:r>
      <w:r w:rsidRPr="009F784F">
        <w:rPr>
          <w:rFonts w:cs="Times New Roman"/>
          <w:sz w:val="24"/>
          <w:szCs w:val="28"/>
        </w:rPr>
        <w:t xml:space="preserve">AKT (S473) (Cell </w:t>
      </w:r>
      <w:proofErr w:type="spellStart"/>
      <w:r w:rsidRPr="009F784F">
        <w:rPr>
          <w:rFonts w:cs="Times New Roman"/>
          <w:sz w:val="24"/>
          <w:szCs w:val="28"/>
        </w:rPr>
        <w:t>Signaling</w:t>
      </w:r>
      <w:proofErr w:type="spellEnd"/>
      <w:r w:rsidRPr="009F784F">
        <w:rPr>
          <w:rFonts w:cs="Times New Roman"/>
          <w:sz w:val="24"/>
          <w:szCs w:val="28"/>
        </w:rPr>
        <w:t xml:space="preserve"> Technology, #9271; 1:1000), mTOR (Cell </w:t>
      </w:r>
      <w:proofErr w:type="spellStart"/>
      <w:r w:rsidRPr="009F784F">
        <w:rPr>
          <w:rFonts w:cs="Times New Roman"/>
          <w:sz w:val="24"/>
          <w:szCs w:val="28"/>
        </w:rPr>
        <w:t>Signaling</w:t>
      </w:r>
      <w:proofErr w:type="spellEnd"/>
      <w:r w:rsidRPr="009F784F">
        <w:rPr>
          <w:rFonts w:cs="Times New Roman"/>
          <w:sz w:val="24"/>
          <w:szCs w:val="28"/>
        </w:rPr>
        <w:t xml:space="preserve"> Technology, #2972; 1:1000), </w:t>
      </w:r>
      <w:proofErr w:type="spellStart"/>
      <w:r w:rsidRPr="009F784F">
        <w:rPr>
          <w:rFonts w:cs="Times New Roman"/>
          <w:sz w:val="24"/>
          <w:szCs w:val="28"/>
        </w:rPr>
        <w:t>phospho</w:t>
      </w:r>
      <w:proofErr w:type="spellEnd"/>
      <w:r w:rsidR="00AC2B32" w:rsidRPr="009F784F">
        <w:rPr>
          <w:rFonts w:cs="Times New Roman"/>
          <w:sz w:val="24"/>
          <w:szCs w:val="28"/>
        </w:rPr>
        <w:t>–</w:t>
      </w:r>
      <w:r w:rsidRPr="009F784F">
        <w:rPr>
          <w:rFonts w:cs="Times New Roman"/>
          <w:sz w:val="24"/>
          <w:szCs w:val="28"/>
        </w:rPr>
        <w:t xml:space="preserve">mTOR (Ser2448) (Sigma-Aldrich, #SAB4504476; 1:1000), ERK1/2 (Cell </w:t>
      </w:r>
      <w:proofErr w:type="spellStart"/>
      <w:r w:rsidRPr="009F784F">
        <w:rPr>
          <w:rFonts w:cs="Times New Roman"/>
          <w:sz w:val="24"/>
          <w:szCs w:val="28"/>
        </w:rPr>
        <w:t>Signaling</w:t>
      </w:r>
      <w:proofErr w:type="spellEnd"/>
      <w:r w:rsidRPr="009F784F">
        <w:rPr>
          <w:rFonts w:cs="Times New Roman"/>
          <w:sz w:val="24"/>
          <w:szCs w:val="28"/>
        </w:rPr>
        <w:t xml:space="preserve"> Technology, #4695; 1:2000), </w:t>
      </w:r>
      <w:proofErr w:type="spellStart"/>
      <w:r w:rsidRPr="009F784F">
        <w:rPr>
          <w:rFonts w:cs="Times New Roman"/>
          <w:sz w:val="24"/>
          <w:szCs w:val="28"/>
        </w:rPr>
        <w:t>phospho</w:t>
      </w:r>
      <w:proofErr w:type="spellEnd"/>
      <w:r w:rsidR="00AC2B32" w:rsidRPr="009F784F">
        <w:rPr>
          <w:rFonts w:cs="Times New Roman"/>
          <w:sz w:val="24"/>
          <w:szCs w:val="28"/>
        </w:rPr>
        <w:t>–</w:t>
      </w:r>
      <w:r w:rsidRPr="009F784F">
        <w:rPr>
          <w:rFonts w:cs="Times New Roman"/>
          <w:sz w:val="24"/>
          <w:szCs w:val="28"/>
        </w:rPr>
        <w:t xml:space="preserve">ERK1/2 (Cell </w:t>
      </w:r>
      <w:proofErr w:type="spellStart"/>
      <w:r w:rsidRPr="009F784F">
        <w:rPr>
          <w:rFonts w:cs="Times New Roman"/>
          <w:sz w:val="24"/>
          <w:szCs w:val="28"/>
        </w:rPr>
        <w:t>Signaling</w:t>
      </w:r>
      <w:proofErr w:type="spellEnd"/>
      <w:r w:rsidRPr="009F784F">
        <w:rPr>
          <w:rFonts w:cs="Times New Roman"/>
          <w:sz w:val="24"/>
          <w:szCs w:val="28"/>
        </w:rPr>
        <w:t xml:space="preserve"> Technology, #4370; 1:2000), PANK2 (</w:t>
      </w:r>
      <w:proofErr w:type="spellStart"/>
      <w:r w:rsidRPr="009F784F">
        <w:rPr>
          <w:rFonts w:cs="Times New Roman"/>
          <w:sz w:val="24"/>
          <w:szCs w:val="28"/>
        </w:rPr>
        <w:t>Bioss</w:t>
      </w:r>
      <w:proofErr w:type="spellEnd"/>
      <w:r w:rsidRPr="009F784F">
        <w:rPr>
          <w:rFonts w:cs="Times New Roman"/>
          <w:sz w:val="24"/>
          <w:szCs w:val="28"/>
        </w:rPr>
        <w:t>, #bs-8338R; 1:1000), MCT8 (</w:t>
      </w:r>
      <w:proofErr w:type="spellStart"/>
      <w:r w:rsidRPr="009F784F">
        <w:rPr>
          <w:rFonts w:cs="Times New Roman"/>
          <w:sz w:val="24"/>
          <w:szCs w:val="28"/>
        </w:rPr>
        <w:t>LifeSpan</w:t>
      </w:r>
      <w:proofErr w:type="spellEnd"/>
      <w:r w:rsidRPr="009F784F">
        <w:rPr>
          <w:rFonts w:cs="Times New Roman"/>
          <w:sz w:val="24"/>
          <w:szCs w:val="28"/>
        </w:rPr>
        <w:t xml:space="preserve"> </w:t>
      </w:r>
      <w:proofErr w:type="spellStart"/>
      <w:r w:rsidRPr="009F784F">
        <w:rPr>
          <w:rFonts w:cs="Times New Roman"/>
          <w:sz w:val="24"/>
          <w:szCs w:val="28"/>
        </w:rPr>
        <w:t>BioSciences</w:t>
      </w:r>
      <w:proofErr w:type="spellEnd"/>
      <w:r w:rsidRPr="009F784F">
        <w:rPr>
          <w:rFonts w:cs="Times New Roman"/>
          <w:sz w:val="24"/>
          <w:szCs w:val="28"/>
        </w:rPr>
        <w:t>, #LS-B10928; 1:1000), MCT8 (MBL International, #BM0031; 1:1000), MCT10 (US Biological Life Sciences, #041801; 1:1000), OATP1C1 (Merck, #SAB2108225; 1:1000), DIO2 (Novus Biologicals, #NBP1-00178; 1:1500), DIO3 (Novus Biologicals, #NBP1-05767; 1:1000), MYRF (</w:t>
      </w:r>
      <w:proofErr w:type="spellStart"/>
      <w:r w:rsidRPr="009F784F">
        <w:rPr>
          <w:rFonts w:cs="Times New Roman"/>
          <w:sz w:val="24"/>
          <w:szCs w:val="28"/>
        </w:rPr>
        <w:t>Bioss</w:t>
      </w:r>
      <w:proofErr w:type="spellEnd"/>
      <w:r w:rsidRPr="009F784F">
        <w:rPr>
          <w:rFonts w:cs="Times New Roman"/>
          <w:sz w:val="24"/>
          <w:szCs w:val="28"/>
        </w:rPr>
        <w:t>, #C11orf9; 1:1000), β</w:t>
      </w:r>
      <w:r w:rsidR="00AC2B32" w:rsidRPr="009F784F">
        <w:rPr>
          <w:rFonts w:cs="Times New Roman"/>
          <w:sz w:val="24"/>
          <w:szCs w:val="28"/>
        </w:rPr>
        <w:t>–</w:t>
      </w:r>
      <w:r w:rsidRPr="009F784F">
        <w:rPr>
          <w:rFonts w:cs="Times New Roman"/>
          <w:sz w:val="24"/>
          <w:szCs w:val="28"/>
        </w:rPr>
        <w:t>actin (Novus Biologicals, #NB600-532; 1:10 000), and β</w:t>
      </w:r>
      <w:r w:rsidR="00AC2B32" w:rsidRPr="009F784F">
        <w:rPr>
          <w:rFonts w:cs="Times New Roman"/>
          <w:sz w:val="24"/>
          <w:szCs w:val="28"/>
        </w:rPr>
        <w:t>–</w:t>
      </w:r>
      <w:r w:rsidRPr="009F784F">
        <w:rPr>
          <w:rFonts w:cs="Times New Roman"/>
          <w:sz w:val="24"/>
          <w:szCs w:val="28"/>
        </w:rPr>
        <w:t>actin (Sigma-Aldrich, #A6441; 1:5000).</w:t>
      </w:r>
    </w:p>
    <w:p w14:paraId="5AD58FBE" w14:textId="00A93C71" w:rsidR="006E388D" w:rsidRPr="009F784F" w:rsidRDefault="00890248" w:rsidP="00641B58">
      <w:pPr>
        <w:spacing w:line="480" w:lineRule="auto"/>
        <w:rPr>
          <w:rFonts w:cs="Times New Roman"/>
          <w:sz w:val="24"/>
          <w:szCs w:val="28"/>
        </w:rPr>
      </w:pPr>
      <w:r w:rsidRPr="009F784F">
        <w:rPr>
          <w:rFonts w:cs="Times New Roman"/>
          <w:sz w:val="24"/>
          <w:szCs w:val="28"/>
        </w:rPr>
        <w:t>The following secondary antibodies were used: goat anti</w:t>
      </w:r>
      <w:r w:rsidR="00AC2B32" w:rsidRPr="009F784F">
        <w:rPr>
          <w:rFonts w:cs="Times New Roman"/>
          <w:sz w:val="24"/>
          <w:szCs w:val="28"/>
        </w:rPr>
        <w:t>–</w:t>
      </w:r>
      <w:r w:rsidRPr="009F784F">
        <w:rPr>
          <w:rFonts w:cs="Times New Roman"/>
          <w:sz w:val="24"/>
          <w:szCs w:val="28"/>
        </w:rPr>
        <w:t>rabbit IgG (H&amp;L), HRP conjugate (Thermo Fisher Scientific, #A16096; 1:5000); donkey anti</w:t>
      </w:r>
      <w:r w:rsidR="00AC2B32" w:rsidRPr="009F784F">
        <w:rPr>
          <w:rFonts w:cs="Times New Roman"/>
          <w:sz w:val="24"/>
          <w:szCs w:val="28"/>
        </w:rPr>
        <w:t>–</w:t>
      </w:r>
      <w:r w:rsidRPr="009F784F">
        <w:rPr>
          <w:rFonts w:cs="Times New Roman"/>
          <w:sz w:val="24"/>
          <w:szCs w:val="28"/>
        </w:rPr>
        <w:t>goat IgG (H&amp;L), HRP conjugate (Invitrogen, #PA1-28664; 1:5000); goat anti</w:t>
      </w:r>
      <w:r w:rsidR="00AC2B32" w:rsidRPr="009F784F">
        <w:rPr>
          <w:rFonts w:cs="Times New Roman"/>
          <w:sz w:val="24"/>
          <w:szCs w:val="28"/>
        </w:rPr>
        <w:t>–</w:t>
      </w:r>
      <w:r w:rsidRPr="009F784F">
        <w:rPr>
          <w:rFonts w:cs="Times New Roman"/>
          <w:sz w:val="24"/>
          <w:szCs w:val="28"/>
        </w:rPr>
        <w:t xml:space="preserve">mouse IgG (H&amp;L), HRP conjugate (Thermo </w:t>
      </w:r>
      <w:r w:rsidRPr="009F784F">
        <w:rPr>
          <w:rFonts w:cs="Times New Roman"/>
          <w:sz w:val="24"/>
          <w:szCs w:val="28"/>
        </w:rPr>
        <w:lastRenderedPageBreak/>
        <w:t xml:space="preserve">Fisher Scientific, #31430; 1:5000); and </w:t>
      </w:r>
      <w:proofErr w:type="spellStart"/>
      <w:r w:rsidRPr="009F784F">
        <w:rPr>
          <w:rFonts w:cs="Times New Roman"/>
          <w:sz w:val="24"/>
          <w:szCs w:val="28"/>
        </w:rPr>
        <w:t>VeriBlot</w:t>
      </w:r>
      <w:proofErr w:type="spellEnd"/>
      <w:r w:rsidRPr="009F784F">
        <w:rPr>
          <w:rFonts w:cs="Times New Roman"/>
          <w:sz w:val="24"/>
          <w:szCs w:val="28"/>
        </w:rPr>
        <w:t xml:space="preserve"> for IP</w:t>
      </w:r>
      <w:r w:rsidR="00503ADF" w:rsidRPr="009F784F">
        <w:rPr>
          <w:rFonts w:cs="Times New Roman"/>
          <w:sz w:val="24"/>
          <w:szCs w:val="28"/>
        </w:rPr>
        <w:t xml:space="preserve"> and co–IP</w:t>
      </w:r>
      <w:r w:rsidRPr="009F784F">
        <w:rPr>
          <w:rFonts w:cs="Times New Roman"/>
          <w:sz w:val="24"/>
          <w:szCs w:val="28"/>
        </w:rPr>
        <w:t xml:space="preserve"> detection (Abcam, #AB131366; 1:200).</w:t>
      </w:r>
    </w:p>
    <w:p w14:paraId="49FC562E" w14:textId="77777777" w:rsidR="006E388D" w:rsidRPr="009F784F" w:rsidRDefault="006E388D" w:rsidP="00641B58">
      <w:pPr>
        <w:pStyle w:val="Style2"/>
        <w:spacing w:line="480" w:lineRule="auto"/>
        <w:rPr>
          <w:sz w:val="24"/>
          <w:szCs w:val="24"/>
        </w:rPr>
      </w:pPr>
      <w:bookmarkStart w:id="25" w:name="_Toc217294926"/>
      <w:r w:rsidRPr="009F784F">
        <w:rPr>
          <w:sz w:val="24"/>
          <w:szCs w:val="24"/>
        </w:rPr>
        <w:t>Ex vivo MRI acquisition and diffusion tensor imaging analysis</w:t>
      </w:r>
      <w:bookmarkEnd w:id="25"/>
      <w:r w:rsidRPr="009F784F">
        <w:rPr>
          <w:sz w:val="24"/>
          <w:szCs w:val="24"/>
        </w:rPr>
        <w:t xml:space="preserve"> </w:t>
      </w:r>
    </w:p>
    <w:p w14:paraId="49D25D40" w14:textId="629A2063" w:rsidR="00AC2B32" w:rsidRPr="009F784F" w:rsidRDefault="006E388D" w:rsidP="00641B58">
      <w:pPr>
        <w:spacing w:line="480" w:lineRule="auto"/>
        <w:rPr>
          <w:rFonts w:cs="Times New Roman"/>
          <w:sz w:val="24"/>
          <w:szCs w:val="28"/>
        </w:rPr>
      </w:pPr>
      <w:r w:rsidRPr="009F784F">
        <w:rPr>
          <w:rFonts w:cs="Times New Roman"/>
          <w:sz w:val="24"/>
          <w:szCs w:val="28"/>
        </w:rPr>
        <w:t xml:space="preserve">At the experimental endpoint (day 30, or upon reaching a clinical score of 3), the L1 to L5 spinal cord segments were harvested from all treated mice receiving TH analogues or corn oil (vehicle control). </w:t>
      </w:r>
      <w:r w:rsidRPr="009F784F">
        <w:rPr>
          <w:rFonts w:cs="Times New Roman"/>
          <w:i/>
          <w:iCs/>
          <w:sz w:val="24"/>
          <w:szCs w:val="28"/>
        </w:rPr>
        <w:t>Ex vivo</w:t>
      </w:r>
      <w:r w:rsidRPr="009F784F">
        <w:rPr>
          <w:rFonts w:cs="Times New Roman"/>
          <w:sz w:val="24"/>
          <w:szCs w:val="28"/>
        </w:rPr>
        <w:t xml:space="preserve"> tissue preparation for MRI imaging followed the procedures detailed above. Spinal cords were imaged using a 9</w:t>
      </w:r>
      <w:r w:rsidR="00AC2B32" w:rsidRPr="009F784F">
        <w:rPr>
          <w:rFonts w:cs="Times New Roman"/>
          <w:sz w:val="24"/>
          <w:szCs w:val="28"/>
        </w:rPr>
        <w:t>·</w:t>
      </w:r>
      <w:r w:rsidRPr="009F784F">
        <w:rPr>
          <w:rFonts w:cs="Times New Roman"/>
          <w:sz w:val="24"/>
          <w:szCs w:val="28"/>
        </w:rPr>
        <w:t xml:space="preserve">4 Tesla Bruker MRI scanner at the Monash Biomedical Imaging facility, located within the Alfred Research Alliance precinct. </w:t>
      </w:r>
      <w:bookmarkStart w:id="26" w:name="_Hlk212795788"/>
      <w:r w:rsidRPr="009F784F">
        <w:rPr>
          <w:rFonts w:cs="Times New Roman"/>
          <w:sz w:val="24"/>
          <w:szCs w:val="28"/>
        </w:rPr>
        <w:t xml:space="preserve">Diffusion tensor imaging </w:t>
      </w:r>
      <w:bookmarkEnd w:id="26"/>
      <w:r w:rsidRPr="009F784F">
        <w:rPr>
          <w:rFonts w:cs="Times New Roman"/>
          <w:sz w:val="24"/>
          <w:szCs w:val="28"/>
        </w:rPr>
        <w:t xml:space="preserve">(DTI) was conducted with the following acquisition parameters:  repetition time/echo time, 1000/28 </w:t>
      </w:r>
      <w:proofErr w:type="spellStart"/>
      <w:r w:rsidRPr="009F784F">
        <w:rPr>
          <w:rFonts w:cs="Times New Roman"/>
          <w:sz w:val="24"/>
          <w:szCs w:val="28"/>
        </w:rPr>
        <w:t>ms</w:t>
      </w:r>
      <w:proofErr w:type="spellEnd"/>
      <w:r w:rsidRPr="009F784F">
        <w:rPr>
          <w:rFonts w:cs="Times New Roman"/>
          <w:sz w:val="24"/>
          <w:szCs w:val="28"/>
        </w:rPr>
        <w:t>; matrix, 144 × 48 × 48; field of view, 14</w:t>
      </w:r>
      <w:r w:rsidR="00AC2B32" w:rsidRPr="009F784F">
        <w:rPr>
          <w:rFonts w:cs="Times New Roman"/>
          <w:sz w:val="24"/>
          <w:szCs w:val="28"/>
        </w:rPr>
        <w:t>·</w:t>
      </w:r>
      <w:r w:rsidRPr="009F784F">
        <w:rPr>
          <w:rFonts w:cs="Times New Roman"/>
          <w:sz w:val="24"/>
          <w:szCs w:val="28"/>
        </w:rPr>
        <w:t>40 × 4</w:t>
      </w:r>
      <w:r w:rsidR="00AC2B32" w:rsidRPr="009F784F">
        <w:rPr>
          <w:rFonts w:cs="Times New Roman"/>
          <w:sz w:val="24"/>
          <w:szCs w:val="28"/>
        </w:rPr>
        <w:t>·</w:t>
      </w:r>
      <w:r w:rsidRPr="009F784F">
        <w:rPr>
          <w:rFonts w:cs="Times New Roman"/>
          <w:sz w:val="24"/>
          <w:szCs w:val="28"/>
        </w:rPr>
        <w:t>80 × 4</w:t>
      </w:r>
      <w:r w:rsidR="00AC2B32" w:rsidRPr="009F784F">
        <w:rPr>
          <w:rFonts w:cs="Times New Roman"/>
          <w:sz w:val="24"/>
          <w:szCs w:val="28"/>
        </w:rPr>
        <w:t>·</w:t>
      </w:r>
      <w:r w:rsidRPr="009F784F">
        <w:rPr>
          <w:rFonts w:cs="Times New Roman"/>
          <w:sz w:val="24"/>
          <w:szCs w:val="28"/>
        </w:rPr>
        <w:t>80 mm</w:t>
      </w:r>
      <w:r w:rsidRPr="009F784F">
        <w:rPr>
          <w:rFonts w:cs="Times New Roman"/>
          <w:sz w:val="24"/>
          <w:szCs w:val="28"/>
          <w:vertAlign w:val="superscript"/>
        </w:rPr>
        <w:t>3</w:t>
      </w:r>
      <w:r w:rsidRPr="009F784F">
        <w:rPr>
          <w:rFonts w:cs="Times New Roman"/>
          <w:sz w:val="24"/>
          <w:szCs w:val="28"/>
        </w:rPr>
        <w:t xml:space="preserve">, </w:t>
      </w:r>
      <w:r w:rsidRPr="009F784F">
        <w:rPr>
          <w:rFonts w:cs="Times New Roman"/>
          <w:sz w:val="24"/>
          <w:szCs w:val="28"/>
          <w:lang w:val="el-GR"/>
        </w:rPr>
        <w:t>δ</w:t>
      </w:r>
      <w:r w:rsidRPr="009F784F">
        <w:rPr>
          <w:rFonts w:cs="Times New Roman"/>
          <w:sz w:val="24"/>
          <w:szCs w:val="28"/>
        </w:rPr>
        <w:t xml:space="preserve"> = 4 </w:t>
      </w:r>
      <w:proofErr w:type="spellStart"/>
      <w:r w:rsidRPr="009F784F">
        <w:rPr>
          <w:rFonts w:cs="Times New Roman"/>
          <w:sz w:val="24"/>
          <w:szCs w:val="28"/>
        </w:rPr>
        <w:t>ms</w:t>
      </w:r>
      <w:proofErr w:type="spellEnd"/>
      <w:r w:rsidRPr="009F784F">
        <w:rPr>
          <w:rFonts w:cs="Times New Roman"/>
          <w:sz w:val="24"/>
          <w:szCs w:val="28"/>
        </w:rPr>
        <w:t xml:space="preserve">, </w:t>
      </w:r>
      <w:r w:rsidRPr="009F784F">
        <w:rPr>
          <w:rFonts w:cs="Times New Roman"/>
          <w:sz w:val="24"/>
          <w:szCs w:val="28"/>
          <w:lang w:val="el-GR"/>
        </w:rPr>
        <w:t>Δ</w:t>
      </w:r>
      <w:r w:rsidRPr="009F784F">
        <w:rPr>
          <w:rFonts w:cs="Times New Roman"/>
          <w:sz w:val="24"/>
          <w:szCs w:val="28"/>
        </w:rPr>
        <w:t xml:space="preserve"> = 13 </w:t>
      </w:r>
      <w:proofErr w:type="spellStart"/>
      <w:r w:rsidRPr="009F784F">
        <w:rPr>
          <w:rFonts w:cs="Times New Roman"/>
          <w:sz w:val="24"/>
          <w:szCs w:val="28"/>
        </w:rPr>
        <w:t>ms</w:t>
      </w:r>
      <w:proofErr w:type="spellEnd"/>
      <w:r w:rsidRPr="009F784F">
        <w:rPr>
          <w:rFonts w:cs="Times New Roman"/>
          <w:sz w:val="24"/>
          <w:szCs w:val="28"/>
        </w:rPr>
        <w:t>, and b</w:t>
      </w:r>
      <w:r w:rsidR="00D3137A" w:rsidRPr="009F784F">
        <w:rPr>
          <w:rFonts w:cs="Times New Roman"/>
          <w:sz w:val="24"/>
          <w:szCs w:val="28"/>
        </w:rPr>
        <w:t>–</w:t>
      </w:r>
      <w:r w:rsidRPr="009F784F">
        <w:rPr>
          <w:rFonts w:cs="Times New Roman"/>
          <w:sz w:val="24"/>
          <w:szCs w:val="28"/>
        </w:rPr>
        <w:t>value of 4000 s/mm</w:t>
      </w:r>
      <w:r w:rsidRPr="009F784F">
        <w:rPr>
          <w:rFonts w:cs="Times New Roman"/>
          <w:sz w:val="24"/>
          <w:szCs w:val="28"/>
          <w:vertAlign w:val="superscript"/>
        </w:rPr>
        <w:t>2</w:t>
      </w:r>
      <w:r w:rsidRPr="009F784F">
        <w:rPr>
          <w:rFonts w:cs="Times New Roman"/>
          <w:sz w:val="24"/>
          <w:szCs w:val="28"/>
        </w:rPr>
        <w:t xml:space="preserve">. Structural and microstructural analyses were conducted on DTI data, focusing on three anatomically defined </w:t>
      </w:r>
      <w:r w:rsidR="00AC2B32" w:rsidRPr="009F784F">
        <w:rPr>
          <w:rFonts w:cs="Times New Roman"/>
          <w:sz w:val="24"/>
          <w:szCs w:val="28"/>
        </w:rPr>
        <w:t>regions of interest (</w:t>
      </w:r>
      <w:r w:rsidRPr="009F784F">
        <w:rPr>
          <w:rFonts w:cs="Times New Roman"/>
          <w:sz w:val="24"/>
          <w:szCs w:val="28"/>
        </w:rPr>
        <w:t>ROIs</w:t>
      </w:r>
      <w:r w:rsidR="00AC2B32" w:rsidRPr="009F784F">
        <w:rPr>
          <w:rFonts w:cs="Times New Roman"/>
          <w:sz w:val="24"/>
          <w:szCs w:val="28"/>
        </w:rPr>
        <w:t>)</w:t>
      </w:r>
      <w:r w:rsidRPr="009F784F">
        <w:rPr>
          <w:rFonts w:cs="Times New Roman"/>
          <w:sz w:val="24"/>
          <w:szCs w:val="28"/>
        </w:rPr>
        <w:t xml:space="preserve"> along the lumbosacral spinal cord: rostral, mid</w:t>
      </w:r>
      <w:r w:rsidR="00D3137A" w:rsidRPr="009F784F">
        <w:rPr>
          <w:rFonts w:cs="Times New Roman"/>
          <w:sz w:val="24"/>
          <w:szCs w:val="28"/>
        </w:rPr>
        <w:t>–</w:t>
      </w:r>
      <w:r w:rsidRPr="009F784F">
        <w:rPr>
          <w:rFonts w:cs="Times New Roman"/>
          <w:sz w:val="24"/>
          <w:szCs w:val="28"/>
        </w:rPr>
        <w:t xml:space="preserve">lumbar, and caudal segments. Within each segment, white matter (WM) and </w:t>
      </w:r>
      <w:proofErr w:type="spellStart"/>
      <w:r w:rsidRPr="009F784F">
        <w:rPr>
          <w:rFonts w:cs="Times New Roman"/>
          <w:sz w:val="24"/>
          <w:szCs w:val="28"/>
        </w:rPr>
        <w:t>gray</w:t>
      </w:r>
      <w:proofErr w:type="spellEnd"/>
      <w:r w:rsidRPr="009F784F">
        <w:rPr>
          <w:rFonts w:cs="Times New Roman"/>
          <w:sz w:val="24"/>
          <w:szCs w:val="28"/>
        </w:rPr>
        <w:t xml:space="preserve"> matter (GM) were manually segmented using ITK</w:t>
      </w:r>
      <w:r w:rsidR="00D3137A" w:rsidRPr="009F784F">
        <w:rPr>
          <w:rFonts w:cs="Times New Roman"/>
          <w:sz w:val="24"/>
          <w:szCs w:val="28"/>
        </w:rPr>
        <w:t>–</w:t>
      </w:r>
      <w:r w:rsidRPr="009F784F">
        <w:rPr>
          <w:rFonts w:cs="Times New Roman"/>
          <w:sz w:val="24"/>
          <w:szCs w:val="28"/>
        </w:rPr>
        <w:t>SNAP (version 4</w:t>
      </w:r>
      <w:r w:rsidR="00AC2B32" w:rsidRPr="009F784F">
        <w:rPr>
          <w:rFonts w:cs="Times New Roman"/>
          <w:sz w:val="24"/>
          <w:szCs w:val="28"/>
        </w:rPr>
        <w:t>·</w:t>
      </w:r>
      <w:r w:rsidRPr="009F784F">
        <w:rPr>
          <w:rFonts w:cs="Times New Roman"/>
          <w:sz w:val="24"/>
          <w:szCs w:val="28"/>
        </w:rPr>
        <w:t>2</w:t>
      </w:r>
      <w:r w:rsidR="00AC2B32" w:rsidRPr="009F784F">
        <w:rPr>
          <w:rFonts w:cs="Times New Roman"/>
          <w:sz w:val="24"/>
          <w:szCs w:val="28"/>
        </w:rPr>
        <w:t>·</w:t>
      </w:r>
      <w:r w:rsidRPr="009F784F">
        <w:rPr>
          <w:rFonts w:cs="Times New Roman"/>
          <w:sz w:val="24"/>
          <w:szCs w:val="28"/>
        </w:rPr>
        <w:t xml:space="preserve">0), allowing for the calculation of the </w:t>
      </w:r>
      <w:r w:rsidR="00AC2B32" w:rsidRPr="009F784F">
        <w:rPr>
          <w:rFonts w:cs="Times New Roman"/>
          <w:sz w:val="24"/>
          <w:szCs w:val="28"/>
        </w:rPr>
        <w:t>GM/WM</w:t>
      </w:r>
      <w:r w:rsidRPr="009F784F">
        <w:rPr>
          <w:rFonts w:cs="Times New Roman"/>
          <w:sz w:val="24"/>
          <w:szCs w:val="28"/>
        </w:rPr>
        <w:t xml:space="preserve"> volume ratio </w:t>
      </w:r>
      <w:r w:rsidRPr="009F784F">
        <w:rPr>
          <w:rFonts w:cs="Times New Roman"/>
          <w:sz w:val="24"/>
          <w:szCs w:val="28"/>
        </w:rPr>
        <w:fldChar w:fldCharType="begin">
          <w:fldData xml:space="preserve">PEVuZE5vdGU+PENpdGU+PEF1dGhvcj5ZZTwvQXV0aG9yPjxZZWFyPjIwMjM8L1llYXI+PFJlY051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</w:fldData>
        </w:fldChar>
      </w:r>
      <w:r w:rsidR="00D614B1" w:rsidRPr="009F784F">
        <w:rPr>
          <w:rFonts w:cs="Times New Roman"/>
          <w:sz w:val="24"/>
          <w:szCs w:val="28"/>
        </w:rPr>
        <w:instrText xml:space="preserve"> ADDIN EN.CITE </w:instrText>
      </w:r>
      <w:r w:rsidR="00D614B1" w:rsidRPr="009F784F">
        <w:rPr>
          <w:rFonts w:cs="Times New Roman"/>
          <w:sz w:val="24"/>
          <w:szCs w:val="28"/>
        </w:rPr>
        <w:fldChar w:fldCharType="begin">
          <w:fldData xml:space="preserve">PEVuZE5vdGU+PENpdGU+PEF1dGhvcj5ZZTwvQXV0aG9yPjxZZWFyPjIwMjM8L1llYXI+PFJlY051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</w:fldData>
        </w:fldChar>
      </w:r>
      <w:r w:rsidR="00D614B1" w:rsidRPr="009F784F">
        <w:rPr>
          <w:rFonts w:cs="Times New Roman"/>
          <w:sz w:val="24"/>
          <w:szCs w:val="28"/>
        </w:rPr>
        <w:instrText xml:space="preserve"> ADDIN EN.CITE.DATA </w:instrText>
      </w:r>
      <w:r w:rsidR="00D614B1" w:rsidRPr="009F784F">
        <w:rPr>
          <w:rFonts w:cs="Times New Roman"/>
          <w:sz w:val="24"/>
          <w:szCs w:val="28"/>
        </w:rPr>
      </w:r>
      <w:r w:rsidR="00D614B1"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614B1" w:rsidRPr="009F784F">
        <w:rPr>
          <w:rFonts w:cs="Times New Roman"/>
          <w:noProof/>
          <w:sz w:val="24"/>
          <w:szCs w:val="28"/>
          <w:vertAlign w:val="superscript"/>
        </w:rPr>
        <w:t>17</w:t>
      </w:r>
      <w:r w:rsidRPr="009F784F">
        <w:rPr>
          <w:rFonts w:cs="Times New Roman"/>
          <w:sz w:val="24"/>
          <w:szCs w:val="28"/>
        </w:rPr>
        <w:fldChar w:fldCharType="end"/>
      </w:r>
      <w:r w:rsidRPr="009F784F">
        <w:rPr>
          <w:rFonts w:cs="Times New Roman"/>
          <w:sz w:val="24"/>
          <w:szCs w:val="28"/>
        </w:rPr>
        <w:t>. Microstructural parameters, including axial diffusivity (AD), fractional anisotropy (FA), apparent diffusion coefficient (ADC), and radial diffusivity (RD), were quantified across these ROIs. Additionally, each ROI was further subdivided into dorsal, lateral, and ventral compartments to enable detailed regional analysis of AD, FA, ADC, and RD. DTI images were processed using MRtrix3 software to generate FA maps, which were used for structural visualization across all treatment and control groups. All MRI acquisition and post</w:t>
      </w:r>
      <w:r w:rsidR="00D3137A" w:rsidRPr="009F784F">
        <w:rPr>
          <w:rFonts w:cs="Times New Roman"/>
          <w:sz w:val="24"/>
          <w:szCs w:val="28"/>
        </w:rPr>
        <w:t>–</w:t>
      </w:r>
      <w:r w:rsidRPr="009F784F">
        <w:rPr>
          <w:rFonts w:cs="Times New Roman"/>
          <w:sz w:val="24"/>
          <w:szCs w:val="28"/>
        </w:rPr>
        <w:t>processing analyses were performed in a blinded manner, with sample identities masked until completion of the data analysis.</w:t>
      </w:r>
    </w:p>
    <w:p w14:paraId="5C423C66" w14:textId="39569657" w:rsidR="00AC2B32" w:rsidRPr="009F784F" w:rsidRDefault="00AC2B32" w:rsidP="00641B58">
      <w:pPr>
        <w:pStyle w:val="Style2"/>
        <w:spacing w:line="480" w:lineRule="auto"/>
        <w:rPr>
          <w:sz w:val="24"/>
          <w:szCs w:val="24"/>
        </w:rPr>
      </w:pPr>
      <w:bookmarkStart w:id="27" w:name="_Toc217294927"/>
      <w:r w:rsidRPr="009F784F">
        <w:rPr>
          <w:sz w:val="24"/>
          <w:szCs w:val="24"/>
        </w:rPr>
        <w:lastRenderedPageBreak/>
        <w:t>Image acquisition and analysis for OL fate mapping</w:t>
      </w:r>
      <w:bookmarkEnd w:id="27"/>
    </w:p>
    <w:p w14:paraId="13FABABE" w14:textId="5FC08947" w:rsidR="005A0799" w:rsidRDefault="009C561D" w:rsidP="00641B58">
      <w:pPr>
        <w:spacing w:line="480" w:lineRule="auto"/>
        <w:rPr>
          <w:rFonts w:cs="Times New Roman"/>
          <w:sz w:val="24"/>
          <w:szCs w:val="28"/>
        </w:rPr>
      </w:pPr>
      <w:r w:rsidRPr="009C561D">
        <w:rPr>
          <w:rFonts w:cs="Times New Roman"/>
          <w:sz w:val="24"/>
          <w:szCs w:val="28"/>
        </w:rPr>
        <w:t>Lumbosacral spinal cords were collected from PLP-Cre transgenic mice treated with TH analog</w:t>
      </w:r>
      <w:r w:rsidR="005A0799">
        <w:rPr>
          <w:rFonts w:cs="Times New Roman"/>
          <w:sz w:val="24"/>
          <w:szCs w:val="28"/>
        </w:rPr>
        <w:t>ou</w:t>
      </w:r>
      <w:r w:rsidRPr="009C561D">
        <w:rPr>
          <w:rFonts w:cs="Times New Roman"/>
          <w:sz w:val="24"/>
          <w:szCs w:val="28"/>
        </w:rPr>
        <w:t xml:space="preserve">s, </w:t>
      </w:r>
      <w:r w:rsidR="005A0799">
        <w:rPr>
          <w:rFonts w:cs="Times New Roman"/>
          <w:sz w:val="24"/>
          <w:szCs w:val="28"/>
        </w:rPr>
        <w:t xml:space="preserve">or </w:t>
      </w:r>
      <w:r w:rsidRPr="009C561D">
        <w:rPr>
          <w:rFonts w:cs="Times New Roman"/>
          <w:sz w:val="24"/>
          <w:szCs w:val="28"/>
        </w:rPr>
        <w:t>corn oil (vehicle)</w:t>
      </w:r>
      <w:r w:rsidR="005A0799">
        <w:rPr>
          <w:rFonts w:cs="Times New Roman"/>
          <w:sz w:val="24"/>
          <w:szCs w:val="28"/>
        </w:rPr>
        <w:t xml:space="preserve"> </w:t>
      </w:r>
      <w:r w:rsidRPr="009C561D">
        <w:rPr>
          <w:rFonts w:cs="Times New Roman"/>
          <w:sz w:val="24"/>
          <w:szCs w:val="28"/>
        </w:rPr>
        <w:t xml:space="preserve">as described in the section Ex vivo mouse spinal cord, optic nerve, and brain tissue processing. Tissues were used for immunofluorescence staining and OL fate mapping. For each experimental condition, three OCT-embedded cryosections (10 µm thick) were collected at 70 µm intervals. Sections were stained with Hoechst (Life Technologies, </w:t>
      </w:r>
      <w:r w:rsidR="002D3D97">
        <w:rPr>
          <w:rFonts w:cs="Times New Roman"/>
          <w:sz w:val="24"/>
          <w:szCs w:val="28"/>
        </w:rPr>
        <w:t>#</w:t>
      </w:r>
      <w:r w:rsidRPr="009C561D">
        <w:rPr>
          <w:rFonts w:cs="Times New Roman"/>
          <w:sz w:val="24"/>
          <w:szCs w:val="28"/>
        </w:rPr>
        <w:t>V35118; 1:500) and incubated with primary antibodies including</w:t>
      </w:r>
      <w:r w:rsidR="005A0799" w:rsidRPr="005A0799">
        <w:t xml:space="preserve"> </w:t>
      </w:r>
      <w:r w:rsidRPr="009C561D">
        <w:rPr>
          <w:rFonts w:cs="Times New Roman"/>
          <w:sz w:val="24"/>
          <w:szCs w:val="28"/>
        </w:rPr>
        <w:t>anti-GFP biotin</w:t>
      </w:r>
      <w:r w:rsidR="002D3D97" w:rsidRPr="002D3D97">
        <w:t xml:space="preserve"> </w:t>
      </w:r>
      <w:r w:rsidR="002D3D97" w:rsidRPr="002D3D97">
        <w:rPr>
          <w:rFonts w:cs="Times New Roman"/>
          <w:sz w:val="24"/>
          <w:szCs w:val="28"/>
        </w:rPr>
        <w:t>goat</w:t>
      </w:r>
      <w:r w:rsidRPr="009C561D">
        <w:rPr>
          <w:rFonts w:cs="Times New Roman"/>
          <w:sz w:val="24"/>
          <w:szCs w:val="28"/>
        </w:rPr>
        <w:t xml:space="preserve"> polyclonal antibody</w:t>
      </w:r>
      <w:r w:rsidR="005A0799">
        <w:rPr>
          <w:rFonts w:cs="Times New Roman"/>
          <w:sz w:val="24"/>
          <w:szCs w:val="28"/>
        </w:rPr>
        <w:t xml:space="preserve"> (</w:t>
      </w:r>
      <w:r w:rsidRPr="009C561D">
        <w:rPr>
          <w:rFonts w:cs="Times New Roman"/>
          <w:sz w:val="24"/>
          <w:szCs w:val="28"/>
        </w:rPr>
        <w:t>Abcam,</w:t>
      </w:r>
      <w:r w:rsidR="002D3D97">
        <w:rPr>
          <w:rFonts w:cs="Times New Roman"/>
          <w:sz w:val="24"/>
          <w:szCs w:val="28"/>
        </w:rPr>
        <w:t xml:space="preserve"> #</w:t>
      </w:r>
      <w:r w:rsidRPr="009C561D">
        <w:rPr>
          <w:rFonts w:cs="Times New Roman"/>
          <w:sz w:val="24"/>
          <w:szCs w:val="28"/>
        </w:rPr>
        <w:t>AB6658; 1:100), MYRF</w:t>
      </w:r>
      <w:r w:rsidR="002D3D97" w:rsidRPr="002D3D97">
        <w:t xml:space="preserve"> </w:t>
      </w:r>
      <w:r w:rsidR="002D3D97" w:rsidRPr="002D3D97">
        <w:rPr>
          <w:rFonts w:cs="Times New Roman"/>
          <w:sz w:val="24"/>
          <w:szCs w:val="28"/>
        </w:rPr>
        <w:t>rabbit</w:t>
      </w:r>
      <w:r w:rsidRPr="009C561D">
        <w:rPr>
          <w:rFonts w:cs="Times New Roman"/>
          <w:sz w:val="24"/>
          <w:szCs w:val="28"/>
        </w:rPr>
        <w:t xml:space="preserve"> polyclonal antibody </w:t>
      </w:r>
      <w:r w:rsidR="005A0799">
        <w:rPr>
          <w:rFonts w:cs="Times New Roman"/>
          <w:sz w:val="24"/>
          <w:szCs w:val="28"/>
        </w:rPr>
        <w:t>(</w:t>
      </w:r>
      <w:r w:rsidRPr="009C561D">
        <w:rPr>
          <w:rFonts w:cs="Times New Roman"/>
          <w:sz w:val="24"/>
          <w:szCs w:val="28"/>
        </w:rPr>
        <w:t xml:space="preserve"> </w:t>
      </w:r>
      <w:proofErr w:type="spellStart"/>
      <w:r w:rsidRPr="009C561D">
        <w:rPr>
          <w:rFonts w:cs="Times New Roman"/>
          <w:sz w:val="24"/>
          <w:szCs w:val="28"/>
        </w:rPr>
        <w:t>Bioss</w:t>
      </w:r>
      <w:proofErr w:type="spellEnd"/>
      <w:r w:rsidRPr="009C561D">
        <w:rPr>
          <w:rFonts w:cs="Times New Roman"/>
          <w:sz w:val="24"/>
          <w:szCs w:val="28"/>
        </w:rPr>
        <w:t xml:space="preserve">, </w:t>
      </w:r>
      <w:r w:rsidR="002D3D97">
        <w:rPr>
          <w:rFonts w:cs="Times New Roman"/>
          <w:sz w:val="24"/>
          <w:szCs w:val="28"/>
        </w:rPr>
        <w:t>#</w:t>
      </w:r>
      <w:r w:rsidRPr="009C561D">
        <w:rPr>
          <w:rFonts w:cs="Times New Roman"/>
          <w:sz w:val="24"/>
          <w:szCs w:val="28"/>
        </w:rPr>
        <w:t>C11orf9; 1:100), and B-CAS1 (NaBC1, clone F-4)</w:t>
      </w:r>
      <w:r w:rsidR="005A0799" w:rsidRPr="005A0799">
        <w:t xml:space="preserve"> </w:t>
      </w:r>
      <w:r w:rsidR="005A0799" w:rsidRPr="005A0799">
        <w:rPr>
          <w:rFonts w:cs="Times New Roman"/>
          <w:sz w:val="24"/>
          <w:szCs w:val="28"/>
        </w:rPr>
        <w:t>mouse</w:t>
      </w:r>
      <w:r w:rsidRPr="009C561D">
        <w:rPr>
          <w:rFonts w:cs="Times New Roman"/>
          <w:sz w:val="24"/>
          <w:szCs w:val="28"/>
        </w:rPr>
        <w:t xml:space="preserve"> monoclonal antibody (Santa Cruz Biotechnology, </w:t>
      </w:r>
      <w:r w:rsidR="002D3D97">
        <w:rPr>
          <w:rFonts w:cs="Times New Roman"/>
          <w:sz w:val="24"/>
          <w:szCs w:val="28"/>
        </w:rPr>
        <w:t>#</w:t>
      </w:r>
      <w:r w:rsidRPr="009C561D">
        <w:rPr>
          <w:rFonts w:cs="Times New Roman"/>
          <w:sz w:val="24"/>
          <w:szCs w:val="28"/>
        </w:rPr>
        <w:t xml:space="preserve">sc-3937430; 1:100), followed by appropriate secondary antibodies: streptavidin–Alexa Fluor™ 488 (Invitrogen, </w:t>
      </w:r>
      <w:r w:rsidR="002D3D97">
        <w:rPr>
          <w:rFonts w:cs="Times New Roman"/>
          <w:sz w:val="24"/>
          <w:szCs w:val="28"/>
        </w:rPr>
        <w:t>#</w:t>
      </w:r>
      <w:r w:rsidRPr="009C561D">
        <w:rPr>
          <w:rFonts w:cs="Times New Roman"/>
          <w:sz w:val="24"/>
          <w:szCs w:val="28"/>
        </w:rPr>
        <w:t xml:space="preserve">S32354; 1:200), donkey anti-rabbit IgG (L+H) Alexa Fluor™ 555 (Invitrogen, </w:t>
      </w:r>
      <w:r w:rsidR="002D3D97">
        <w:rPr>
          <w:rFonts w:cs="Times New Roman"/>
          <w:sz w:val="24"/>
          <w:szCs w:val="28"/>
        </w:rPr>
        <w:t>#</w:t>
      </w:r>
      <w:r w:rsidRPr="009C561D">
        <w:rPr>
          <w:rFonts w:cs="Times New Roman"/>
          <w:sz w:val="24"/>
          <w:szCs w:val="28"/>
        </w:rPr>
        <w:t xml:space="preserve">A32794; 1:200), and donkey anti-mouse IgG (L+H) Alexa Fluor™ 647 (Invitrogen, </w:t>
      </w:r>
      <w:r w:rsidR="002D3D97">
        <w:rPr>
          <w:rFonts w:cs="Times New Roman"/>
          <w:sz w:val="24"/>
          <w:szCs w:val="28"/>
        </w:rPr>
        <w:t>#</w:t>
      </w:r>
      <w:r w:rsidRPr="009C561D">
        <w:rPr>
          <w:rFonts w:cs="Times New Roman"/>
          <w:sz w:val="24"/>
          <w:szCs w:val="28"/>
        </w:rPr>
        <w:t>A31571; 1:200).</w:t>
      </w:r>
      <w:r w:rsidR="002D3D97">
        <w:rPr>
          <w:rFonts w:cs="Times New Roman"/>
          <w:sz w:val="24"/>
          <w:szCs w:val="28"/>
        </w:rPr>
        <w:t xml:space="preserve">  </w:t>
      </w:r>
    </w:p>
    <w:p w14:paraId="39E36855" w14:textId="3C43E6D1" w:rsidR="00AC2B32" w:rsidRPr="009F784F" w:rsidRDefault="00AC2B32" w:rsidP="00641B58">
      <w:pPr>
        <w:spacing w:line="480" w:lineRule="auto"/>
        <w:rPr>
          <w:rFonts w:cs="Times New Roman"/>
          <w:sz w:val="24"/>
          <w:szCs w:val="28"/>
        </w:rPr>
      </w:pPr>
      <w:r w:rsidRPr="009F784F">
        <w:rPr>
          <w:rFonts w:cs="Times New Roman"/>
          <w:sz w:val="24"/>
          <w:szCs w:val="28"/>
        </w:rPr>
        <w:t xml:space="preserve">All images were captured using a Leica Thunder Imager equipped with a Plan Apo 20x/0·75 IMM </w:t>
      </w:r>
      <w:proofErr w:type="spellStart"/>
      <w:r w:rsidRPr="009F784F">
        <w:rPr>
          <w:rFonts w:cs="Times New Roman"/>
          <w:sz w:val="24"/>
          <w:szCs w:val="28"/>
        </w:rPr>
        <w:t>Corr</w:t>
      </w:r>
      <w:proofErr w:type="spellEnd"/>
      <w:r w:rsidRPr="009F784F">
        <w:rPr>
          <w:rFonts w:cs="Times New Roman"/>
          <w:sz w:val="24"/>
          <w:szCs w:val="28"/>
        </w:rPr>
        <w:t xml:space="preserve"> objective on the </w:t>
      </w:r>
      <w:proofErr w:type="spellStart"/>
      <w:r w:rsidRPr="009F784F">
        <w:rPr>
          <w:rFonts w:cs="Times New Roman"/>
          <w:sz w:val="24"/>
          <w:szCs w:val="28"/>
        </w:rPr>
        <w:t>Glyc</w:t>
      </w:r>
      <w:proofErr w:type="spellEnd"/>
      <w:r w:rsidRPr="009F784F">
        <w:rPr>
          <w:rFonts w:cs="Times New Roman"/>
          <w:sz w:val="24"/>
          <w:szCs w:val="28"/>
        </w:rPr>
        <w:t xml:space="preserve"> setting, and a K5s CMOS camera. Image acquisition and initial processing were performed using Leica software, while quantitative image processing and analysis were conducted using Nikon NIS Elements Analysis software (version 5</w:t>
      </w:r>
      <w:bookmarkStart w:id="28" w:name="_Hlk212739663"/>
      <w:r w:rsidRPr="009F784F">
        <w:rPr>
          <w:rFonts w:cs="Times New Roman"/>
          <w:sz w:val="24"/>
          <w:szCs w:val="28"/>
        </w:rPr>
        <w:t>·</w:t>
      </w:r>
      <w:bookmarkEnd w:id="28"/>
      <w:r w:rsidRPr="009F784F">
        <w:rPr>
          <w:rFonts w:cs="Times New Roman"/>
          <w:sz w:val="24"/>
          <w:szCs w:val="28"/>
        </w:rPr>
        <w:t>5).  A ROI was manually drawn to encompass the white matter in the lumbosacral region of the spinal cord from all treated groups in PLP–YFP transgenic mice. We quantified three cell populations: GFP</w:t>
      </w:r>
      <w:r w:rsidRPr="009F784F">
        <w:rPr>
          <w:rFonts w:cs="Times New Roman"/>
          <w:sz w:val="24"/>
          <w:szCs w:val="28"/>
          <w:vertAlign w:val="superscript"/>
        </w:rPr>
        <w:t xml:space="preserve">+ </w:t>
      </w:r>
      <w:r w:rsidRPr="009F784F">
        <w:rPr>
          <w:rFonts w:cs="Times New Roman"/>
          <w:sz w:val="24"/>
          <w:szCs w:val="28"/>
        </w:rPr>
        <w:t>(488 nm) MYRF</w:t>
      </w:r>
      <w:r w:rsidRPr="009F784F">
        <w:rPr>
          <w:rFonts w:cs="Times New Roman"/>
          <w:sz w:val="24"/>
          <w:szCs w:val="28"/>
          <w:vertAlign w:val="superscript"/>
        </w:rPr>
        <w:t>+</w:t>
      </w:r>
      <w:r w:rsidRPr="009F784F">
        <w:rPr>
          <w:rFonts w:cs="Times New Roman"/>
          <w:sz w:val="24"/>
          <w:szCs w:val="28"/>
        </w:rPr>
        <w:t xml:space="preserve"> </w:t>
      </w:r>
      <w:bookmarkStart w:id="29" w:name="_Hlk210314014"/>
      <w:r w:rsidRPr="009F784F">
        <w:rPr>
          <w:rFonts w:cs="Times New Roman"/>
          <w:sz w:val="24"/>
          <w:szCs w:val="28"/>
        </w:rPr>
        <w:t xml:space="preserve">(555nm) </w:t>
      </w:r>
      <w:bookmarkEnd w:id="29"/>
      <w:r w:rsidRPr="009F784F">
        <w:rPr>
          <w:rFonts w:cs="Times New Roman"/>
          <w:sz w:val="24"/>
          <w:szCs w:val="28"/>
        </w:rPr>
        <w:t>OLs; GFP</w:t>
      </w:r>
      <w:r w:rsidRPr="009F784F">
        <w:rPr>
          <w:rFonts w:cs="Times New Roman"/>
          <w:sz w:val="24"/>
          <w:szCs w:val="28"/>
          <w:vertAlign w:val="superscript"/>
        </w:rPr>
        <w:t xml:space="preserve">+ </w:t>
      </w:r>
      <w:r w:rsidRPr="009F784F">
        <w:rPr>
          <w:rFonts w:cs="Times New Roman"/>
          <w:sz w:val="24"/>
          <w:szCs w:val="28"/>
        </w:rPr>
        <w:t xml:space="preserve">(488 nm) </w:t>
      </w:r>
      <w:r w:rsidR="00B7129A" w:rsidRPr="009F784F">
        <w:rPr>
          <w:rFonts w:cs="Times New Roman"/>
          <w:sz w:val="24"/>
          <w:szCs w:val="28"/>
        </w:rPr>
        <w:t>OLs</w:t>
      </w:r>
      <w:r w:rsidR="00B7129A" w:rsidRPr="009F784F" w:rsidDel="00F8727A">
        <w:rPr>
          <w:rFonts w:cs="Times New Roman"/>
          <w:sz w:val="24"/>
          <w:szCs w:val="28"/>
        </w:rPr>
        <w:t>,</w:t>
      </w:r>
      <w:r w:rsidRPr="009F784F">
        <w:rPr>
          <w:rFonts w:cs="Times New Roman"/>
          <w:sz w:val="24"/>
          <w:szCs w:val="28"/>
        </w:rPr>
        <w:t xml:space="preserve"> or</w:t>
      </w:r>
      <w:r w:rsidRPr="009F784F" w:rsidDel="00717266">
        <w:rPr>
          <w:rFonts w:cs="Times New Roman"/>
          <w:sz w:val="24"/>
          <w:szCs w:val="28"/>
        </w:rPr>
        <w:t xml:space="preserve"> </w:t>
      </w:r>
      <w:r w:rsidRPr="009F784F">
        <w:rPr>
          <w:rFonts w:cs="Times New Roman"/>
          <w:sz w:val="24"/>
          <w:szCs w:val="28"/>
        </w:rPr>
        <w:t>MYRF</w:t>
      </w:r>
      <w:r w:rsidRPr="009F784F">
        <w:rPr>
          <w:rFonts w:cs="Times New Roman"/>
          <w:sz w:val="24"/>
          <w:szCs w:val="28"/>
          <w:vertAlign w:val="superscript"/>
        </w:rPr>
        <w:t>+</w:t>
      </w:r>
      <w:r w:rsidRPr="009F784F">
        <w:rPr>
          <w:rFonts w:cs="Times New Roman"/>
          <w:sz w:val="24"/>
          <w:szCs w:val="28"/>
        </w:rPr>
        <w:t xml:space="preserve"> (555nm) BCAS1</w:t>
      </w:r>
      <w:r w:rsidRPr="009F784F">
        <w:rPr>
          <w:rFonts w:cs="Times New Roman"/>
          <w:sz w:val="24"/>
          <w:szCs w:val="28"/>
          <w:vertAlign w:val="superscript"/>
        </w:rPr>
        <w:t>+</w:t>
      </w:r>
      <w:r w:rsidRPr="009F784F">
        <w:rPr>
          <w:rFonts w:cs="Times New Roman"/>
          <w:sz w:val="24"/>
          <w:szCs w:val="28"/>
        </w:rPr>
        <w:t xml:space="preserve"> (647 nm) OLs. The fluorescent channels (including DAPI (405 nm)) were segmented by thresholding to generate binary images for cell counting.  Please refer to </w:t>
      </w:r>
      <w:r w:rsidR="00A26444" w:rsidRPr="009F784F">
        <w:rPr>
          <w:rFonts w:cs="Times New Roman"/>
          <w:sz w:val="24"/>
          <w:szCs w:val="28"/>
        </w:rPr>
        <w:t>s</w:t>
      </w:r>
      <w:r w:rsidRPr="009F784F">
        <w:rPr>
          <w:rFonts w:cs="Times New Roman"/>
          <w:sz w:val="24"/>
          <w:szCs w:val="28"/>
        </w:rPr>
        <w:t xml:space="preserve">upplementary </w:t>
      </w:r>
      <w:r w:rsidR="00A26444" w:rsidRPr="009F784F">
        <w:rPr>
          <w:rFonts w:cs="Times New Roman"/>
          <w:sz w:val="24"/>
          <w:szCs w:val="28"/>
        </w:rPr>
        <w:t>f</w:t>
      </w:r>
      <w:r w:rsidRPr="009F784F">
        <w:rPr>
          <w:rFonts w:cs="Times New Roman"/>
          <w:sz w:val="24"/>
          <w:szCs w:val="28"/>
        </w:rPr>
        <w:t>igure 1</w:t>
      </w:r>
      <w:r w:rsidR="00B522B2">
        <w:rPr>
          <w:rFonts w:cs="Times New Roman"/>
          <w:sz w:val="24"/>
          <w:szCs w:val="28"/>
        </w:rPr>
        <w:t>1</w:t>
      </w:r>
      <w:r w:rsidRPr="009F784F">
        <w:rPr>
          <w:rFonts w:cs="Times New Roman"/>
          <w:sz w:val="24"/>
          <w:szCs w:val="28"/>
        </w:rPr>
        <w:t xml:space="preserve"> for a visual outline of the image analysis pipeline.</w:t>
      </w:r>
    </w:p>
    <w:p w14:paraId="3CA6E884" w14:textId="77777777" w:rsidR="006E388D" w:rsidRPr="009F784F" w:rsidRDefault="006E388D" w:rsidP="00641B58">
      <w:pPr>
        <w:pStyle w:val="Style2"/>
        <w:spacing w:line="480" w:lineRule="auto"/>
        <w:rPr>
          <w:sz w:val="24"/>
          <w:szCs w:val="24"/>
        </w:rPr>
      </w:pPr>
      <w:bookmarkStart w:id="30" w:name="_Toc217294928"/>
      <w:r w:rsidRPr="009F784F">
        <w:rPr>
          <w:sz w:val="24"/>
          <w:szCs w:val="24"/>
        </w:rPr>
        <w:lastRenderedPageBreak/>
        <w:t xml:space="preserve">Single molecule array (SIMOA) and detection of </w:t>
      </w:r>
      <w:proofErr w:type="spellStart"/>
      <w:r w:rsidRPr="009F784F">
        <w:rPr>
          <w:sz w:val="24"/>
          <w:szCs w:val="24"/>
        </w:rPr>
        <w:t>NfL</w:t>
      </w:r>
      <w:bookmarkEnd w:id="30"/>
      <w:proofErr w:type="spellEnd"/>
    </w:p>
    <w:p w14:paraId="6A32DEDA" w14:textId="5CA32F90" w:rsidR="006E388D" w:rsidRPr="009F784F" w:rsidRDefault="006E388D" w:rsidP="00641B58">
      <w:pPr>
        <w:spacing w:line="480" w:lineRule="auto"/>
        <w:rPr>
          <w:rFonts w:cs="Times New Roman"/>
          <w:sz w:val="24"/>
          <w:szCs w:val="28"/>
        </w:rPr>
      </w:pPr>
      <w:r w:rsidRPr="009F784F">
        <w:rPr>
          <w:rFonts w:cs="Times New Roman"/>
          <w:sz w:val="24"/>
          <w:szCs w:val="28"/>
        </w:rPr>
        <w:t>Neurofilament light chain (</w:t>
      </w:r>
      <w:proofErr w:type="spellStart"/>
      <w:r w:rsidRPr="009F784F">
        <w:rPr>
          <w:rFonts w:cs="Times New Roman"/>
          <w:sz w:val="24"/>
          <w:szCs w:val="28"/>
        </w:rPr>
        <w:t>NfL</w:t>
      </w:r>
      <w:proofErr w:type="spellEnd"/>
      <w:r w:rsidRPr="009F784F">
        <w:rPr>
          <w:rFonts w:cs="Times New Roman"/>
          <w:sz w:val="24"/>
          <w:szCs w:val="28"/>
        </w:rPr>
        <w:t>) levels in the serum of mice were assessed using SIMOA HD</w:t>
      </w:r>
      <w:r w:rsidR="00D3137A" w:rsidRPr="009F784F">
        <w:rPr>
          <w:rFonts w:cs="Times New Roman"/>
          <w:sz w:val="24"/>
          <w:szCs w:val="28"/>
        </w:rPr>
        <w:t>–</w:t>
      </w:r>
      <w:r w:rsidRPr="009F784F">
        <w:rPr>
          <w:rFonts w:cs="Times New Roman"/>
          <w:sz w:val="24"/>
          <w:szCs w:val="28"/>
        </w:rPr>
        <w:t xml:space="preserve">X </w:t>
      </w:r>
      <w:proofErr w:type="spellStart"/>
      <w:r w:rsidRPr="009F784F">
        <w:rPr>
          <w:rFonts w:cs="Times New Roman"/>
          <w:sz w:val="24"/>
          <w:szCs w:val="28"/>
        </w:rPr>
        <w:t>Analyzer</w:t>
      </w:r>
      <w:r w:rsidRPr="009F784F">
        <w:rPr>
          <w:rFonts w:cs="Times New Roman"/>
          <w:sz w:val="24"/>
          <w:szCs w:val="28"/>
          <w:vertAlign w:val="superscript"/>
        </w:rPr>
        <w:t>TM</w:t>
      </w:r>
      <w:proofErr w:type="spellEnd"/>
      <w:r w:rsidRPr="009F784F">
        <w:rPr>
          <w:rFonts w:cs="Times New Roman"/>
          <w:sz w:val="24"/>
          <w:szCs w:val="28"/>
        </w:rPr>
        <w:t xml:space="preserve"> (</w:t>
      </w:r>
      <w:proofErr w:type="spellStart"/>
      <w:r w:rsidRPr="009F784F">
        <w:rPr>
          <w:rFonts w:cs="Times New Roman"/>
          <w:sz w:val="24"/>
          <w:szCs w:val="28"/>
        </w:rPr>
        <w:t>Quanterix</w:t>
      </w:r>
      <w:proofErr w:type="spellEnd"/>
      <w:r w:rsidRPr="009F784F">
        <w:rPr>
          <w:rFonts w:cs="Times New Roman"/>
          <w:sz w:val="24"/>
          <w:szCs w:val="28"/>
        </w:rPr>
        <w:t xml:space="preserve">, Billerica, MA, USA). The blood samples were collected by </w:t>
      </w:r>
      <w:proofErr w:type="spellStart"/>
      <w:r w:rsidRPr="009F784F">
        <w:rPr>
          <w:rFonts w:cs="Times New Roman"/>
          <w:sz w:val="24"/>
          <w:szCs w:val="28"/>
        </w:rPr>
        <w:t>transcardial</w:t>
      </w:r>
      <w:proofErr w:type="spellEnd"/>
      <w:r w:rsidRPr="009F784F">
        <w:rPr>
          <w:rFonts w:cs="Times New Roman"/>
          <w:sz w:val="24"/>
          <w:szCs w:val="28"/>
        </w:rPr>
        <w:t xml:space="preserve"> collection from all experimental mouse groups at the experimental endpoint (day 30 and when </w:t>
      </w:r>
      <w:r w:rsidRPr="009F784F">
        <w:rPr>
          <w:rFonts w:eastAsia="Times New Roman" w:cs="Times New Roman"/>
          <w:sz w:val="24"/>
          <w:szCs w:val="28"/>
          <w:lang w:eastAsia="en-AU"/>
        </w:rPr>
        <w:t>mice reached score 3)</w:t>
      </w:r>
      <w:r w:rsidRPr="009F784F">
        <w:rPr>
          <w:rFonts w:cs="Times New Roman"/>
          <w:sz w:val="24"/>
          <w:szCs w:val="28"/>
        </w:rPr>
        <w:t xml:space="preserve">, and whole blood transferred to a gel serum separator tube. Samples were centrifuged at 1000 x g for 10 min and the resulting serum was collected and </w:t>
      </w:r>
      <w:r w:rsidRPr="009F784F">
        <w:rPr>
          <w:rFonts w:eastAsia="Times New Roman" w:cs="Times New Roman"/>
          <w:sz w:val="24"/>
          <w:szCs w:val="28"/>
          <w:lang w:eastAsia="en-AU"/>
        </w:rPr>
        <w:t xml:space="preserve">stored at </w:t>
      </w:r>
      <w:r w:rsidR="00D3137A" w:rsidRPr="009F784F">
        <w:rPr>
          <w:rFonts w:eastAsia="Times New Roman" w:cs="Times New Roman"/>
          <w:sz w:val="24"/>
          <w:szCs w:val="28"/>
          <w:lang w:eastAsia="en-AU"/>
        </w:rPr>
        <w:t>–</w:t>
      </w:r>
      <w:r w:rsidRPr="009F784F">
        <w:rPr>
          <w:rFonts w:eastAsia="Times New Roman" w:cs="Times New Roman"/>
          <w:sz w:val="24"/>
          <w:szCs w:val="28"/>
          <w:lang w:eastAsia="en-AU"/>
        </w:rPr>
        <w:t>20°C</w:t>
      </w:r>
      <w:r w:rsidRPr="009F784F">
        <w:rPr>
          <w:rFonts w:cs="Times New Roman"/>
          <w:sz w:val="24"/>
          <w:szCs w:val="28"/>
        </w:rPr>
        <w:t xml:space="preserve"> </w:t>
      </w:r>
      <w:r w:rsidRPr="009F784F">
        <w:rPr>
          <w:rFonts w:eastAsia="Times New Roman" w:cs="Times New Roman"/>
          <w:sz w:val="24"/>
          <w:szCs w:val="28"/>
          <w:lang w:eastAsia="en-AU"/>
        </w:rPr>
        <w:t xml:space="preserve">for the analysis of </w:t>
      </w:r>
      <w:proofErr w:type="spellStart"/>
      <w:r w:rsidRPr="009F784F">
        <w:rPr>
          <w:rFonts w:eastAsia="Times New Roman" w:cs="Times New Roman"/>
          <w:sz w:val="24"/>
          <w:szCs w:val="28"/>
          <w:lang w:eastAsia="en-AU"/>
        </w:rPr>
        <w:t>NfL</w:t>
      </w:r>
      <w:proofErr w:type="spellEnd"/>
      <w:r w:rsidRPr="009F784F">
        <w:rPr>
          <w:rFonts w:eastAsia="Times New Roman" w:cs="Times New Roman"/>
          <w:sz w:val="24"/>
          <w:szCs w:val="28"/>
          <w:lang w:eastAsia="en-AU"/>
        </w:rPr>
        <w:t xml:space="preserve"> level.</w:t>
      </w:r>
      <w:r w:rsidRPr="009F784F">
        <w:rPr>
          <w:rFonts w:cs="Times New Roman"/>
          <w:sz w:val="24"/>
          <w:szCs w:val="28"/>
        </w:rPr>
        <w:t xml:space="preserve"> 42 </w:t>
      </w:r>
      <w:proofErr w:type="spellStart"/>
      <w:r w:rsidRPr="009F784F">
        <w:rPr>
          <w:rFonts w:cs="Times New Roman"/>
          <w:sz w:val="24"/>
          <w:szCs w:val="28"/>
        </w:rPr>
        <w:t>μL</w:t>
      </w:r>
      <w:proofErr w:type="spellEnd"/>
      <w:r w:rsidRPr="009F784F">
        <w:rPr>
          <w:rFonts w:cs="Times New Roman"/>
          <w:sz w:val="24"/>
          <w:szCs w:val="28"/>
        </w:rPr>
        <w:t xml:space="preserve"> of serum from each sample was used to perform immunoassays in duplicate using the </w:t>
      </w:r>
      <w:proofErr w:type="spellStart"/>
      <w:r w:rsidRPr="009F784F">
        <w:rPr>
          <w:rFonts w:cs="Times New Roman"/>
          <w:sz w:val="24"/>
          <w:szCs w:val="28"/>
        </w:rPr>
        <w:t>Simoa</w:t>
      </w:r>
      <w:proofErr w:type="spellEnd"/>
      <w:r w:rsidRPr="009F784F">
        <w:rPr>
          <w:rFonts w:cs="Times New Roman"/>
          <w:sz w:val="24"/>
          <w:szCs w:val="28"/>
        </w:rPr>
        <w:t>® NF</w:t>
      </w:r>
      <w:r w:rsidR="00D3137A" w:rsidRPr="009F784F">
        <w:rPr>
          <w:rFonts w:cs="Times New Roman"/>
          <w:sz w:val="24"/>
          <w:szCs w:val="28"/>
        </w:rPr>
        <w:t>–</w:t>
      </w:r>
      <w:proofErr w:type="spellStart"/>
      <w:r w:rsidRPr="009F784F">
        <w:rPr>
          <w:rFonts w:cs="Times New Roman"/>
          <w:sz w:val="24"/>
          <w:szCs w:val="28"/>
        </w:rPr>
        <w:t>light</w:t>
      </w:r>
      <w:r w:rsidRPr="009F784F">
        <w:rPr>
          <w:rFonts w:cs="Times New Roman"/>
          <w:sz w:val="24"/>
          <w:szCs w:val="28"/>
          <w:vertAlign w:val="superscript"/>
        </w:rPr>
        <w:t>TM</w:t>
      </w:r>
      <w:proofErr w:type="spellEnd"/>
      <w:r w:rsidRPr="009F784F">
        <w:rPr>
          <w:rFonts w:cs="Times New Roman"/>
          <w:sz w:val="24"/>
          <w:szCs w:val="28"/>
          <w:vertAlign w:val="superscript"/>
        </w:rPr>
        <w:t xml:space="preserve"> </w:t>
      </w:r>
      <w:r w:rsidRPr="009F784F">
        <w:rPr>
          <w:rFonts w:cs="Times New Roman"/>
          <w:sz w:val="24"/>
          <w:szCs w:val="28"/>
        </w:rPr>
        <w:t>Advantage Kits (</w:t>
      </w:r>
      <w:proofErr w:type="spellStart"/>
      <w:r w:rsidRPr="009F784F">
        <w:rPr>
          <w:rFonts w:cs="Times New Roman"/>
          <w:sz w:val="24"/>
          <w:szCs w:val="28"/>
        </w:rPr>
        <w:t>Quanterix</w:t>
      </w:r>
      <w:proofErr w:type="spellEnd"/>
      <w:r w:rsidR="00D3137A" w:rsidRPr="009F784F">
        <w:rPr>
          <w:rFonts w:cs="Times New Roman"/>
          <w:sz w:val="24"/>
          <w:szCs w:val="28"/>
        </w:rPr>
        <w:t>–</w:t>
      </w:r>
      <w:r w:rsidRPr="009F784F">
        <w:rPr>
          <w:rFonts w:cs="Times New Roman"/>
          <w:sz w:val="24"/>
          <w:szCs w:val="28"/>
        </w:rPr>
        <w:t xml:space="preserve">104073) as per the manufacturer’s instructions, with the exception that samples were run using an </w:t>
      </w:r>
      <w:r w:rsidR="009C0592" w:rsidRPr="009F784F">
        <w:rPr>
          <w:rFonts w:cs="Times New Roman"/>
          <w:sz w:val="24"/>
          <w:szCs w:val="28"/>
        </w:rPr>
        <w:t>eight–times</w:t>
      </w:r>
      <w:r w:rsidRPr="009F784F">
        <w:rPr>
          <w:rFonts w:cs="Times New Roman"/>
          <w:sz w:val="24"/>
          <w:szCs w:val="28"/>
        </w:rPr>
        <w:t xml:space="preserve"> benchtop dilution rather than a </w:t>
      </w:r>
      <w:r w:rsidR="009C0592" w:rsidRPr="009F784F">
        <w:rPr>
          <w:rFonts w:cs="Times New Roman"/>
          <w:sz w:val="24"/>
          <w:szCs w:val="28"/>
        </w:rPr>
        <w:t>four–times</w:t>
      </w:r>
      <w:r w:rsidRPr="009F784F">
        <w:rPr>
          <w:rFonts w:cs="Times New Roman"/>
          <w:sz w:val="24"/>
          <w:szCs w:val="28"/>
        </w:rPr>
        <w:t xml:space="preserve"> machine dilution. Experimenters conducted the immunoassays under a blinded condition. All measured </w:t>
      </w:r>
      <w:proofErr w:type="spellStart"/>
      <w:r w:rsidRPr="009F784F">
        <w:rPr>
          <w:rFonts w:cs="Times New Roman"/>
          <w:sz w:val="24"/>
          <w:szCs w:val="28"/>
        </w:rPr>
        <w:t>NfL</w:t>
      </w:r>
      <w:proofErr w:type="spellEnd"/>
      <w:r w:rsidRPr="009F784F">
        <w:rPr>
          <w:rFonts w:cs="Times New Roman"/>
          <w:sz w:val="24"/>
          <w:szCs w:val="28"/>
        </w:rPr>
        <w:t xml:space="preserve"> concentrations exceeded the analytical lower limit of quantification (LLOQ) of 0</w:t>
      </w:r>
      <w:r w:rsidR="00B7129A" w:rsidRPr="009F784F">
        <w:rPr>
          <w:rFonts w:cs="Times New Roman"/>
          <w:sz w:val="24"/>
          <w:szCs w:val="28"/>
        </w:rPr>
        <w:t>·</w:t>
      </w:r>
      <w:r w:rsidRPr="009F784F">
        <w:rPr>
          <w:rFonts w:cs="Times New Roman"/>
          <w:sz w:val="24"/>
          <w:szCs w:val="28"/>
        </w:rPr>
        <w:t xml:space="preserve">64 </w:t>
      </w:r>
      <w:proofErr w:type="spellStart"/>
      <w:r w:rsidRPr="009F784F">
        <w:rPr>
          <w:rFonts w:cs="Times New Roman"/>
          <w:sz w:val="24"/>
          <w:szCs w:val="28"/>
        </w:rPr>
        <w:t>pg</w:t>
      </w:r>
      <w:proofErr w:type="spellEnd"/>
      <w:r w:rsidRPr="009F784F">
        <w:rPr>
          <w:rFonts w:cs="Times New Roman"/>
          <w:sz w:val="24"/>
          <w:szCs w:val="28"/>
        </w:rPr>
        <w:t>/mL in the diluted samples. The assay’s limit of detection (LOD) was 0</w:t>
      </w:r>
      <w:r w:rsidR="00B7129A" w:rsidRPr="009F784F">
        <w:rPr>
          <w:rFonts w:cs="Times New Roman"/>
          <w:sz w:val="24"/>
          <w:szCs w:val="28"/>
        </w:rPr>
        <w:t>·</w:t>
      </w:r>
      <w:r w:rsidRPr="009F784F">
        <w:rPr>
          <w:rFonts w:cs="Times New Roman"/>
          <w:sz w:val="24"/>
          <w:szCs w:val="28"/>
        </w:rPr>
        <w:t xml:space="preserve">141 </w:t>
      </w:r>
      <w:proofErr w:type="spellStart"/>
      <w:r w:rsidRPr="009F784F">
        <w:rPr>
          <w:rFonts w:cs="Times New Roman"/>
          <w:sz w:val="24"/>
          <w:szCs w:val="28"/>
        </w:rPr>
        <w:t>pg</w:t>
      </w:r>
      <w:proofErr w:type="spellEnd"/>
      <w:r w:rsidRPr="009F784F">
        <w:rPr>
          <w:rFonts w:cs="Times New Roman"/>
          <w:sz w:val="24"/>
          <w:szCs w:val="28"/>
        </w:rPr>
        <w:t>/</w:t>
      </w:r>
      <w:proofErr w:type="spellStart"/>
      <w:r w:rsidRPr="009F784F">
        <w:rPr>
          <w:rFonts w:cs="Times New Roman"/>
          <w:sz w:val="24"/>
          <w:szCs w:val="28"/>
        </w:rPr>
        <w:t>mL.</w:t>
      </w:r>
      <w:proofErr w:type="spellEnd"/>
      <w:r w:rsidRPr="009F784F">
        <w:rPr>
          <w:rFonts w:cs="Times New Roman"/>
          <w:sz w:val="24"/>
          <w:szCs w:val="28"/>
        </w:rPr>
        <w:t xml:space="preserve"> </w:t>
      </w:r>
    </w:p>
    <w:p w14:paraId="5B5D94EF" w14:textId="77777777" w:rsidR="00CB6234" w:rsidRPr="009F784F" w:rsidRDefault="006E388D" w:rsidP="00641B58">
      <w:pPr>
        <w:pStyle w:val="Style2"/>
        <w:spacing w:line="480" w:lineRule="auto"/>
        <w:rPr>
          <w:bCs/>
          <w:iCs/>
          <w:sz w:val="24"/>
          <w:szCs w:val="24"/>
        </w:rPr>
      </w:pPr>
      <w:bookmarkStart w:id="31" w:name="_Toc217294929"/>
      <w:r w:rsidRPr="009F784F">
        <w:rPr>
          <w:sz w:val="24"/>
          <w:szCs w:val="24"/>
        </w:rPr>
        <w:t>Transmission electron microscopy (TEM)</w:t>
      </w:r>
      <w:r w:rsidR="00CB6234" w:rsidRPr="009F784F">
        <w:rPr>
          <w:sz w:val="24"/>
          <w:szCs w:val="24"/>
        </w:rPr>
        <w:t xml:space="preserve"> for </w:t>
      </w:r>
      <w:r w:rsidR="00CB6234" w:rsidRPr="009F784F">
        <w:rPr>
          <w:bCs/>
          <w:iCs/>
          <w:sz w:val="24"/>
          <w:szCs w:val="24"/>
        </w:rPr>
        <w:t>Optic nerve</w:t>
      </w:r>
      <w:bookmarkEnd w:id="31"/>
    </w:p>
    <w:p w14:paraId="2F1B068E" w14:textId="23151F09" w:rsidR="006E388D" w:rsidRPr="009F784F" w:rsidRDefault="006E388D" w:rsidP="00641B58">
      <w:pPr>
        <w:spacing w:line="480" w:lineRule="auto"/>
        <w:rPr>
          <w:rFonts w:cs="Times New Roman"/>
          <w:sz w:val="24"/>
          <w:szCs w:val="28"/>
        </w:rPr>
      </w:pPr>
      <w:r w:rsidRPr="009F784F">
        <w:rPr>
          <w:rFonts w:cs="Times New Roman"/>
          <w:sz w:val="24"/>
          <w:szCs w:val="28"/>
        </w:rPr>
        <w:t xml:space="preserve">The prepared optic nerves as described above were sent to the Monash University </w:t>
      </w:r>
      <w:proofErr w:type="spellStart"/>
      <w:r w:rsidRPr="009F784F">
        <w:rPr>
          <w:rFonts w:cs="Times New Roman"/>
          <w:sz w:val="24"/>
          <w:szCs w:val="28"/>
        </w:rPr>
        <w:t>Ramaciotti</w:t>
      </w:r>
      <w:proofErr w:type="spellEnd"/>
      <w:r w:rsidRPr="009F784F">
        <w:rPr>
          <w:rFonts w:cs="Times New Roman"/>
          <w:sz w:val="24"/>
          <w:szCs w:val="28"/>
        </w:rPr>
        <w:t xml:space="preserve"> Centre for </w:t>
      </w:r>
      <w:proofErr w:type="spellStart"/>
      <w:r w:rsidRPr="009F784F">
        <w:rPr>
          <w:rFonts w:cs="Times New Roman"/>
          <w:sz w:val="24"/>
          <w:szCs w:val="28"/>
        </w:rPr>
        <w:t>Cryo</w:t>
      </w:r>
      <w:proofErr w:type="spellEnd"/>
      <w:r w:rsidR="00D3137A" w:rsidRPr="009F784F">
        <w:rPr>
          <w:rFonts w:cs="Times New Roman"/>
          <w:sz w:val="24"/>
          <w:szCs w:val="28"/>
        </w:rPr>
        <w:t>–</w:t>
      </w:r>
      <w:r w:rsidRPr="009F784F">
        <w:rPr>
          <w:rFonts w:cs="Times New Roman"/>
          <w:sz w:val="24"/>
          <w:szCs w:val="28"/>
        </w:rPr>
        <w:t>Electron Microscopy. Samples were contrasted using 1% osmium tetroxide/0</w:t>
      </w:r>
      <w:r w:rsidR="003C7D1D" w:rsidRPr="009F784F">
        <w:rPr>
          <w:rFonts w:cs="Times New Roman"/>
          <w:sz w:val="24"/>
          <w:szCs w:val="28"/>
        </w:rPr>
        <w:t>·</w:t>
      </w:r>
      <w:r w:rsidRPr="009F784F">
        <w:rPr>
          <w:rFonts w:cs="Times New Roman"/>
          <w:sz w:val="24"/>
          <w:szCs w:val="28"/>
        </w:rPr>
        <w:t>2 M sodium cacodylate buffer for 2 h at RT, washed in 0</w:t>
      </w:r>
      <w:r w:rsidR="003C7D1D" w:rsidRPr="009F784F">
        <w:rPr>
          <w:rFonts w:cs="Times New Roman"/>
          <w:sz w:val="24"/>
          <w:szCs w:val="28"/>
        </w:rPr>
        <w:t>·</w:t>
      </w:r>
      <w:r w:rsidRPr="009F784F">
        <w:rPr>
          <w:rFonts w:cs="Times New Roman"/>
          <w:sz w:val="24"/>
          <w:szCs w:val="28"/>
        </w:rPr>
        <w:t>1 M sodium cacodylate Buffer, dehydrated in a sequential ethanol gradient from 70</w:t>
      </w:r>
      <w:r w:rsidR="00D3137A" w:rsidRPr="009F784F">
        <w:rPr>
          <w:rFonts w:cs="Times New Roman"/>
          <w:sz w:val="24"/>
          <w:szCs w:val="28"/>
        </w:rPr>
        <w:t>–</w:t>
      </w:r>
      <w:r w:rsidRPr="009F784F">
        <w:rPr>
          <w:rFonts w:cs="Times New Roman"/>
          <w:sz w:val="24"/>
          <w:szCs w:val="28"/>
        </w:rPr>
        <w:t xml:space="preserve">100% and transversely mounted in </w:t>
      </w:r>
      <w:proofErr w:type="spellStart"/>
      <w:r w:rsidRPr="009F784F">
        <w:rPr>
          <w:rFonts w:cs="Times New Roman"/>
          <w:sz w:val="24"/>
          <w:szCs w:val="28"/>
        </w:rPr>
        <w:t>Epon</w:t>
      </w:r>
      <w:proofErr w:type="spellEnd"/>
      <w:r w:rsidRPr="009F784F">
        <w:rPr>
          <w:rFonts w:cs="Times New Roman"/>
          <w:sz w:val="24"/>
          <w:szCs w:val="28"/>
        </w:rPr>
        <w:t>. Semi</w:t>
      </w:r>
      <w:r w:rsidR="00D3137A" w:rsidRPr="009F784F">
        <w:rPr>
          <w:rFonts w:cs="Times New Roman"/>
          <w:sz w:val="24"/>
          <w:szCs w:val="28"/>
        </w:rPr>
        <w:t>–</w:t>
      </w:r>
      <w:r w:rsidRPr="009F784F">
        <w:rPr>
          <w:rFonts w:cs="Times New Roman"/>
          <w:sz w:val="24"/>
          <w:szCs w:val="28"/>
        </w:rPr>
        <w:t>thin cross sections (0</w:t>
      </w:r>
      <w:r w:rsidR="003C7D1D" w:rsidRPr="009F784F">
        <w:rPr>
          <w:rFonts w:cs="Times New Roman"/>
          <w:sz w:val="24"/>
          <w:szCs w:val="28"/>
        </w:rPr>
        <w:t>·</w:t>
      </w:r>
      <w:r w:rsidRPr="009F784F">
        <w:rPr>
          <w:rFonts w:cs="Times New Roman"/>
          <w:sz w:val="24"/>
          <w:szCs w:val="28"/>
        </w:rPr>
        <w:t xml:space="preserve">9 </w:t>
      </w:r>
      <w:r w:rsidR="00556A50">
        <w:rPr>
          <w:rFonts w:cs="Times New Roman"/>
          <w:sz w:val="24"/>
          <w:szCs w:val="28"/>
        </w:rPr>
        <w:t>µ</w:t>
      </w:r>
      <w:r w:rsidRPr="009F784F">
        <w:rPr>
          <w:rFonts w:cs="Times New Roman"/>
          <w:sz w:val="24"/>
          <w:szCs w:val="28"/>
        </w:rPr>
        <w:t>m) were prepared and stained with toluidine</w:t>
      </w:r>
      <w:r w:rsidR="00D3137A" w:rsidRPr="009F784F">
        <w:rPr>
          <w:rFonts w:cs="Times New Roman"/>
          <w:sz w:val="24"/>
          <w:szCs w:val="28"/>
        </w:rPr>
        <w:t>–</w:t>
      </w:r>
      <w:r w:rsidRPr="009F784F">
        <w:rPr>
          <w:rFonts w:cs="Times New Roman"/>
          <w:sz w:val="24"/>
          <w:szCs w:val="28"/>
        </w:rPr>
        <w:t>blue for qualitative analysis using an Olympus BX51 microscope attached to a 100x oil immersion objective. Ultra</w:t>
      </w:r>
      <w:r w:rsidR="00D3137A" w:rsidRPr="009F784F">
        <w:rPr>
          <w:rFonts w:cs="Times New Roman"/>
          <w:sz w:val="24"/>
          <w:szCs w:val="28"/>
        </w:rPr>
        <w:t>–</w:t>
      </w:r>
      <w:r w:rsidRPr="009F784F">
        <w:rPr>
          <w:rFonts w:cs="Times New Roman"/>
          <w:sz w:val="24"/>
          <w:szCs w:val="28"/>
        </w:rPr>
        <w:t xml:space="preserve">thin sections (80 nm) were cut and stained with 1% aqueous uranyl acetate for analysis using a JEOL 1400 Plus 120 keV transmission electron microscope for optic nerve ultrastructure visualization and quantification. </w:t>
      </w:r>
      <w:proofErr w:type="spellStart"/>
      <w:r w:rsidRPr="009F784F">
        <w:rPr>
          <w:rFonts w:cs="Times New Roman"/>
          <w:sz w:val="24"/>
          <w:szCs w:val="28"/>
        </w:rPr>
        <w:t>AxonDeepSeg</w:t>
      </w:r>
      <w:proofErr w:type="spellEnd"/>
      <w:r w:rsidRPr="009F784F">
        <w:rPr>
          <w:rFonts w:cs="Times New Roman"/>
          <w:sz w:val="24"/>
          <w:szCs w:val="28"/>
        </w:rPr>
        <w:t xml:space="preserve"> deep learning segmentation software was used to quantify axon and myelin measurements for use in statistical analyses. A minimum of </w:t>
      </w:r>
      <w:r w:rsidR="003C7D1D" w:rsidRPr="009F784F">
        <w:rPr>
          <w:rFonts w:cs="Times New Roman"/>
          <w:sz w:val="24"/>
          <w:szCs w:val="28"/>
        </w:rPr>
        <w:t>six</w:t>
      </w:r>
      <w:r w:rsidRPr="009F784F">
        <w:rPr>
          <w:rFonts w:cs="Times New Roman"/>
          <w:sz w:val="24"/>
          <w:szCs w:val="28"/>
        </w:rPr>
        <w:t xml:space="preserve"> TEM images from </w:t>
      </w:r>
      <w:r w:rsidR="003C7D1D" w:rsidRPr="009F784F">
        <w:rPr>
          <w:rFonts w:cs="Times New Roman"/>
          <w:sz w:val="24"/>
          <w:szCs w:val="28"/>
        </w:rPr>
        <w:t>six</w:t>
      </w:r>
      <w:r w:rsidRPr="009F784F">
        <w:rPr>
          <w:rFonts w:cs="Times New Roman"/>
          <w:sz w:val="24"/>
          <w:szCs w:val="28"/>
        </w:rPr>
        <w:t xml:space="preserve"> different mice were quantified using </w:t>
      </w:r>
      <w:proofErr w:type="spellStart"/>
      <w:r w:rsidRPr="009F784F">
        <w:rPr>
          <w:rFonts w:cs="Times New Roman"/>
          <w:sz w:val="24"/>
          <w:szCs w:val="28"/>
        </w:rPr>
        <w:t>AxonDeepSeg</w:t>
      </w:r>
      <w:proofErr w:type="spellEnd"/>
      <w:r w:rsidRPr="009F784F">
        <w:rPr>
          <w:rFonts w:cs="Times New Roman"/>
          <w:sz w:val="24"/>
          <w:szCs w:val="28"/>
        </w:rPr>
        <w:t xml:space="preserve">, </w:t>
      </w:r>
      <w:bookmarkStart w:id="32" w:name="_Hlk212739969"/>
      <w:r w:rsidRPr="009F784F">
        <w:rPr>
          <w:rFonts w:cs="Times New Roman"/>
          <w:sz w:val="24"/>
          <w:szCs w:val="28"/>
        </w:rPr>
        <w:lastRenderedPageBreak/>
        <w:t>whereby 1</w:t>
      </w:r>
      <w:r w:rsidR="003C7D1D" w:rsidRPr="009F784F">
        <w:rPr>
          <w:rFonts w:cs="Times New Roman"/>
          <w:sz w:val="24"/>
          <w:szCs w:val="28"/>
        </w:rPr>
        <w:t>·</w:t>
      </w:r>
      <w:r w:rsidRPr="009F784F">
        <w:rPr>
          <w:rFonts w:cs="Times New Roman"/>
          <w:sz w:val="24"/>
          <w:szCs w:val="28"/>
        </w:rPr>
        <w:t xml:space="preserve">3 </w:t>
      </w:r>
      <w:bookmarkEnd w:id="32"/>
      <w:r w:rsidRPr="009F784F">
        <w:rPr>
          <w:rFonts w:cs="Times New Roman"/>
          <w:sz w:val="24"/>
          <w:szCs w:val="28"/>
        </w:rPr>
        <w:t>x 10</w:t>
      </w:r>
      <w:r w:rsidRPr="009F784F">
        <w:rPr>
          <w:rFonts w:cs="Times New Roman"/>
          <w:sz w:val="24"/>
          <w:szCs w:val="28"/>
          <w:vertAlign w:val="superscript"/>
        </w:rPr>
        <w:t>4</w:t>
      </w:r>
      <w:r w:rsidRPr="009F784F">
        <w:rPr>
          <w:rFonts w:cs="Times New Roman"/>
          <w:sz w:val="24"/>
          <w:szCs w:val="28"/>
        </w:rPr>
        <w:t xml:space="preserve"> – 5</w:t>
      </w:r>
      <w:r w:rsidR="003C7D1D" w:rsidRPr="009F784F">
        <w:rPr>
          <w:rFonts w:cs="Times New Roman"/>
          <w:sz w:val="24"/>
          <w:szCs w:val="28"/>
        </w:rPr>
        <w:t>·</w:t>
      </w:r>
      <w:r w:rsidRPr="009F784F">
        <w:rPr>
          <w:rFonts w:cs="Times New Roman"/>
          <w:sz w:val="24"/>
          <w:szCs w:val="28"/>
        </w:rPr>
        <w:t>3 x 10</w:t>
      </w:r>
      <w:r w:rsidRPr="009F784F">
        <w:rPr>
          <w:rFonts w:cs="Times New Roman"/>
          <w:sz w:val="24"/>
          <w:szCs w:val="28"/>
          <w:vertAlign w:val="superscript"/>
        </w:rPr>
        <w:t xml:space="preserve">4 </w:t>
      </w:r>
      <w:r w:rsidRPr="009F784F">
        <w:rPr>
          <w:rFonts w:cs="Times New Roman"/>
          <w:sz w:val="24"/>
          <w:szCs w:val="28"/>
        </w:rPr>
        <w:t>axons were counted and presented as G</w:t>
      </w:r>
      <w:bookmarkStart w:id="33" w:name="_Hlk212739979"/>
      <w:r w:rsidR="00D3137A" w:rsidRPr="009F784F">
        <w:rPr>
          <w:rFonts w:cs="Times New Roman"/>
          <w:sz w:val="24"/>
          <w:szCs w:val="28"/>
        </w:rPr>
        <w:t>–</w:t>
      </w:r>
      <w:bookmarkEnd w:id="33"/>
      <w:r w:rsidRPr="009F784F">
        <w:rPr>
          <w:rFonts w:cs="Times New Roman"/>
          <w:sz w:val="24"/>
          <w:szCs w:val="28"/>
        </w:rPr>
        <w:t>ratio vs. Axon diameter, G</w:t>
      </w:r>
      <w:r w:rsidR="00D3137A" w:rsidRPr="009F784F">
        <w:rPr>
          <w:rFonts w:cs="Times New Roman"/>
          <w:sz w:val="24"/>
          <w:szCs w:val="28"/>
        </w:rPr>
        <w:t>–</w:t>
      </w:r>
      <w:r w:rsidRPr="009F784F">
        <w:rPr>
          <w:rFonts w:cs="Times New Roman"/>
          <w:sz w:val="24"/>
          <w:szCs w:val="28"/>
        </w:rPr>
        <w:t>ratio, myelin thickness, myelin axon diameter distribution frequency. Re</w:t>
      </w:r>
      <w:r w:rsidR="00D3137A" w:rsidRPr="009F784F">
        <w:rPr>
          <w:rFonts w:cs="Times New Roman"/>
          <w:sz w:val="24"/>
          <w:szCs w:val="28"/>
        </w:rPr>
        <w:t>–</w:t>
      </w:r>
      <w:r w:rsidRPr="009F784F">
        <w:rPr>
          <w:rFonts w:cs="Times New Roman"/>
          <w:sz w:val="24"/>
          <w:szCs w:val="28"/>
        </w:rPr>
        <w:t>myelination, demyelination and percentage myelination were qualified using TEM images.</w:t>
      </w:r>
    </w:p>
    <w:p w14:paraId="41D54155" w14:textId="10BC1AF8" w:rsidR="009F0910" w:rsidRPr="009F784F" w:rsidRDefault="009F0910" w:rsidP="00CD1F6B">
      <w:pPr>
        <w:pStyle w:val="Style11"/>
      </w:pPr>
      <w:bookmarkStart w:id="34" w:name="_Toc217294930"/>
      <w:r w:rsidRPr="009F784F">
        <w:t>Results</w:t>
      </w:r>
      <w:bookmarkEnd w:id="34"/>
    </w:p>
    <w:p w14:paraId="14F10FBE" w14:textId="6B7DADCF" w:rsidR="009F0910" w:rsidRPr="009F784F" w:rsidRDefault="009F0910" w:rsidP="00641B58">
      <w:pPr>
        <w:pStyle w:val="Style2"/>
        <w:spacing w:line="480" w:lineRule="auto"/>
        <w:rPr>
          <w:sz w:val="24"/>
          <w:szCs w:val="24"/>
        </w:rPr>
      </w:pPr>
      <w:bookmarkStart w:id="35" w:name="_Toc217294931"/>
      <w:bookmarkStart w:id="36" w:name="_Hlk212659184"/>
      <w:r w:rsidRPr="009F784F">
        <w:rPr>
          <w:sz w:val="24"/>
          <w:szCs w:val="24"/>
        </w:rPr>
        <w:t xml:space="preserve">Recovery of dysfunctional TH signaling in </w:t>
      </w:r>
      <w:proofErr w:type="spellStart"/>
      <w:r w:rsidRPr="009F784F">
        <w:rPr>
          <w:sz w:val="24"/>
          <w:szCs w:val="24"/>
        </w:rPr>
        <w:t>hESC</w:t>
      </w:r>
      <w:proofErr w:type="spellEnd"/>
      <w:r w:rsidR="00D3137A" w:rsidRPr="009F784F">
        <w:rPr>
          <w:sz w:val="24"/>
          <w:szCs w:val="24"/>
        </w:rPr>
        <w:t>–</w:t>
      </w:r>
      <w:r w:rsidRPr="009F784F">
        <w:rPr>
          <w:sz w:val="24"/>
          <w:szCs w:val="24"/>
        </w:rPr>
        <w:t xml:space="preserve">derived </w:t>
      </w:r>
      <w:proofErr w:type="spellStart"/>
      <w:r w:rsidRPr="009F784F">
        <w:rPr>
          <w:sz w:val="24"/>
          <w:szCs w:val="24"/>
        </w:rPr>
        <w:t>oligodendroglial</w:t>
      </w:r>
      <w:proofErr w:type="spellEnd"/>
      <w:r w:rsidRPr="009F784F">
        <w:rPr>
          <w:sz w:val="24"/>
          <w:szCs w:val="24"/>
        </w:rPr>
        <w:t xml:space="preserve"> lineage cells following DITPA administration and demonstration of integrin </w:t>
      </w:r>
      <w:r w:rsidR="00A91985">
        <w:rPr>
          <w:sz w:val="24"/>
          <w:szCs w:val="24"/>
        </w:rPr>
        <w:t>αVβ</w:t>
      </w:r>
      <w:r w:rsidR="00FC0735">
        <w:rPr>
          <w:sz w:val="24"/>
          <w:szCs w:val="24"/>
        </w:rPr>
        <w:t xml:space="preserve">3 </w:t>
      </w:r>
      <w:r w:rsidR="00FC0735" w:rsidRPr="009F784F">
        <w:rPr>
          <w:sz w:val="24"/>
          <w:szCs w:val="24"/>
        </w:rPr>
        <w:t>receptor</w:t>
      </w:r>
      <w:r w:rsidRPr="009F784F">
        <w:rPr>
          <w:sz w:val="24"/>
          <w:szCs w:val="24"/>
        </w:rPr>
        <w:t xml:space="preserve"> activation</w:t>
      </w:r>
      <w:bookmarkEnd w:id="35"/>
      <w:r w:rsidRPr="009F784F">
        <w:rPr>
          <w:sz w:val="24"/>
          <w:szCs w:val="24"/>
        </w:rPr>
        <w:t xml:space="preserve"> </w:t>
      </w:r>
    </w:p>
    <w:bookmarkEnd w:id="36"/>
    <w:p w14:paraId="7EF5AF91" w14:textId="4825DCD0" w:rsidR="009F0910" w:rsidRPr="009F784F" w:rsidRDefault="009F0910" w:rsidP="00641B58">
      <w:pPr>
        <w:spacing w:line="480" w:lineRule="auto"/>
        <w:rPr>
          <w:rFonts w:cs="Times New Roman"/>
          <w:sz w:val="24"/>
          <w:szCs w:val="28"/>
          <w:lang w:val="en-US"/>
        </w:rPr>
      </w:pPr>
      <w:r w:rsidRPr="009F784F">
        <w:rPr>
          <w:rFonts w:cs="Times New Roman"/>
          <w:sz w:val="24"/>
          <w:szCs w:val="28"/>
        </w:rPr>
        <w:t xml:space="preserve">Following the demonstration of the </w:t>
      </w:r>
      <w:bookmarkStart w:id="37" w:name="_Hlk212659971"/>
      <w:r w:rsidRPr="009F784F">
        <w:rPr>
          <w:rFonts w:cs="Times New Roman"/>
          <w:sz w:val="24"/>
          <w:szCs w:val="28"/>
        </w:rPr>
        <w:t>neuroinflammatory</w:t>
      </w:r>
      <w:r w:rsidR="00D3137A" w:rsidRPr="009F784F">
        <w:rPr>
          <w:rFonts w:cs="Times New Roman"/>
          <w:sz w:val="24"/>
          <w:szCs w:val="28"/>
        </w:rPr>
        <w:t>–</w:t>
      </w:r>
      <w:r w:rsidRPr="009F784F">
        <w:rPr>
          <w:rFonts w:cs="Times New Roman"/>
          <w:sz w:val="24"/>
          <w:szCs w:val="28"/>
        </w:rPr>
        <w:t>mediated dysregulation of the non</w:t>
      </w:r>
      <w:r w:rsidR="00D3137A" w:rsidRPr="009F784F">
        <w:rPr>
          <w:rFonts w:cs="Times New Roman"/>
          <w:sz w:val="24"/>
          <w:szCs w:val="28"/>
        </w:rPr>
        <w:t>–</w:t>
      </w:r>
      <w:r w:rsidRPr="009F784F">
        <w:rPr>
          <w:rFonts w:cs="Times New Roman"/>
          <w:sz w:val="24"/>
          <w:szCs w:val="28"/>
        </w:rPr>
        <w:t xml:space="preserve">genomic </w:t>
      </w:r>
      <w:r w:rsidR="00D42E46" w:rsidRPr="009F784F">
        <w:rPr>
          <w:rFonts w:cs="Times New Roman"/>
          <w:sz w:val="24"/>
          <w:szCs w:val="28"/>
        </w:rPr>
        <w:t>signalling</w:t>
      </w:r>
      <w:r w:rsidRPr="009F784F">
        <w:rPr>
          <w:rFonts w:cs="Times New Roman"/>
          <w:sz w:val="24"/>
          <w:szCs w:val="28"/>
        </w:rPr>
        <w:t xml:space="preserve"> pathway in an EAE murine model and in archival MS tissue</w:t>
      </w:r>
      <w:bookmarkEnd w:id="37"/>
      <w:r w:rsidRPr="009F784F">
        <w:rPr>
          <w:rFonts w:cs="Times New Roman"/>
          <w:sz w:val="24"/>
          <w:szCs w:val="28"/>
        </w:rPr>
        <w:t>, our group investigated the recovery of this TH</w:t>
      </w:r>
      <w:r w:rsidR="00D3137A" w:rsidRPr="009F784F">
        <w:rPr>
          <w:rFonts w:cs="Times New Roman"/>
          <w:sz w:val="24"/>
          <w:szCs w:val="28"/>
        </w:rPr>
        <w:t>–</w:t>
      </w:r>
      <w:r w:rsidRPr="009F784F">
        <w:rPr>
          <w:rFonts w:cs="Times New Roman"/>
          <w:sz w:val="24"/>
          <w:szCs w:val="28"/>
        </w:rPr>
        <w:t xml:space="preserve">dependent, </w:t>
      </w:r>
      <w:r w:rsidR="00D42E46" w:rsidRPr="009F784F">
        <w:rPr>
          <w:rFonts w:cs="Times New Roman"/>
          <w:sz w:val="24"/>
          <w:szCs w:val="28"/>
        </w:rPr>
        <w:t>signalling</w:t>
      </w:r>
      <w:r w:rsidRPr="009F784F">
        <w:rPr>
          <w:rFonts w:cs="Times New Roman"/>
          <w:sz w:val="24"/>
          <w:szCs w:val="28"/>
        </w:rPr>
        <w:t xml:space="preserve"> cascade in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 xml:space="preserve">knockdown </w:t>
      </w:r>
      <w:proofErr w:type="spellStart"/>
      <w:r w:rsidRPr="009F784F">
        <w:rPr>
          <w:rFonts w:cs="Times New Roman"/>
          <w:sz w:val="24"/>
          <w:szCs w:val="28"/>
        </w:rPr>
        <w:t>hESC</w:t>
      </w:r>
      <w:proofErr w:type="spellEnd"/>
      <w:r w:rsidR="00D3137A" w:rsidRPr="009F784F">
        <w:rPr>
          <w:rFonts w:cs="Times New Roman"/>
          <w:sz w:val="24"/>
          <w:szCs w:val="28"/>
        </w:rPr>
        <w:t>–</w:t>
      </w:r>
      <w:r w:rsidRPr="009F784F">
        <w:rPr>
          <w:rFonts w:cs="Times New Roman"/>
          <w:sz w:val="24"/>
          <w:szCs w:val="28"/>
        </w:rPr>
        <w:t xml:space="preserve">derived </w:t>
      </w:r>
      <w:proofErr w:type="spellStart"/>
      <w:r w:rsidRPr="009F784F">
        <w:rPr>
          <w:rFonts w:cs="Times New Roman"/>
          <w:sz w:val="24"/>
          <w:szCs w:val="28"/>
        </w:rPr>
        <w:t>oligodendroglial</w:t>
      </w:r>
      <w:proofErr w:type="spellEnd"/>
      <w:r w:rsidRPr="009F784F">
        <w:rPr>
          <w:rFonts w:cs="Times New Roman"/>
          <w:sz w:val="24"/>
          <w:szCs w:val="28"/>
        </w:rPr>
        <w:t xml:space="preserve"> lineage cells upon DITPA administration (an MCT8</w:t>
      </w:r>
      <w:r w:rsidR="00D3137A" w:rsidRPr="009F784F">
        <w:rPr>
          <w:rFonts w:cs="Times New Roman"/>
          <w:sz w:val="24"/>
          <w:szCs w:val="28"/>
        </w:rPr>
        <w:t>–</w:t>
      </w:r>
      <w:r w:rsidRPr="009F784F">
        <w:rPr>
          <w:rFonts w:cs="Times New Roman"/>
          <w:sz w:val="24"/>
          <w:szCs w:val="28"/>
        </w:rPr>
        <w:t>dependent TH</w:t>
      </w:r>
      <w:r w:rsidR="00D3137A" w:rsidRPr="009F784F">
        <w:rPr>
          <w:rFonts w:cs="Times New Roman"/>
          <w:sz w:val="24"/>
          <w:szCs w:val="28"/>
        </w:rPr>
        <w:t>–</w:t>
      </w:r>
      <w:r w:rsidRPr="009F784F">
        <w:rPr>
          <w:rFonts w:cs="Times New Roman"/>
          <w:sz w:val="24"/>
          <w:szCs w:val="28"/>
        </w:rPr>
        <w:t>analogue). HES3</w:t>
      </w:r>
      <w:bookmarkStart w:id="38" w:name="_Hlk212660104"/>
      <w:r w:rsidR="0054056A" w:rsidRPr="009F784F">
        <w:rPr>
          <w:rFonts w:cs="Times New Roman"/>
          <w:sz w:val="24"/>
          <w:szCs w:val="28"/>
        </w:rPr>
        <w:t>–</w:t>
      </w:r>
      <w:proofErr w:type="spellStart"/>
      <w:r w:rsidRPr="009F784F">
        <w:rPr>
          <w:rFonts w:cs="Times New Roman"/>
          <w:sz w:val="24"/>
          <w:szCs w:val="28"/>
        </w:rPr>
        <w:t>hESC</w:t>
      </w:r>
      <w:proofErr w:type="spellEnd"/>
      <w:r w:rsidRPr="009F784F" w:rsidDel="004004C7">
        <w:rPr>
          <w:rFonts w:cs="Times New Roman"/>
          <w:sz w:val="24"/>
          <w:szCs w:val="28"/>
        </w:rPr>
        <w:t xml:space="preserve"> </w:t>
      </w:r>
      <w:bookmarkEnd w:id="38"/>
      <w:r w:rsidRPr="009F784F">
        <w:rPr>
          <w:rFonts w:cs="Times New Roman"/>
          <w:sz w:val="24"/>
          <w:szCs w:val="28"/>
        </w:rPr>
        <w:t>derived OPCs were utilized</w:t>
      </w:r>
      <w:r w:rsidR="006C7C97" w:rsidRPr="009F784F">
        <w:rPr>
          <w:rFonts w:cs="Times New Roman"/>
          <w:sz w:val="24"/>
          <w:szCs w:val="28"/>
        </w:rPr>
        <w:t>,</w:t>
      </w:r>
      <w:r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 </w:instrText>
      </w:r>
      <w:r w:rsidR="00D3137A"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EN.CITE.DATA </w:instrText>
      </w:r>
      <w:r w:rsidR="00D3137A" w:rsidRPr="009F784F">
        <w:rPr>
          <w:rFonts w:cs="Times New Roman"/>
          <w:sz w:val="24"/>
          <w:szCs w:val="28"/>
        </w:rPr>
      </w:r>
      <w:r w:rsidR="00D3137A"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3137A" w:rsidRPr="009F784F">
        <w:rPr>
          <w:rFonts w:cs="Times New Roman"/>
          <w:noProof/>
          <w:sz w:val="24"/>
          <w:szCs w:val="28"/>
          <w:vertAlign w:val="superscript"/>
        </w:rPr>
        <w:t>1</w:t>
      </w:r>
      <w:r w:rsidRPr="009F784F">
        <w:rPr>
          <w:rFonts w:cs="Times New Roman"/>
          <w:sz w:val="24"/>
          <w:szCs w:val="28"/>
        </w:rPr>
        <w:fldChar w:fldCharType="end"/>
      </w:r>
      <w:r w:rsidR="006C7C97" w:rsidRPr="009F784F">
        <w:rPr>
          <w:rFonts w:cs="Times New Roman"/>
          <w:sz w:val="24"/>
          <w:szCs w:val="28"/>
        </w:rPr>
        <w:t xml:space="preserve"> </w:t>
      </w:r>
      <w:r w:rsidRPr="009F784F">
        <w:rPr>
          <w:rFonts w:cs="Times New Roman"/>
          <w:sz w:val="24"/>
          <w:szCs w:val="28"/>
        </w:rPr>
        <w:t xml:space="preserve">due to compensatory TH mechanisms present in murine </w:t>
      </w:r>
      <w:r w:rsidRPr="009F784F">
        <w:rPr>
          <w:rFonts w:cs="Times New Roman"/>
          <w:i/>
          <w:iCs/>
          <w:sz w:val="24"/>
          <w:szCs w:val="28"/>
        </w:rPr>
        <w:t xml:space="preserve">slc16a2 </w:t>
      </w:r>
      <w:r w:rsidRPr="009F784F">
        <w:rPr>
          <w:rFonts w:cs="Times New Roman"/>
          <w:sz w:val="24"/>
          <w:szCs w:val="28"/>
        </w:rPr>
        <w:t>mutant mice–namely due to the compensatory effects exerted by the TH transporter OATP1C1, responsible for the governance of TH</w:t>
      </w:r>
      <w:r w:rsidR="00D3137A" w:rsidRPr="009F784F">
        <w:rPr>
          <w:rFonts w:cs="Times New Roman"/>
          <w:sz w:val="24"/>
          <w:szCs w:val="28"/>
        </w:rPr>
        <w:t>–</w:t>
      </w:r>
      <w:r w:rsidRPr="009F784F">
        <w:rPr>
          <w:rFonts w:cs="Times New Roman"/>
          <w:sz w:val="24"/>
          <w:szCs w:val="28"/>
        </w:rPr>
        <w:t>dependent cellular metabolism</w:t>
      </w:r>
      <w:r w:rsidR="0054056A" w:rsidRPr="009F784F">
        <w:rPr>
          <w:rFonts w:cs="Times New Roman"/>
          <w:sz w:val="24"/>
          <w:szCs w:val="28"/>
        </w:rPr>
        <w:t>.</w:t>
      </w:r>
      <w:r w:rsidRPr="009F784F">
        <w:rPr>
          <w:rFonts w:cs="Times New Roman"/>
          <w:sz w:val="24"/>
          <w:szCs w:val="28"/>
        </w:rPr>
        <w:fldChar w:fldCharType="begin"/>
      </w:r>
      <w:r w:rsidR="00D614B1" w:rsidRPr="009F784F">
        <w:rPr>
          <w:rFonts w:cs="Times New Roman"/>
          <w:sz w:val="24"/>
          <w:szCs w:val="28"/>
        </w:rPr>
        <w:instrText xml:space="preserve"> ADDIN EN.CITE &lt;EndNote&gt;&lt;Cite&gt;&lt;Author&gt;Wasserman-Bartov&lt;/Author&gt;&lt;Year&gt;2022&lt;/Year&gt;&lt;RecNum&gt;625&lt;/RecNum&gt;&lt;DisplayText&gt;&lt;style face="superscript"&gt;18&lt;/style&gt;&lt;/DisplayText&gt;&lt;record&gt;&lt;rec-number&gt;625&lt;/rec-number&gt;&lt;foreign-keys&gt;&lt;key app="EN" db-id="05xad0tf15f9weepssy5td09frpw0wxe5vfa" timestamp="1739320593"&gt;625&lt;/key&gt;&lt;/foreign-keys&gt;&lt;ref-type name="Journal Article"&gt;17&lt;/ref-type&gt;&lt;contributors&gt;&lt;authors&gt;&lt;author&gt;Wasserman-Bartov, Talya&lt;/author&gt;&lt;author&gt;Admati, Inbal&lt;/author&gt;&lt;author&gt;Lebenthal-Loinger, Ilana&lt;/author&gt;&lt;author&gt;Sharabany, Julia&lt;/author&gt;&lt;author&gt;Lerer-Goldshtein, Tali&lt;/author&gt;&lt;author&gt;Appelbaum, Lior&lt;/author&gt;&lt;/authors&gt;&lt;/contributors&gt;&lt;titles&gt;&lt;title&gt;Tsh induces Agrp1 neuron proliferation in Oatp1c1-deficient Zebrafish&lt;/title&gt;&lt;secondary-title&gt;Journal of Neuroscience&lt;/secondary-title&gt;&lt;/titles&gt;&lt;pages&gt;8214-8224&lt;/pages&gt;&lt;volume&gt;42&lt;/volume&gt;&lt;number&gt;44&lt;/number&gt;&lt;dates&gt;&lt;year&gt;2022&lt;/year&gt;&lt;/dates&gt;&lt;isbn&gt;0270-6474&lt;/isbn&gt;&lt;urls&gt;&lt;/urls&gt;&lt;/record&gt;&lt;/Cite&gt;&lt;/EndNote&gt;</w:instrText>
      </w:r>
      <w:r w:rsidRPr="009F784F">
        <w:rPr>
          <w:rFonts w:cs="Times New Roman"/>
          <w:sz w:val="24"/>
          <w:szCs w:val="28"/>
        </w:rPr>
        <w:fldChar w:fldCharType="separate"/>
      </w:r>
      <w:r w:rsidR="00D614B1" w:rsidRPr="009F784F">
        <w:rPr>
          <w:rFonts w:cs="Times New Roman"/>
          <w:noProof/>
          <w:sz w:val="24"/>
          <w:szCs w:val="28"/>
          <w:vertAlign w:val="superscript"/>
        </w:rPr>
        <w:t>18</w:t>
      </w:r>
      <w:r w:rsidRPr="009F784F">
        <w:rPr>
          <w:rFonts w:cs="Times New Roman"/>
          <w:sz w:val="24"/>
          <w:szCs w:val="28"/>
        </w:rPr>
        <w:fldChar w:fldCharType="end"/>
      </w:r>
      <w:r w:rsidRPr="009F784F">
        <w:rPr>
          <w:rFonts w:cs="Times New Roman"/>
          <w:sz w:val="24"/>
          <w:szCs w:val="28"/>
        </w:rPr>
        <w:t xml:space="preserve"> </w:t>
      </w:r>
      <w:r w:rsidR="00D42E46">
        <w:rPr>
          <w:rFonts w:cs="Times New Roman"/>
          <w:sz w:val="24"/>
          <w:szCs w:val="28"/>
        </w:rPr>
        <w:t>We</w:t>
      </w:r>
      <w:r w:rsidRPr="009F784F">
        <w:rPr>
          <w:rFonts w:cs="Times New Roman"/>
          <w:sz w:val="24"/>
          <w:szCs w:val="28"/>
        </w:rPr>
        <w:t xml:space="preserve"> firstly demonstrate</w:t>
      </w:r>
      <w:r w:rsidR="00D42E46">
        <w:rPr>
          <w:rFonts w:cs="Times New Roman"/>
          <w:sz w:val="24"/>
          <w:szCs w:val="28"/>
        </w:rPr>
        <w:t>d</w:t>
      </w:r>
      <w:r w:rsidRPr="009F784F">
        <w:rPr>
          <w:rFonts w:cs="Times New Roman"/>
          <w:sz w:val="24"/>
          <w:szCs w:val="28"/>
        </w:rPr>
        <w:t xml:space="preserve"> the principal outcome of restoration in TH</w:t>
      </w:r>
      <w:r w:rsidR="00D3137A" w:rsidRPr="009F784F">
        <w:rPr>
          <w:rFonts w:cs="Times New Roman"/>
          <w:sz w:val="24"/>
          <w:szCs w:val="28"/>
        </w:rPr>
        <w:t>–</w:t>
      </w:r>
      <w:r w:rsidRPr="009F784F">
        <w:rPr>
          <w:rFonts w:cs="Times New Roman"/>
          <w:sz w:val="24"/>
          <w:szCs w:val="28"/>
        </w:rPr>
        <w:t xml:space="preserve">dependent </w:t>
      </w:r>
      <w:r w:rsidR="00D42E46" w:rsidRPr="009F784F">
        <w:rPr>
          <w:rFonts w:cs="Times New Roman"/>
          <w:sz w:val="24"/>
          <w:szCs w:val="28"/>
        </w:rPr>
        <w:t>signalling</w:t>
      </w:r>
      <w:r w:rsidR="0054056A" w:rsidRPr="009F784F">
        <w:rPr>
          <w:rFonts w:cs="Times New Roman"/>
          <w:sz w:val="24"/>
          <w:szCs w:val="28"/>
        </w:rPr>
        <w:t xml:space="preserve"> </w:t>
      </w:r>
      <w:r w:rsidRPr="009F784F">
        <w:rPr>
          <w:rFonts w:cs="Times New Roman"/>
          <w:sz w:val="24"/>
          <w:szCs w:val="28"/>
        </w:rPr>
        <w:t>cell survival, through performance of an apoptosis assay by annexin V and caspase</w:t>
      </w:r>
      <w:r w:rsidR="00D3137A" w:rsidRPr="009F784F">
        <w:rPr>
          <w:rFonts w:cs="Times New Roman"/>
          <w:sz w:val="24"/>
          <w:szCs w:val="28"/>
        </w:rPr>
        <w:t>–</w:t>
      </w:r>
      <w:r w:rsidRPr="009F784F">
        <w:rPr>
          <w:rFonts w:cs="Times New Roman"/>
          <w:sz w:val="24"/>
          <w:szCs w:val="28"/>
        </w:rPr>
        <w:t>3 staining of pharmacologically and genetically MCT8 knockdown OPCs, analysed by flow cytometry</w:t>
      </w:r>
      <w:r w:rsidR="0054056A" w:rsidRPr="009F784F">
        <w:rPr>
          <w:rFonts w:cs="Times New Roman"/>
          <w:sz w:val="24"/>
          <w:szCs w:val="28"/>
        </w:rPr>
        <w:t>.</w:t>
      </w:r>
      <w:r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 </w:instrText>
      </w:r>
      <w:r w:rsidR="00D3137A"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EN.CITE.DATA </w:instrText>
      </w:r>
      <w:r w:rsidR="00D3137A" w:rsidRPr="009F784F">
        <w:rPr>
          <w:rFonts w:cs="Times New Roman"/>
          <w:sz w:val="24"/>
          <w:szCs w:val="28"/>
        </w:rPr>
      </w:r>
      <w:r w:rsidR="00D3137A"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3137A" w:rsidRPr="009F784F">
        <w:rPr>
          <w:rFonts w:cs="Times New Roman"/>
          <w:noProof/>
          <w:sz w:val="24"/>
          <w:szCs w:val="28"/>
          <w:vertAlign w:val="superscript"/>
        </w:rPr>
        <w:t>1</w:t>
      </w:r>
      <w:r w:rsidRPr="009F784F">
        <w:rPr>
          <w:rFonts w:cs="Times New Roman"/>
          <w:sz w:val="24"/>
          <w:szCs w:val="28"/>
        </w:rPr>
        <w:fldChar w:fldCharType="end"/>
      </w:r>
      <w:r w:rsidRPr="009F784F">
        <w:rPr>
          <w:rFonts w:cs="Times New Roman"/>
          <w:sz w:val="24"/>
          <w:szCs w:val="28"/>
        </w:rPr>
        <w:t xml:space="preserve"> It was found that MCT8 dysregulation, upon </w:t>
      </w:r>
      <w:r w:rsidRPr="009F784F">
        <w:rPr>
          <w:rFonts w:cs="Times New Roman"/>
          <w:i/>
          <w:iCs/>
          <w:sz w:val="24"/>
          <w:szCs w:val="28"/>
        </w:rPr>
        <w:t>SLC16A2</w:t>
      </w:r>
      <w:r w:rsidRPr="009F784F">
        <w:rPr>
          <w:rFonts w:cs="Times New Roman"/>
          <w:sz w:val="24"/>
          <w:szCs w:val="28"/>
        </w:rPr>
        <w:t xml:space="preserve"> knockdown, enhanced the apoptosis of OPCs demonstrated by Annexin V</w:t>
      </w:r>
      <w:r w:rsidRPr="009F784F">
        <w:rPr>
          <w:rFonts w:cs="Times New Roman"/>
          <w:sz w:val="24"/>
          <w:szCs w:val="28"/>
          <w:vertAlign w:val="superscript"/>
        </w:rPr>
        <w:t>+</w:t>
      </w:r>
      <w:r w:rsidRPr="009F784F">
        <w:rPr>
          <w:rFonts w:cs="Times New Roman"/>
          <w:sz w:val="24"/>
          <w:szCs w:val="28"/>
        </w:rPr>
        <w:t xml:space="preserve"> flow cytometric analysis that identified the potentiation of cell death at ~ 34.3%, when compared to transduced OPCs with non</w:t>
      </w:r>
      <w:r w:rsidR="00D3137A" w:rsidRPr="009F784F">
        <w:rPr>
          <w:rFonts w:cs="Times New Roman"/>
          <w:sz w:val="24"/>
          <w:szCs w:val="28"/>
        </w:rPr>
        <w:t>–</w:t>
      </w:r>
      <w:r w:rsidRPr="009F784F">
        <w:rPr>
          <w:rFonts w:cs="Times New Roman"/>
          <w:sz w:val="24"/>
          <w:szCs w:val="28"/>
        </w:rPr>
        <w:t>targeted shRNA (9</w:t>
      </w:r>
      <w:r w:rsidR="0054056A" w:rsidRPr="009F784F">
        <w:rPr>
          <w:rFonts w:cs="Times New Roman"/>
          <w:sz w:val="24"/>
          <w:szCs w:val="28"/>
        </w:rPr>
        <w:t>·</w:t>
      </w:r>
      <w:r w:rsidRPr="009F784F">
        <w:rPr>
          <w:rFonts w:cs="Times New Roman"/>
          <w:sz w:val="24"/>
          <w:szCs w:val="28"/>
        </w:rPr>
        <w:t>8%) (</w:t>
      </w:r>
      <w:bookmarkStart w:id="39" w:name="_Hlk212822670"/>
      <w:r w:rsidR="006C7C97" w:rsidRPr="009F784F">
        <w:rPr>
          <w:rFonts w:cs="Times New Roman"/>
          <w:sz w:val="24"/>
          <w:szCs w:val="28"/>
        </w:rPr>
        <w:t>supplementary f</w:t>
      </w:r>
      <w:r w:rsidR="00E65447" w:rsidRPr="009F784F">
        <w:rPr>
          <w:rFonts w:cs="Times New Roman"/>
          <w:sz w:val="24"/>
          <w:szCs w:val="28"/>
        </w:rPr>
        <w:t>igure</w:t>
      </w:r>
      <w:r w:rsidRPr="009F784F">
        <w:rPr>
          <w:rFonts w:cs="Times New Roman"/>
          <w:sz w:val="24"/>
          <w:szCs w:val="28"/>
        </w:rPr>
        <w:t xml:space="preserve"> </w:t>
      </w:r>
      <w:r w:rsidR="006C7C97" w:rsidRPr="009F784F">
        <w:rPr>
          <w:rFonts w:cs="Times New Roman"/>
          <w:sz w:val="24"/>
          <w:szCs w:val="28"/>
        </w:rPr>
        <w:t>1</w:t>
      </w:r>
      <w:bookmarkEnd w:id="39"/>
      <w:r w:rsidRPr="009F784F">
        <w:rPr>
          <w:rFonts w:cs="Times New Roman"/>
          <w:sz w:val="24"/>
          <w:szCs w:val="28"/>
        </w:rPr>
        <w:t xml:space="preserve">A). Amelioration of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 xml:space="preserve">knockdown induced apoptosis was affected following administration of T3, DITPA or TRIAC (10 </w:t>
      </w:r>
      <w:proofErr w:type="spellStart"/>
      <w:r w:rsidRPr="009F784F">
        <w:rPr>
          <w:rFonts w:cs="Times New Roman"/>
          <w:sz w:val="24"/>
          <w:szCs w:val="28"/>
        </w:rPr>
        <w:t>nM</w:t>
      </w:r>
      <w:proofErr w:type="spellEnd"/>
      <w:r w:rsidRPr="009F784F">
        <w:rPr>
          <w:rFonts w:cs="Times New Roman"/>
          <w:sz w:val="24"/>
          <w:szCs w:val="28"/>
        </w:rPr>
        <w:t>) following 72</w:t>
      </w:r>
      <w:r w:rsidR="00D3137A" w:rsidRPr="009F784F">
        <w:rPr>
          <w:rFonts w:cs="Times New Roman"/>
          <w:sz w:val="24"/>
          <w:szCs w:val="28"/>
        </w:rPr>
        <w:t>–</w:t>
      </w:r>
      <w:r w:rsidRPr="009F784F">
        <w:rPr>
          <w:rFonts w:cs="Times New Roman"/>
          <w:sz w:val="24"/>
          <w:szCs w:val="28"/>
        </w:rPr>
        <w:t>hours post</w:t>
      </w:r>
      <w:r w:rsidR="00D3137A" w:rsidRPr="009F784F">
        <w:rPr>
          <w:rFonts w:cs="Times New Roman"/>
          <w:sz w:val="24"/>
          <w:szCs w:val="28"/>
        </w:rPr>
        <w:t>–</w:t>
      </w:r>
      <w:r w:rsidRPr="009F784F">
        <w:rPr>
          <w:rFonts w:cs="Times New Roman"/>
          <w:i/>
          <w:iCs/>
          <w:sz w:val="24"/>
          <w:szCs w:val="28"/>
        </w:rPr>
        <w:t>SLC16A2</w:t>
      </w:r>
      <w:r w:rsidRPr="009F784F">
        <w:rPr>
          <w:rFonts w:cs="Times New Roman"/>
          <w:sz w:val="24"/>
          <w:szCs w:val="28"/>
        </w:rPr>
        <w:t xml:space="preserve"> knockdown in OPCs, where a reduced annexin V</w:t>
      </w:r>
      <w:r w:rsidRPr="009F784F">
        <w:rPr>
          <w:rFonts w:cs="Times New Roman"/>
          <w:sz w:val="24"/>
          <w:szCs w:val="28"/>
          <w:vertAlign w:val="superscript"/>
        </w:rPr>
        <w:t>+</w:t>
      </w:r>
      <w:r w:rsidRPr="009F784F">
        <w:rPr>
          <w:rFonts w:cs="Times New Roman"/>
          <w:sz w:val="24"/>
          <w:szCs w:val="28"/>
        </w:rPr>
        <w:t xml:space="preserve"> profile by 24</w:t>
      </w:r>
      <w:r w:rsidR="0054056A" w:rsidRPr="009F784F">
        <w:rPr>
          <w:rFonts w:cs="Times New Roman"/>
          <w:sz w:val="24"/>
          <w:szCs w:val="28"/>
          <w:lang w:val="en-US"/>
        </w:rPr>
        <w:t>·</w:t>
      </w:r>
      <w:r w:rsidRPr="009F784F">
        <w:rPr>
          <w:rFonts w:cs="Times New Roman"/>
          <w:sz w:val="24"/>
          <w:szCs w:val="28"/>
        </w:rPr>
        <w:t>1%, 20</w:t>
      </w:r>
      <w:r w:rsidR="0054056A" w:rsidRPr="009F784F">
        <w:rPr>
          <w:rFonts w:cs="Times New Roman"/>
          <w:sz w:val="24"/>
          <w:szCs w:val="28"/>
        </w:rPr>
        <w:t>·</w:t>
      </w:r>
      <w:r w:rsidRPr="009F784F">
        <w:rPr>
          <w:rFonts w:cs="Times New Roman"/>
          <w:sz w:val="24"/>
          <w:szCs w:val="28"/>
        </w:rPr>
        <w:t>6% and 16</w:t>
      </w:r>
      <w:r w:rsidR="0054056A" w:rsidRPr="009F784F">
        <w:rPr>
          <w:rFonts w:cs="Times New Roman"/>
          <w:sz w:val="24"/>
          <w:szCs w:val="28"/>
        </w:rPr>
        <w:t>·</w:t>
      </w:r>
      <w:r w:rsidRPr="009F784F">
        <w:rPr>
          <w:rFonts w:cs="Times New Roman"/>
          <w:sz w:val="24"/>
          <w:szCs w:val="28"/>
        </w:rPr>
        <w:t>8% respectively was demonstrated (</w:t>
      </w:r>
      <w:r w:rsidR="006C7C97" w:rsidRPr="009F784F">
        <w:rPr>
          <w:rFonts w:cs="Times New Roman"/>
          <w:sz w:val="24"/>
          <w:szCs w:val="28"/>
        </w:rPr>
        <w:t>supplementary figure 1</w:t>
      </w:r>
      <w:r w:rsidRPr="009F784F">
        <w:rPr>
          <w:rFonts w:cs="Times New Roman"/>
          <w:sz w:val="24"/>
          <w:szCs w:val="28"/>
        </w:rPr>
        <w:t>A). Quantitation of Annexin V</w:t>
      </w:r>
      <w:r w:rsidRPr="009F784F">
        <w:rPr>
          <w:rFonts w:cs="Times New Roman"/>
          <w:sz w:val="24"/>
          <w:szCs w:val="28"/>
          <w:vertAlign w:val="superscript"/>
        </w:rPr>
        <w:t>+</w:t>
      </w:r>
      <w:r w:rsidRPr="009F784F">
        <w:rPr>
          <w:rFonts w:cs="Times New Roman"/>
          <w:sz w:val="24"/>
          <w:szCs w:val="28"/>
        </w:rPr>
        <w:t xml:space="preserve"> cells supported these findings, with a </w:t>
      </w:r>
      <w:r w:rsidRPr="009F784F">
        <w:rPr>
          <w:rFonts w:cs="Times New Roman"/>
          <w:sz w:val="24"/>
          <w:szCs w:val="28"/>
        </w:rPr>
        <w:lastRenderedPageBreak/>
        <w:t xml:space="preserve">significant increase in the percentage of apoptotic cells following </w:t>
      </w:r>
      <w:r w:rsidRPr="009F784F">
        <w:rPr>
          <w:rFonts w:cs="Times New Roman"/>
          <w:i/>
          <w:iCs/>
          <w:sz w:val="24"/>
          <w:szCs w:val="28"/>
        </w:rPr>
        <w:t>SLC16A2</w:t>
      </w:r>
      <w:r w:rsidRPr="009F784F">
        <w:rPr>
          <w:rFonts w:cs="Times New Roman"/>
          <w:sz w:val="24"/>
          <w:szCs w:val="28"/>
        </w:rPr>
        <w:t xml:space="preserve"> knockdown (32</w:t>
      </w:r>
      <w:r w:rsidR="0054056A" w:rsidRPr="009F784F">
        <w:rPr>
          <w:rFonts w:cs="Times New Roman"/>
          <w:sz w:val="24"/>
          <w:szCs w:val="28"/>
        </w:rPr>
        <w:t>·</w:t>
      </w:r>
      <w:r w:rsidRPr="009F784F">
        <w:rPr>
          <w:rFonts w:cs="Times New Roman"/>
          <w:sz w:val="24"/>
          <w:szCs w:val="28"/>
        </w:rPr>
        <w:t>95%) relative to non</w:t>
      </w:r>
      <w:r w:rsidR="00D3137A" w:rsidRPr="009F784F">
        <w:rPr>
          <w:rFonts w:cs="Times New Roman"/>
          <w:sz w:val="24"/>
          <w:szCs w:val="28"/>
        </w:rPr>
        <w:t>–</w:t>
      </w:r>
      <w:r w:rsidRPr="009F784F">
        <w:rPr>
          <w:rFonts w:cs="Times New Roman"/>
          <w:sz w:val="24"/>
          <w:szCs w:val="28"/>
        </w:rPr>
        <w:t>targeting</w:t>
      </w:r>
      <w:r w:rsidR="00D3137A" w:rsidRPr="009F784F">
        <w:rPr>
          <w:rFonts w:cs="Times New Roman"/>
          <w:sz w:val="24"/>
          <w:szCs w:val="28"/>
        </w:rPr>
        <w:t>–</w:t>
      </w:r>
      <w:r w:rsidRPr="009F784F">
        <w:rPr>
          <w:rFonts w:cs="Times New Roman"/>
          <w:sz w:val="24"/>
          <w:szCs w:val="28"/>
        </w:rPr>
        <w:t>shRNA control (9</w:t>
      </w:r>
      <w:r w:rsidR="0054056A" w:rsidRPr="009F784F">
        <w:rPr>
          <w:rFonts w:cs="Times New Roman"/>
          <w:sz w:val="24"/>
          <w:szCs w:val="28"/>
        </w:rPr>
        <w:t>·</w:t>
      </w:r>
      <w:r w:rsidRPr="009F784F">
        <w:rPr>
          <w:rFonts w:cs="Times New Roman"/>
          <w:sz w:val="24"/>
          <w:szCs w:val="28"/>
        </w:rPr>
        <w:t>42%) (</w:t>
      </w:r>
      <w:r w:rsidRPr="009F784F">
        <w:rPr>
          <w:rFonts w:cs="Times New Roman"/>
          <w:i/>
          <w:iCs/>
          <w:sz w:val="24"/>
          <w:szCs w:val="28"/>
        </w:rPr>
        <w:t>p</w:t>
      </w:r>
      <w:r w:rsidRPr="009F784F">
        <w:rPr>
          <w:rFonts w:cs="Times New Roman"/>
          <w:sz w:val="24"/>
          <w:szCs w:val="28"/>
        </w:rPr>
        <w:t xml:space="preserve"> ≤ 0</w:t>
      </w:r>
      <w:r w:rsidR="0054056A" w:rsidRPr="009F784F">
        <w:rPr>
          <w:rFonts w:cs="Times New Roman"/>
          <w:sz w:val="24"/>
          <w:szCs w:val="28"/>
        </w:rPr>
        <w:t>·</w:t>
      </w:r>
      <w:r w:rsidRPr="009F784F">
        <w:rPr>
          <w:rFonts w:cs="Times New Roman"/>
          <w:sz w:val="24"/>
          <w:szCs w:val="28"/>
        </w:rPr>
        <w:t xml:space="preserve">0001). </w:t>
      </w:r>
      <w:r w:rsidR="006C7C97" w:rsidRPr="009F784F">
        <w:rPr>
          <w:rFonts w:cs="Times New Roman"/>
          <w:sz w:val="24"/>
          <w:szCs w:val="28"/>
        </w:rPr>
        <w:t xml:space="preserve"> </w:t>
      </w:r>
    </w:p>
    <w:p w14:paraId="325D576F" w14:textId="10378B9C" w:rsidR="009F0910" w:rsidRPr="009F784F" w:rsidRDefault="009F0910" w:rsidP="00641B58">
      <w:pPr>
        <w:spacing w:line="480" w:lineRule="auto"/>
        <w:rPr>
          <w:rFonts w:cs="Times New Roman"/>
          <w:sz w:val="24"/>
          <w:szCs w:val="28"/>
        </w:rPr>
      </w:pPr>
      <w:r w:rsidRPr="009F784F">
        <w:rPr>
          <w:rFonts w:cs="Times New Roman"/>
          <w:sz w:val="24"/>
          <w:szCs w:val="28"/>
        </w:rPr>
        <w:t>Furthermore, a significant reduction in apoptosis of DITPA</w:t>
      </w:r>
      <w:r w:rsidR="00D3137A" w:rsidRPr="009F784F">
        <w:rPr>
          <w:rFonts w:cs="Times New Roman"/>
          <w:sz w:val="24"/>
          <w:szCs w:val="28"/>
        </w:rPr>
        <w:t>–</w:t>
      </w:r>
      <w:r w:rsidRPr="009F784F">
        <w:rPr>
          <w:rFonts w:cs="Times New Roman"/>
          <w:sz w:val="24"/>
          <w:szCs w:val="28"/>
        </w:rPr>
        <w:t>treated cells (2</w:t>
      </w:r>
      <w:r w:rsidR="0054056A" w:rsidRPr="009F784F">
        <w:rPr>
          <w:rFonts w:cs="Times New Roman"/>
          <w:sz w:val="24"/>
          <w:szCs w:val="28"/>
        </w:rPr>
        <w:t>1·</w:t>
      </w:r>
      <w:r w:rsidRPr="009F784F">
        <w:rPr>
          <w:rFonts w:cs="Times New Roman"/>
          <w:sz w:val="24"/>
          <w:szCs w:val="28"/>
        </w:rPr>
        <w:t xml:space="preserve">67%) compared to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(32</w:t>
      </w:r>
      <w:r w:rsidR="0054056A" w:rsidRPr="009F784F">
        <w:rPr>
          <w:rFonts w:cs="Times New Roman"/>
          <w:sz w:val="24"/>
          <w:szCs w:val="28"/>
        </w:rPr>
        <w:t>·</w:t>
      </w:r>
      <w:r w:rsidRPr="009F784F">
        <w:rPr>
          <w:rFonts w:cs="Times New Roman"/>
          <w:sz w:val="24"/>
          <w:szCs w:val="28"/>
        </w:rPr>
        <w:t>95%) (</w:t>
      </w:r>
      <w:r w:rsidRPr="009F784F">
        <w:rPr>
          <w:rFonts w:cs="Times New Roman"/>
          <w:i/>
          <w:iCs/>
          <w:sz w:val="24"/>
          <w:szCs w:val="28"/>
        </w:rPr>
        <w:t>p</w:t>
      </w:r>
      <w:r w:rsidRPr="009F784F">
        <w:rPr>
          <w:rFonts w:cs="Times New Roman"/>
          <w:sz w:val="24"/>
          <w:szCs w:val="28"/>
        </w:rPr>
        <w:t xml:space="preserve"> ≤ 0</w:t>
      </w:r>
      <w:r w:rsidR="0054056A" w:rsidRPr="009F784F">
        <w:rPr>
          <w:rFonts w:cs="Times New Roman"/>
          <w:sz w:val="24"/>
          <w:szCs w:val="28"/>
        </w:rPr>
        <w:t>·</w:t>
      </w:r>
      <w:r w:rsidRPr="009F784F">
        <w:rPr>
          <w:rFonts w:cs="Times New Roman"/>
          <w:sz w:val="24"/>
          <w:szCs w:val="28"/>
        </w:rPr>
        <w:t>01). Similar reductions were seen following T3 administration (22</w:t>
      </w:r>
      <w:r w:rsidR="0054056A" w:rsidRPr="009F784F">
        <w:rPr>
          <w:rFonts w:cs="Times New Roman"/>
          <w:sz w:val="24"/>
          <w:szCs w:val="28"/>
        </w:rPr>
        <w:t>·</w:t>
      </w:r>
      <w:r w:rsidRPr="009F784F">
        <w:rPr>
          <w:rFonts w:cs="Times New Roman"/>
          <w:sz w:val="24"/>
          <w:szCs w:val="28"/>
        </w:rPr>
        <w:t>87%)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 xml:space="preserve">001), with significant reductions in the cellular apoptotic population relative to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targeted cells (32</w:t>
      </w:r>
      <w:r w:rsidR="0054056A" w:rsidRPr="009F784F">
        <w:rPr>
          <w:rFonts w:cs="Times New Roman"/>
          <w:sz w:val="24"/>
          <w:szCs w:val="28"/>
        </w:rPr>
        <w:t>·</w:t>
      </w:r>
      <w:r w:rsidRPr="009F784F">
        <w:rPr>
          <w:rFonts w:cs="Times New Roman"/>
          <w:sz w:val="24"/>
          <w:szCs w:val="28"/>
        </w:rPr>
        <w:t>95%)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01). Disparate reduction of apoptotic cells was seen following TRIAC administration (16</w:t>
      </w:r>
      <w:r w:rsidR="0054056A" w:rsidRPr="009F784F">
        <w:rPr>
          <w:rFonts w:cs="Times New Roman"/>
          <w:sz w:val="24"/>
          <w:szCs w:val="28"/>
        </w:rPr>
        <w:t>·</w:t>
      </w:r>
      <w:r w:rsidRPr="009F784F">
        <w:rPr>
          <w:rFonts w:cs="Times New Roman"/>
          <w:sz w:val="24"/>
          <w:szCs w:val="28"/>
        </w:rPr>
        <w:t xml:space="preserve">57%) when compared to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knockdown cells (32</w:t>
      </w:r>
      <w:r w:rsidR="0054056A" w:rsidRPr="009F784F">
        <w:rPr>
          <w:rFonts w:cs="Times New Roman"/>
          <w:sz w:val="24"/>
          <w:szCs w:val="28"/>
        </w:rPr>
        <w:t>·</w:t>
      </w:r>
      <w:r w:rsidRPr="009F784F">
        <w:rPr>
          <w:rFonts w:cs="Times New Roman"/>
          <w:sz w:val="24"/>
          <w:szCs w:val="28"/>
        </w:rPr>
        <w:t>95 %)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0001). However, despite the most significant reduction under MCT8 deficiency, in the context of MCT8 functionality (control) (9</w:t>
      </w:r>
      <w:r w:rsidR="0054056A" w:rsidRPr="009F784F">
        <w:rPr>
          <w:rFonts w:cs="Times New Roman"/>
          <w:sz w:val="24"/>
          <w:szCs w:val="28"/>
        </w:rPr>
        <w:t>·</w:t>
      </w:r>
      <w:r w:rsidRPr="009F784F">
        <w:rPr>
          <w:rFonts w:cs="Times New Roman"/>
          <w:sz w:val="24"/>
          <w:szCs w:val="28"/>
        </w:rPr>
        <w:t>42%), TRIAC administration induced the least significant reduction (16</w:t>
      </w:r>
      <w:r w:rsidR="0054056A" w:rsidRPr="009F784F">
        <w:rPr>
          <w:rFonts w:cs="Times New Roman"/>
          <w:sz w:val="24"/>
          <w:szCs w:val="28"/>
        </w:rPr>
        <w:t>·</w:t>
      </w:r>
      <w:r w:rsidRPr="009F784F">
        <w:rPr>
          <w:rFonts w:cs="Times New Roman"/>
          <w:sz w:val="24"/>
          <w:szCs w:val="28"/>
        </w:rPr>
        <w:t>57%)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05) (</w:t>
      </w:r>
      <w:r w:rsidR="006C7C97" w:rsidRPr="009F784F">
        <w:rPr>
          <w:rFonts w:cs="Times New Roman"/>
          <w:sz w:val="24"/>
          <w:szCs w:val="28"/>
        </w:rPr>
        <w:t>supplementary figure 1</w:t>
      </w:r>
      <w:r w:rsidRPr="009F784F">
        <w:rPr>
          <w:rFonts w:cs="Times New Roman"/>
          <w:sz w:val="24"/>
          <w:szCs w:val="28"/>
        </w:rPr>
        <w:t>B). Assessment of caspase</w:t>
      </w:r>
      <w:r w:rsidR="00D3137A" w:rsidRPr="009F784F">
        <w:rPr>
          <w:rFonts w:cs="Times New Roman"/>
          <w:sz w:val="24"/>
          <w:szCs w:val="28"/>
        </w:rPr>
        <w:t>–</w:t>
      </w:r>
      <w:r w:rsidRPr="009F784F">
        <w:rPr>
          <w:rFonts w:cs="Times New Roman"/>
          <w:sz w:val="24"/>
          <w:szCs w:val="28"/>
        </w:rPr>
        <w:t>3 activity outlined the elevated ability of DITPA to ameliorate caspase 3</w:t>
      </w:r>
      <w:r w:rsidR="00D3137A" w:rsidRPr="009F784F">
        <w:rPr>
          <w:rFonts w:cs="Times New Roman"/>
          <w:sz w:val="24"/>
          <w:szCs w:val="28"/>
        </w:rPr>
        <w:t>–</w:t>
      </w:r>
      <w:r w:rsidRPr="009F784F">
        <w:rPr>
          <w:rFonts w:cs="Times New Roman"/>
          <w:sz w:val="24"/>
          <w:szCs w:val="28"/>
        </w:rPr>
        <w:t>dependent apoptosis (46</w:t>
      </w:r>
      <w:r w:rsidR="0054056A" w:rsidRPr="009F784F">
        <w:rPr>
          <w:rFonts w:cs="Times New Roman"/>
          <w:sz w:val="24"/>
          <w:szCs w:val="28"/>
        </w:rPr>
        <w:t>·</w:t>
      </w:r>
      <w:r w:rsidRPr="009F784F">
        <w:rPr>
          <w:rFonts w:cs="Times New Roman"/>
          <w:sz w:val="24"/>
          <w:szCs w:val="28"/>
        </w:rPr>
        <w:t xml:space="preserve">55%), relative to </w:t>
      </w:r>
      <w:r w:rsidRPr="009F784F">
        <w:rPr>
          <w:rFonts w:cs="Times New Roman"/>
          <w:i/>
          <w:iCs/>
          <w:sz w:val="24"/>
          <w:szCs w:val="28"/>
        </w:rPr>
        <w:t>SLC16A2</w:t>
      </w:r>
      <w:r w:rsidRPr="009F784F">
        <w:rPr>
          <w:rFonts w:cs="Times New Roman"/>
          <w:sz w:val="24"/>
          <w:szCs w:val="28"/>
        </w:rPr>
        <w:t xml:space="preserve"> knockdown cells (61</w:t>
      </w:r>
      <w:r w:rsidR="0054056A" w:rsidRPr="009F784F">
        <w:rPr>
          <w:rFonts w:cs="Times New Roman"/>
          <w:sz w:val="24"/>
          <w:szCs w:val="28"/>
        </w:rPr>
        <w:t>·</w:t>
      </w:r>
      <w:r w:rsidRPr="009F784F">
        <w:rPr>
          <w:rFonts w:cs="Times New Roman"/>
          <w:sz w:val="24"/>
          <w:szCs w:val="28"/>
        </w:rPr>
        <w:t>87 %)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01), and outcompeted both T3 (67</w:t>
      </w:r>
      <w:r w:rsidR="0054056A" w:rsidRPr="009F784F">
        <w:rPr>
          <w:rFonts w:cs="Times New Roman"/>
          <w:sz w:val="24"/>
          <w:szCs w:val="28"/>
        </w:rPr>
        <w:t>·</w:t>
      </w:r>
      <w:r w:rsidRPr="009F784F">
        <w:rPr>
          <w:rFonts w:cs="Times New Roman"/>
          <w:sz w:val="24"/>
          <w:szCs w:val="28"/>
        </w:rPr>
        <w:t>64%)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001) and TRIAC (59%)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 xml:space="preserve">05). Integrin </w:t>
      </w:r>
      <w:r w:rsidR="00A91985">
        <w:rPr>
          <w:rFonts w:cs="Times New Roman"/>
          <w:sz w:val="24"/>
          <w:szCs w:val="28"/>
        </w:rPr>
        <w:t>αVβ</w:t>
      </w:r>
      <w:r w:rsidR="00D42E46">
        <w:rPr>
          <w:rFonts w:cs="Times New Roman"/>
          <w:sz w:val="24"/>
          <w:szCs w:val="28"/>
        </w:rPr>
        <w:t xml:space="preserve">3 </w:t>
      </w:r>
      <w:r w:rsidR="00D42E46" w:rsidRPr="009F784F">
        <w:rPr>
          <w:rFonts w:cs="Times New Roman"/>
          <w:sz w:val="24"/>
          <w:szCs w:val="28"/>
        </w:rPr>
        <w:t>potentiation</w:t>
      </w:r>
      <w:r w:rsidRPr="009F784F">
        <w:rPr>
          <w:rFonts w:cs="Times New Roman"/>
          <w:sz w:val="24"/>
          <w:szCs w:val="28"/>
        </w:rPr>
        <w:t xml:space="preserve"> was </w:t>
      </w:r>
      <w:proofErr w:type="spellStart"/>
      <w:r w:rsidRPr="009F784F">
        <w:rPr>
          <w:rFonts w:cs="Times New Roman"/>
          <w:sz w:val="24"/>
          <w:szCs w:val="28"/>
        </w:rPr>
        <w:t>trialed</w:t>
      </w:r>
      <w:proofErr w:type="spellEnd"/>
      <w:r w:rsidRPr="009F784F">
        <w:rPr>
          <w:rFonts w:cs="Times New Roman"/>
          <w:sz w:val="24"/>
          <w:szCs w:val="28"/>
        </w:rPr>
        <w:t xml:space="preserve"> as a possible avenue through which DITPA may induce </w:t>
      </w:r>
      <w:r w:rsidR="0054056A" w:rsidRPr="009F784F">
        <w:rPr>
          <w:rFonts w:cs="Times New Roman"/>
          <w:sz w:val="24"/>
          <w:szCs w:val="28"/>
        </w:rPr>
        <w:t>anti-caspase–</w:t>
      </w:r>
      <w:r w:rsidRPr="009F784F">
        <w:rPr>
          <w:rFonts w:cs="Times New Roman"/>
          <w:sz w:val="24"/>
          <w:szCs w:val="28"/>
        </w:rPr>
        <w:t xml:space="preserve">3 activity, as demonstrated in the presence of </w:t>
      </w:r>
      <w:proofErr w:type="spellStart"/>
      <w:r w:rsidRPr="009F784F">
        <w:rPr>
          <w:rFonts w:cs="Times New Roman"/>
          <w:sz w:val="24"/>
          <w:szCs w:val="28"/>
        </w:rPr>
        <w:t>cilengitide</w:t>
      </w:r>
      <w:proofErr w:type="spellEnd"/>
      <w:r w:rsidRPr="009F784F">
        <w:rPr>
          <w:rFonts w:cs="Times New Roman"/>
          <w:sz w:val="24"/>
          <w:szCs w:val="28"/>
        </w:rPr>
        <w:t>, a cyclized RGD (Arg</w:t>
      </w:r>
      <w:r w:rsidR="00D3137A" w:rsidRPr="009F784F">
        <w:rPr>
          <w:rFonts w:cs="Times New Roman"/>
          <w:sz w:val="24"/>
          <w:szCs w:val="28"/>
        </w:rPr>
        <w:t>–</w:t>
      </w:r>
      <w:proofErr w:type="spellStart"/>
      <w:r w:rsidRPr="009F784F">
        <w:rPr>
          <w:rFonts w:cs="Times New Roman"/>
          <w:sz w:val="24"/>
          <w:szCs w:val="28"/>
        </w:rPr>
        <w:t>Gly</w:t>
      </w:r>
      <w:proofErr w:type="spellEnd"/>
      <w:r w:rsidR="00D3137A" w:rsidRPr="009F784F">
        <w:rPr>
          <w:rFonts w:cs="Times New Roman"/>
          <w:sz w:val="24"/>
          <w:szCs w:val="28"/>
        </w:rPr>
        <w:t>–</w:t>
      </w:r>
      <w:r w:rsidRPr="009F784F">
        <w:rPr>
          <w:rFonts w:cs="Times New Roman"/>
          <w:sz w:val="24"/>
          <w:szCs w:val="28"/>
        </w:rPr>
        <w:t>Asp motif)</w:t>
      </w:r>
      <w:r w:rsidR="00D3137A" w:rsidRPr="009F784F">
        <w:rPr>
          <w:rFonts w:cs="Times New Roman"/>
          <w:sz w:val="24"/>
          <w:szCs w:val="28"/>
        </w:rPr>
        <w:t>–</w:t>
      </w:r>
      <w:r w:rsidRPr="009F784F">
        <w:rPr>
          <w:rFonts w:cs="Times New Roman"/>
          <w:sz w:val="24"/>
          <w:szCs w:val="28"/>
        </w:rPr>
        <w:t xml:space="preserve">containing pentapeptide (Integrin </w:t>
      </w:r>
      <w:r w:rsidR="00A91985">
        <w:rPr>
          <w:rFonts w:cs="Times New Roman"/>
          <w:sz w:val="24"/>
          <w:szCs w:val="28"/>
        </w:rPr>
        <w:t>αVβ</w:t>
      </w:r>
      <w:r w:rsidR="00144698">
        <w:rPr>
          <w:rFonts w:cs="Times New Roman"/>
          <w:sz w:val="24"/>
          <w:szCs w:val="28"/>
        </w:rPr>
        <w:t xml:space="preserve">3 </w:t>
      </w:r>
      <w:r w:rsidR="00144698" w:rsidRPr="009F784F">
        <w:rPr>
          <w:rFonts w:cs="Times New Roman"/>
          <w:sz w:val="24"/>
          <w:szCs w:val="28"/>
        </w:rPr>
        <w:t>antagonist</w:t>
      </w:r>
      <w:r w:rsidRPr="009F784F">
        <w:rPr>
          <w:rFonts w:cs="Times New Roman"/>
          <w:sz w:val="24"/>
          <w:szCs w:val="28"/>
        </w:rPr>
        <w:t>), resulting in a greater amelioration of caspase</w:t>
      </w:r>
      <w:r w:rsidR="00D3137A" w:rsidRPr="009F784F">
        <w:rPr>
          <w:rFonts w:cs="Times New Roman"/>
          <w:sz w:val="24"/>
          <w:szCs w:val="28"/>
        </w:rPr>
        <w:t>–</w:t>
      </w:r>
      <w:r w:rsidRPr="009F784F">
        <w:rPr>
          <w:rFonts w:cs="Times New Roman"/>
          <w:sz w:val="24"/>
          <w:szCs w:val="28"/>
        </w:rPr>
        <w:t>3 levels (69</w:t>
      </w:r>
      <w:r w:rsidR="0054056A" w:rsidRPr="009F784F">
        <w:rPr>
          <w:rFonts w:cs="Times New Roman"/>
          <w:sz w:val="24"/>
          <w:szCs w:val="28"/>
        </w:rPr>
        <w:t>·</w:t>
      </w:r>
      <w:r w:rsidRPr="009F784F">
        <w:rPr>
          <w:rFonts w:cs="Times New Roman"/>
          <w:sz w:val="24"/>
          <w:szCs w:val="28"/>
        </w:rPr>
        <w:t>58%), relative to T3 (83</w:t>
      </w:r>
      <w:r w:rsidR="0054056A" w:rsidRPr="009F784F">
        <w:rPr>
          <w:rFonts w:cs="Times New Roman"/>
          <w:sz w:val="24"/>
          <w:szCs w:val="28"/>
        </w:rPr>
        <w:t>·</w:t>
      </w:r>
      <w:r w:rsidRPr="009F784F">
        <w:rPr>
          <w:rFonts w:cs="Times New Roman"/>
          <w:sz w:val="24"/>
          <w:szCs w:val="28"/>
        </w:rPr>
        <w:t>84%)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01) and TRIAC (88</w:t>
      </w:r>
      <w:r w:rsidR="0054056A" w:rsidRPr="009F784F">
        <w:rPr>
          <w:rFonts w:cs="Times New Roman"/>
          <w:sz w:val="24"/>
          <w:szCs w:val="28"/>
        </w:rPr>
        <w:t>·</w:t>
      </w:r>
      <w:r w:rsidRPr="009F784F">
        <w:rPr>
          <w:rFonts w:cs="Times New Roman"/>
          <w:sz w:val="24"/>
          <w:szCs w:val="28"/>
        </w:rPr>
        <w:t>71%)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001) (</w:t>
      </w:r>
      <w:r w:rsidR="006C7C97" w:rsidRPr="009F784F">
        <w:rPr>
          <w:rFonts w:cs="Times New Roman"/>
          <w:sz w:val="24"/>
          <w:szCs w:val="28"/>
        </w:rPr>
        <w:t>supplementary figure 1</w:t>
      </w:r>
      <w:r w:rsidRPr="009F784F">
        <w:rPr>
          <w:rFonts w:cs="Times New Roman"/>
          <w:sz w:val="24"/>
          <w:szCs w:val="28"/>
        </w:rPr>
        <w:t xml:space="preserve">B). These data suggest that DITPA may be superior at inhibiting the intrinsic pathway of apoptosis in human OPCs, whereas TRIAC may work more effectively in limiting the intrinsic pathway of cell death, but further investigations are required to establish this. </w:t>
      </w:r>
      <w:r w:rsidR="006C7C97" w:rsidRPr="009F784F">
        <w:rPr>
          <w:rFonts w:cs="Times New Roman"/>
          <w:sz w:val="24"/>
          <w:szCs w:val="28"/>
        </w:rPr>
        <w:t xml:space="preserve">  </w:t>
      </w:r>
    </w:p>
    <w:p w14:paraId="41F00209" w14:textId="065012A5" w:rsidR="009F0910" w:rsidRPr="009F784F" w:rsidRDefault="009F0910" w:rsidP="00641B58">
      <w:pPr>
        <w:spacing w:line="480" w:lineRule="auto"/>
        <w:rPr>
          <w:rFonts w:cs="Times New Roman"/>
          <w:sz w:val="24"/>
          <w:szCs w:val="28"/>
        </w:rPr>
      </w:pPr>
      <w:r w:rsidRPr="009F784F">
        <w:rPr>
          <w:rFonts w:cs="Times New Roman"/>
          <w:sz w:val="24"/>
          <w:szCs w:val="28"/>
        </w:rPr>
        <w:t>It is well established that OL differentiation and maturation is dependent on a homeostatic relationship between AKT and ERK1/2 signaling</w:t>
      </w:r>
      <w:r w:rsidR="0054056A" w:rsidRPr="009F784F">
        <w:rPr>
          <w:rFonts w:cs="Times New Roman"/>
          <w:sz w:val="24"/>
          <w:szCs w:val="28"/>
        </w:rPr>
        <w:t>.</w:t>
      </w:r>
      <w:r w:rsidRPr="009F784F">
        <w:rPr>
          <w:rFonts w:cs="Times New Roman"/>
          <w:sz w:val="24"/>
          <w:szCs w:val="28"/>
        </w:rPr>
        <w:fldChar w:fldCharType="begin">
          <w:fldData xml:space="preserve">PEVuZE5vdGU+PENpdGU+PEF1dGhvcj5EYWk8L0F1dGhvcj48WWVhcj4yMDE0PC9ZZWFyPjxSZWNO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</w:fldData>
        </w:fldChar>
      </w:r>
      <w:r w:rsidR="00D614B1" w:rsidRPr="009F784F">
        <w:rPr>
          <w:rFonts w:cs="Times New Roman"/>
          <w:sz w:val="24"/>
          <w:szCs w:val="28"/>
        </w:rPr>
        <w:instrText xml:space="preserve"> ADDIN EN.CITE </w:instrText>
      </w:r>
      <w:r w:rsidR="00D614B1" w:rsidRPr="009F784F">
        <w:rPr>
          <w:rFonts w:cs="Times New Roman"/>
          <w:sz w:val="24"/>
          <w:szCs w:val="28"/>
        </w:rPr>
        <w:fldChar w:fldCharType="begin">
          <w:fldData xml:space="preserve">PEVuZE5vdGU+PENpdGU+PEF1dGhvcj5EYWk8L0F1dGhvcj48WWVhcj4yMDE0PC9ZZWFyPjxSZWNO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</w:fldData>
        </w:fldChar>
      </w:r>
      <w:r w:rsidR="00D614B1" w:rsidRPr="009F784F">
        <w:rPr>
          <w:rFonts w:cs="Times New Roman"/>
          <w:sz w:val="24"/>
          <w:szCs w:val="28"/>
        </w:rPr>
        <w:instrText xml:space="preserve"> ADDIN EN.CITE.DATA </w:instrText>
      </w:r>
      <w:r w:rsidR="00D614B1" w:rsidRPr="009F784F">
        <w:rPr>
          <w:rFonts w:cs="Times New Roman"/>
          <w:sz w:val="24"/>
          <w:szCs w:val="28"/>
        </w:rPr>
      </w:r>
      <w:r w:rsidR="00D614B1"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614B1" w:rsidRPr="009F784F">
        <w:rPr>
          <w:rFonts w:cs="Times New Roman"/>
          <w:noProof/>
          <w:sz w:val="24"/>
          <w:szCs w:val="28"/>
          <w:vertAlign w:val="superscript"/>
        </w:rPr>
        <w:t>19</w:t>
      </w:r>
      <w:r w:rsidRPr="009F784F">
        <w:rPr>
          <w:rFonts w:cs="Times New Roman"/>
          <w:sz w:val="24"/>
          <w:szCs w:val="28"/>
        </w:rPr>
        <w:fldChar w:fldCharType="end"/>
      </w:r>
      <w:r w:rsidRPr="009F784F">
        <w:rPr>
          <w:rFonts w:cs="Times New Roman"/>
          <w:sz w:val="24"/>
          <w:szCs w:val="28"/>
        </w:rPr>
        <w:t xml:space="preserve"> To demonstrate the possibility of differentiation and maturation events in OLs potentiated by DITPA through AKT and ERK1/2 </w:t>
      </w:r>
      <w:r w:rsidR="00144698" w:rsidRPr="009F784F">
        <w:rPr>
          <w:rFonts w:cs="Times New Roman"/>
          <w:sz w:val="24"/>
          <w:szCs w:val="28"/>
        </w:rPr>
        <w:t>signalling</w:t>
      </w:r>
      <w:r w:rsidRPr="009F784F">
        <w:rPr>
          <w:rFonts w:cs="Times New Roman"/>
          <w:sz w:val="24"/>
          <w:szCs w:val="28"/>
        </w:rPr>
        <w:t xml:space="preserve">, western blotting was performed through 10% input of </w:t>
      </w:r>
      <w:bookmarkStart w:id="40" w:name="_Hlk199409350"/>
      <w:r w:rsidRPr="009F784F">
        <w:rPr>
          <w:rFonts w:cs="Times New Roman"/>
          <w:sz w:val="24"/>
          <w:szCs w:val="28"/>
        </w:rPr>
        <w:t xml:space="preserve">HES3 </w:t>
      </w:r>
      <w:bookmarkEnd w:id="40"/>
      <w:r w:rsidRPr="009F784F">
        <w:rPr>
          <w:rFonts w:cs="Times New Roman"/>
          <w:sz w:val="24"/>
          <w:szCs w:val="28"/>
        </w:rPr>
        <w:t xml:space="preserve">cell lysate. We </w:t>
      </w:r>
      <w:r w:rsidRPr="009F784F">
        <w:rPr>
          <w:rFonts w:cs="Times New Roman"/>
          <w:sz w:val="24"/>
          <w:szCs w:val="28"/>
        </w:rPr>
        <w:lastRenderedPageBreak/>
        <w:t>observed a highly significant increase in p</w:t>
      </w:r>
      <w:r w:rsidR="00D3137A" w:rsidRPr="009F784F">
        <w:rPr>
          <w:rFonts w:cs="Times New Roman"/>
          <w:sz w:val="24"/>
          <w:szCs w:val="28"/>
        </w:rPr>
        <w:t>–</w:t>
      </w:r>
      <w:r w:rsidRPr="009F784F">
        <w:rPr>
          <w:rFonts w:cs="Times New Roman"/>
          <w:sz w:val="24"/>
          <w:szCs w:val="28"/>
        </w:rPr>
        <w:t>AKT activity following DITPA administration (0</w:t>
      </w:r>
      <w:r w:rsidR="0054056A" w:rsidRPr="009F784F">
        <w:rPr>
          <w:rFonts w:cs="Times New Roman"/>
          <w:sz w:val="24"/>
          <w:szCs w:val="28"/>
        </w:rPr>
        <w:t>·</w:t>
      </w:r>
      <w:r w:rsidRPr="009F784F">
        <w:rPr>
          <w:rFonts w:cs="Times New Roman"/>
          <w:sz w:val="24"/>
          <w:szCs w:val="28"/>
        </w:rPr>
        <w:t>125 AU) relative to non</w:t>
      </w:r>
      <w:r w:rsidR="00D3137A" w:rsidRPr="009F784F">
        <w:rPr>
          <w:rFonts w:cs="Times New Roman"/>
          <w:sz w:val="24"/>
          <w:szCs w:val="28"/>
        </w:rPr>
        <w:t>–</w:t>
      </w:r>
      <w:r w:rsidRPr="009F784F">
        <w:rPr>
          <w:rFonts w:cs="Times New Roman"/>
          <w:sz w:val="24"/>
          <w:szCs w:val="28"/>
        </w:rPr>
        <w:t>targeting</w:t>
      </w:r>
      <w:r w:rsidR="00D3137A" w:rsidRPr="009F784F">
        <w:rPr>
          <w:rFonts w:cs="Times New Roman"/>
          <w:sz w:val="24"/>
          <w:szCs w:val="28"/>
        </w:rPr>
        <w:t>–</w:t>
      </w:r>
      <w:r w:rsidRPr="009F784F">
        <w:rPr>
          <w:rFonts w:cs="Times New Roman"/>
          <w:sz w:val="24"/>
          <w:szCs w:val="28"/>
        </w:rPr>
        <w:t>shRNA control with a 2</w:t>
      </w:r>
      <w:r w:rsidR="0054056A" w:rsidRPr="009F784F">
        <w:rPr>
          <w:rFonts w:cs="Times New Roman"/>
          <w:sz w:val="24"/>
          <w:szCs w:val="28"/>
        </w:rPr>
        <w:t>·</w:t>
      </w:r>
      <w:r w:rsidRPr="009F784F">
        <w:rPr>
          <w:rFonts w:cs="Times New Roman"/>
          <w:sz w:val="24"/>
          <w:szCs w:val="28"/>
        </w:rPr>
        <w:t>5</w:t>
      </w:r>
      <w:r w:rsidR="00D3137A" w:rsidRPr="009F784F">
        <w:rPr>
          <w:rFonts w:cs="Times New Roman"/>
          <w:sz w:val="24"/>
          <w:szCs w:val="28"/>
        </w:rPr>
        <w:t>–</w:t>
      </w:r>
      <w:r w:rsidRPr="009F784F">
        <w:rPr>
          <w:rFonts w:cs="Times New Roman"/>
          <w:sz w:val="24"/>
          <w:szCs w:val="28"/>
        </w:rPr>
        <w:t>fold change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001). This elevation in p</w:t>
      </w:r>
      <w:r w:rsidR="00D3137A" w:rsidRPr="009F784F">
        <w:rPr>
          <w:rFonts w:cs="Times New Roman"/>
          <w:sz w:val="24"/>
          <w:szCs w:val="28"/>
        </w:rPr>
        <w:t>–</w:t>
      </w:r>
      <w:r w:rsidRPr="009F784F">
        <w:rPr>
          <w:rFonts w:cs="Times New Roman"/>
          <w:sz w:val="24"/>
          <w:szCs w:val="28"/>
        </w:rPr>
        <w:t>AKT activity was emulated by DITPA compared to T3 (</w:t>
      </w:r>
      <w:r w:rsidRPr="009F784F">
        <w:rPr>
          <w:rFonts w:cs="Times New Roman"/>
          <w:i/>
          <w:iCs/>
          <w:sz w:val="24"/>
          <w:szCs w:val="28"/>
        </w:rPr>
        <w:t>p</w:t>
      </w:r>
      <w:r w:rsidRPr="009F784F">
        <w:rPr>
          <w:rFonts w:cs="Times New Roman"/>
          <w:sz w:val="24"/>
          <w:szCs w:val="28"/>
        </w:rPr>
        <w:t>≤ 0</w:t>
      </w:r>
      <w:r w:rsidR="0054056A" w:rsidRPr="009F784F">
        <w:rPr>
          <w:rFonts w:cs="Times New Roman"/>
          <w:sz w:val="24"/>
          <w:szCs w:val="28"/>
        </w:rPr>
        <w:t>·</w:t>
      </w:r>
      <w:r w:rsidRPr="009F784F">
        <w:rPr>
          <w:rFonts w:cs="Times New Roman"/>
          <w:sz w:val="24"/>
          <w:szCs w:val="28"/>
        </w:rPr>
        <w:t>001) and TRIAC (2</w:t>
      </w:r>
      <w:r w:rsidR="00B26033" w:rsidRPr="009F784F">
        <w:rPr>
          <w:rFonts w:cs="Times New Roman"/>
          <w:sz w:val="24"/>
          <w:szCs w:val="28"/>
        </w:rPr>
        <w:t>·</w:t>
      </w:r>
      <w:r w:rsidRPr="009F784F">
        <w:rPr>
          <w:rFonts w:cs="Times New Roman"/>
          <w:sz w:val="24"/>
          <w:szCs w:val="28"/>
        </w:rPr>
        <w:t>5</w:t>
      </w:r>
      <w:r w:rsidR="00D3137A" w:rsidRPr="009F784F">
        <w:rPr>
          <w:rFonts w:cs="Times New Roman"/>
          <w:sz w:val="24"/>
          <w:szCs w:val="28"/>
        </w:rPr>
        <w:t>–</w:t>
      </w:r>
      <w:r w:rsidRPr="009F784F">
        <w:rPr>
          <w:rFonts w:cs="Times New Roman"/>
          <w:sz w:val="24"/>
          <w:szCs w:val="28"/>
        </w:rPr>
        <w:t>fold change) (</w:t>
      </w:r>
      <w:r w:rsidRPr="009F784F">
        <w:rPr>
          <w:rFonts w:cs="Times New Roman"/>
          <w:i/>
          <w:iCs/>
          <w:sz w:val="24"/>
          <w:szCs w:val="28"/>
        </w:rPr>
        <w:t>p</w:t>
      </w:r>
      <w:r w:rsidRPr="009F784F">
        <w:rPr>
          <w:rFonts w:cs="Times New Roman"/>
          <w:sz w:val="24"/>
          <w:szCs w:val="28"/>
        </w:rPr>
        <w:t>≤ 0</w:t>
      </w:r>
      <w:r w:rsidR="00B26033" w:rsidRPr="009F784F">
        <w:rPr>
          <w:rFonts w:cs="Times New Roman"/>
          <w:sz w:val="24"/>
          <w:szCs w:val="28"/>
        </w:rPr>
        <w:t>·</w:t>
      </w:r>
      <w:r w:rsidRPr="009F784F">
        <w:rPr>
          <w:rFonts w:cs="Times New Roman"/>
          <w:sz w:val="24"/>
          <w:szCs w:val="28"/>
        </w:rPr>
        <w:t>01) (</w:t>
      </w:r>
      <w:r w:rsidR="00144698">
        <w:rPr>
          <w:rFonts w:cs="Times New Roman"/>
          <w:sz w:val="24"/>
          <w:szCs w:val="28"/>
        </w:rPr>
        <w:t>s</w:t>
      </w:r>
      <w:r w:rsidR="00144698" w:rsidRPr="009F784F">
        <w:rPr>
          <w:rFonts w:cs="Times New Roman"/>
          <w:sz w:val="24"/>
          <w:szCs w:val="28"/>
        </w:rPr>
        <w:t>upplementary</w:t>
      </w:r>
      <w:r w:rsidR="006C7C97" w:rsidRPr="009F784F">
        <w:rPr>
          <w:rFonts w:cs="Times New Roman"/>
          <w:sz w:val="24"/>
          <w:szCs w:val="28"/>
        </w:rPr>
        <w:t xml:space="preserve"> figure 1</w:t>
      </w:r>
      <w:r w:rsidRPr="009F784F">
        <w:rPr>
          <w:rFonts w:cs="Times New Roman"/>
          <w:sz w:val="24"/>
          <w:szCs w:val="28"/>
        </w:rPr>
        <w:t xml:space="preserve">C). To assess the possibility of integrin </w:t>
      </w:r>
      <w:r w:rsidR="00A91985">
        <w:rPr>
          <w:rFonts w:cs="Times New Roman"/>
          <w:sz w:val="24"/>
          <w:szCs w:val="28"/>
        </w:rPr>
        <w:t>αVβ</w:t>
      </w:r>
      <w:r w:rsidR="00144698">
        <w:rPr>
          <w:rFonts w:cs="Times New Roman"/>
          <w:sz w:val="24"/>
          <w:szCs w:val="28"/>
        </w:rPr>
        <w:t xml:space="preserve">3 </w:t>
      </w:r>
      <w:r w:rsidR="00144698" w:rsidRPr="009F784F">
        <w:rPr>
          <w:rFonts w:cs="Times New Roman"/>
          <w:sz w:val="24"/>
          <w:szCs w:val="28"/>
        </w:rPr>
        <w:t>activation</w:t>
      </w:r>
      <w:r w:rsidRPr="009F784F">
        <w:rPr>
          <w:rFonts w:cs="Times New Roman"/>
          <w:sz w:val="24"/>
          <w:szCs w:val="28"/>
        </w:rPr>
        <w:t xml:space="preserve"> leading to increased p</w:t>
      </w:r>
      <w:r w:rsidR="00D3137A" w:rsidRPr="009F784F">
        <w:rPr>
          <w:rFonts w:cs="Times New Roman"/>
          <w:sz w:val="24"/>
          <w:szCs w:val="28"/>
        </w:rPr>
        <w:t>–</w:t>
      </w:r>
      <w:r w:rsidRPr="009F784F">
        <w:rPr>
          <w:rFonts w:cs="Times New Roman"/>
          <w:sz w:val="24"/>
          <w:szCs w:val="28"/>
        </w:rPr>
        <w:t xml:space="preserve">AKT, further western blotting was conducted utilizing OPCs treated with the </w:t>
      </w:r>
      <w:r w:rsidR="00A91985">
        <w:rPr>
          <w:rFonts w:cs="Times New Roman"/>
          <w:sz w:val="24"/>
          <w:szCs w:val="28"/>
        </w:rPr>
        <w:t>αVβ</w:t>
      </w:r>
      <w:r w:rsidR="00144698">
        <w:rPr>
          <w:rFonts w:cs="Times New Roman"/>
          <w:sz w:val="24"/>
          <w:szCs w:val="28"/>
        </w:rPr>
        <w:t xml:space="preserve">3 </w:t>
      </w:r>
      <w:r w:rsidR="00144698" w:rsidRPr="009F784F">
        <w:rPr>
          <w:rFonts w:cs="Times New Roman"/>
          <w:sz w:val="24"/>
          <w:szCs w:val="28"/>
        </w:rPr>
        <w:t>receptor</w:t>
      </w:r>
      <w:r w:rsidRPr="009F784F">
        <w:rPr>
          <w:rFonts w:cs="Times New Roman"/>
          <w:sz w:val="24"/>
          <w:szCs w:val="28"/>
        </w:rPr>
        <w:t xml:space="preserve"> antagonist, </w:t>
      </w:r>
      <w:proofErr w:type="spellStart"/>
      <w:r w:rsidRPr="009F784F">
        <w:rPr>
          <w:rFonts w:cs="Times New Roman"/>
          <w:sz w:val="24"/>
          <w:szCs w:val="28"/>
        </w:rPr>
        <w:t>cilengitide</w:t>
      </w:r>
      <w:proofErr w:type="spellEnd"/>
      <w:r w:rsidRPr="009F784F">
        <w:rPr>
          <w:rFonts w:cs="Times New Roman"/>
          <w:sz w:val="24"/>
          <w:szCs w:val="28"/>
        </w:rPr>
        <w:t>. We observed a significant reduction in p</w:t>
      </w:r>
      <w:bookmarkStart w:id="41" w:name="_Hlk212740676"/>
      <w:r w:rsidR="00D3137A" w:rsidRPr="009F784F">
        <w:rPr>
          <w:rFonts w:cs="Times New Roman"/>
          <w:sz w:val="24"/>
          <w:szCs w:val="28"/>
        </w:rPr>
        <w:t>–</w:t>
      </w:r>
      <w:bookmarkEnd w:id="41"/>
      <w:r w:rsidRPr="009F784F">
        <w:rPr>
          <w:rFonts w:cs="Times New Roman"/>
          <w:sz w:val="24"/>
          <w:szCs w:val="28"/>
        </w:rPr>
        <w:t>AKT according to DITPA treatment relative to that level of p</w:t>
      </w:r>
      <w:r w:rsidR="00D3137A" w:rsidRPr="009F784F">
        <w:rPr>
          <w:rFonts w:cs="Times New Roman"/>
          <w:sz w:val="24"/>
          <w:szCs w:val="28"/>
        </w:rPr>
        <w:t>–</w:t>
      </w:r>
      <w:r w:rsidRPr="009F784F">
        <w:rPr>
          <w:rFonts w:cs="Times New Roman"/>
          <w:sz w:val="24"/>
          <w:szCs w:val="28"/>
        </w:rPr>
        <w:t>AKT following treatment with TRIAC through a 2</w:t>
      </w:r>
      <w:r w:rsidR="00B26033" w:rsidRPr="009F784F">
        <w:rPr>
          <w:rFonts w:cs="Times New Roman"/>
          <w:sz w:val="24"/>
          <w:szCs w:val="28"/>
        </w:rPr>
        <w:t>·</w:t>
      </w:r>
      <w:r w:rsidRPr="009F784F">
        <w:rPr>
          <w:rFonts w:cs="Times New Roman"/>
          <w:sz w:val="24"/>
          <w:szCs w:val="28"/>
        </w:rPr>
        <w:t>5</w:t>
      </w:r>
      <w:r w:rsidR="00D3137A" w:rsidRPr="009F784F">
        <w:rPr>
          <w:rFonts w:cs="Times New Roman"/>
          <w:sz w:val="24"/>
          <w:szCs w:val="28"/>
        </w:rPr>
        <w:t>–</w:t>
      </w:r>
      <w:r w:rsidRPr="009F784F">
        <w:rPr>
          <w:rFonts w:cs="Times New Roman"/>
          <w:sz w:val="24"/>
          <w:szCs w:val="28"/>
        </w:rPr>
        <w:t>fold change (</w:t>
      </w:r>
      <w:r w:rsidRPr="009F784F">
        <w:rPr>
          <w:rFonts w:cs="Times New Roman"/>
          <w:i/>
          <w:iCs/>
          <w:sz w:val="24"/>
          <w:szCs w:val="28"/>
        </w:rPr>
        <w:t>p</w:t>
      </w:r>
      <w:r w:rsidRPr="009F784F">
        <w:rPr>
          <w:rFonts w:cs="Times New Roman"/>
          <w:sz w:val="24"/>
          <w:szCs w:val="28"/>
        </w:rPr>
        <w:t>≤ 0</w:t>
      </w:r>
      <w:r w:rsidR="00B26033" w:rsidRPr="009F784F">
        <w:rPr>
          <w:rFonts w:cs="Times New Roman"/>
          <w:sz w:val="24"/>
          <w:szCs w:val="28"/>
        </w:rPr>
        <w:t>·</w:t>
      </w:r>
      <w:r w:rsidRPr="009F784F">
        <w:rPr>
          <w:rFonts w:cs="Times New Roman"/>
          <w:sz w:val="24"/>
          <w:szCs w:val="28"/>
        </w:rPr>
        <w:t>05) (</w:t>
      </w:r>
      <w:r w:rsidR="006C7C97" w:rsidRPr="009F784F">
        <w:rPr>
          <w:rFonts w:cs="Times New Roman"/>
          <w:sz w:val="24"/>
          <w:szCs w:val="28"/>
        </w:rPr>
        <w:t>supplementary figure 1</w:t>
      </w:r>
      <w:r w:rsidRPr="009F784F">
        <w:rPr>
          <w:rFonts w:cs="Times New Roman"/>
          <w:sz w:val="24"/>
          <w:szCs w:val="28"/>
        </w:rPr>
        <w:t xml:space="preserve">D). As part of the current study, western blotting utilizing 10% input of HES3 cell lysates under identical culture conditions was performed, to assess mTOR as a downstream effector of the AKT </w:t>
      </w:r>
      <w:r w:rsidR="00144698" w:rsidRPr="009F784F">
        <w:rPr>
          <w:rFonts w:cs="Times New Roman"/>
          <w:sz w:val="24"/>
          <w:szCs w:val="28"/>
        </w:rPr>
        <w:t>signalling</w:t>
      </w:r>
      <w:r w:rsidRPr="009F784F">
        <w:rPr>
          <w:rFonts w:cs="Times New Roman"/>
          <w:sz w:val="24"/>
          <w:szCs w:val="28"/>
        </w:rPr>
        <w:t xml:space="preserve"> pathway, in consideration of integrin </w:t>
      </w:r>
      <w:r w:rsidR="00A91985">
        <w:rPr>
          <w:rFonts w:cs="Times New Roman"/>
          <w:sz w:val="24"/>
          <w:szCs w:val="28"/>
        </w:rPr>
        <w:t>αVβ</w:t>
      </w:r>
      <w:r w:rsidR="00144698">
        <w:rPr>
          <w:rFonts w:cs="Times New Roman"/>
          <w:sz w:val="24"/>
          <w:szCs w:val="28"/>
        </w:rPr>
        <w:t xml:space="preserve">3 </w:t>
      </w:r>
      <w:r w:rsidR="00144698" w:rsidRPr="009F784F">
        <w:rPr>
          <w:rFonts w:cs="Times New Roman"/>
          <w:sz w:val="24"/>
          <w:szCs w:val="28"/>
        </w:rPr>
        <w:t>inhibitor</w:t>
      </w:r>
      <w:r w:rsidRPr="009F784F">
        <w:rPr>
          <w:rFonts w:cs="Times New Roman"/>
          <w:sz w:val="24"/>
          <w:szCs w:val="28"/>
        </w:rPr>
        <w:t xml:space="preserve"> (</w:t>
      </w:r>
      <w:proofErr w:type="spellStart"/>
      <w:r w:rsidRPr="009F784F">
        <w:rPr>
          <w:rFonts w:cs="Times New Roman"/>
          <w:sz w:val="24"/>
          <w:szCs w:val="28"/>
        </w:rPr>
        <w:t>cilengitide</w:t>
      </w:r>
      <w:proofErr w:type="spellEnd"/>
      <w:r w:rsidRPr="009F784F">
        <w:rPr>
          <w:rFonts w:cs="Times New Roman"/>
          <w:sz w:val="24"/>
          <w:szCs w:val="28"/>
        </w:rPr>
        <w:t xml:space="preserve">). mTOR activity seen in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 DITPA treated cells was prominently downregulated in the presence of the RGD peptide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 DITPA + RGD) (</w:t>
      </w:r>
      <w:r w:rsidR="006C7C97" w:rsidRPr="009F784F">
        <w:rPr>
          <w:rFonts w:cs="Times New Roman"/>
          <w:sz w:val="24"/>
          <w:szCs w:val="28"/>
        </w:rPr>
        <w:t>supplementary figure 1</w:t>
      </w:r>
      <w:r w:rsidRPr="009F784F">
        <w:rPr>
          <w:rFonts w:cs="Times New Roman"/>
          <w:sz w:val="24"/>
          <w:szCs w:val="28"/>
        </w:rPr>
        <w:t>D), suggesting that potentiation of the AKT</w:t>
      </w:r>
      <w:r w:rsidR="00B26033" w:rsidRPr="009F784F">
        <w:rPr>
          <w:rFonts w:cs="Times New Roman"/>
          <w:sz w:val="24"/>
          <w:szCs w:val="28"/>
        </w:rPr>
        <w:t>–</w:t>
      </w:r>
      <w:r w:rsidRPr="009F784F">
        <w:rPr>
          <w:rFonts w:cs="Times New Roman"/>
          <w:sz w:val="24"/>
          <w:szCs w:val="28"/>
        </w:rPr>
        <w:t xml:space="preserve">mTOR </w:t>
      </w:r>
      <w:r w:rsidR="00144698" w:rsidRPr="009F784F">
        <w:rPr>
          <w:rFonts w:cs="Times New Roman"/>
          <w:sz w:val="24"/>
          <w:szCs w:val="28"/>
        </w:rPr>
        <w:t>signalling</w:t>
      </w:r>
      <w:r w:rsidRPr="009F784F">
        <w:rPr>
          <w:rFonts w:cs="Times New Roman"/>
          <w:sz w:val="24"/>
          <w:szCs w:val="28"/>
        </w:rPr>
        <w:t xml:space="preserve"> pathway in human OPCs, was specifically compromised when we antagonized </w:t>
      </w:r>
      <w:r w:rsidR="00A91985">
        <w:rPr>
          <w:rFonts w:cs="Times New Roman"/>
          <w:sz w:val="24"/>
          <w:szCs w:val="28"/>
        </w:rPr>
        <w:t>αVβ</w:t>
      </w:r>
      <w:r w:rsidR="00144698">
        <w:rPr>
          <w:rFonts w:cs="Times New Roman"/>
          <w:sz w:val="24"/>
          <w:szCs w:val="28"/>
        </w:rPr>
        <w:t xml:space="preserve">3 </w:t>
      </w:r>
      <w:r w:rsidR="00144698" w:rsidRPr="009F784F">
        <w:rPr>
          <w:rFonts w:cs="Times New Roman"/>
          <w:sz w:val="24"/>
          <w:szCs w:val="28"/>
        </w:rPr>
        <w:t>activation</w:t>
      </w:r>
      <w:r w:rsidRPr="009F784F">
        <w:rPr>
          <w:rFonts w:cs="Times New Roman"/>
          <w:sz w:val="24"/>
          <w:szCs w:val="28"/>
        </w:rPr>
        <w:t xml:space="preserve"> to exert its neurobiological effects of cell survival, proliferation, and differentiation. In consideration of mTOR as the primary effector mechanism of AKT</w:t>
      </w:r>
      <w:r w:rsidR="00D3137A" w:rsidRPr="009F784F">
        <w:rPr>
          <w:rFonts w:cs="Times New Roman"/>
          <w:sz w:val="24"/>
          <w:szCs w:val="28"/>
        </w:rPr>
        <w:t>–</w:t>
      </w:r>
      <w:r w:rsidRPr="009F784F">
        <w:rPr>
          <w:rFonts w:cs="Times New Roman"/>
          <w:sz w:val="24"/>
          <w:szCs w:val="28"/>
        </w:rPr>
        <w:t>induced myelination</w:t>
      </w:r>
      <w:r w:rsidR="00B26033" w:rsidRPr="009F784F">
        <w:rPr>
          <w:rFonts w:cs="Times New Roman"/>
          <w:sz w:val="24"/>
          <w:szCs w:val="28"/>
        </w:rPr>
        <w:t>,</w:t>
      </w:r>
      <w:r w:rsidRPr="009F784F">
        <w:rPr>
          <w:rFonts w:cs="Times New Roman"/>
          <w:sz w:val="24"/>
          <w:szCs w:val="28"/>
        </w:rPr>
        <w:fldChar w:fldCharType="begin">
          <w:fldData xml:space="preserve">PEVuZE5vdGU+PENpdGU+PEF1dGhvcj5OYXJheWFuYW48L0F1dGhvcj48WWVhcj4yMDA5PC9ZZWFy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==
</w:fldData>
        </w:fldChar>
      </w:r>
      <w:r w:rsidR="00D614B1" w:rsidRPr="009F784F">
        <w:rPr>
          <w:rFonts w:cs="Times New Roman"/>
          <w:sz w:val="24"/>
          <w:szCs w:val="28"/>
        </w:rPr>
        <w:instrText xml:space="preserve"> ADDIN EN.CITE </w:instrText>
      </w:r>
      <w:r w:rsidR="00D614B1" w:rsidRPr="009F784F">
        <w:rPr>
          <w:rFonts w:cs="Times New Roman"/>
          <w:sz w:val="24"/>
          <w:szCs w:val="28"/>
        </w:rPr>
        <w:fldChar w:fldCharType="begin">
          <w:fldData xml:space="preserve">PEVuZE5vdGU+PENpdGU+PEF1dGhvcj5OYXJheWFuYW48L0F1dGhvcj48WWVhcj4yMDA5PC9ZZWFy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==
</w:fldData>
        </w:fldChar>
      </w:r>
      <w:r w:rsidR="00D614B1" w:rsidRPr="009F784F">
        <w:rPr>
          <w:rFonts w:cs="Times New Roman"/>
          <w:sz w:val="24"/>
          <w:szCs w:val="28"/>
        </w:rPr>
        <w:instrText xml:space="preserve"> ADDIN EN.CITE.DATA </w:instrText>
      </w:r>
      <w:r w:rsidR="00D614B1" w:rsidRPr="009F784F">
        <w:rPr>
          <w:rFonts w:cs="Times New Roman"/>
          <w:sz w:val="24"/>
          <w:szCs w:val="28"/>
        </w:rPr>
      </w:r>
      <w:r w:rsidR="00D614B1"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614B1" w:rsidRPr="009F784F">
        <w:rPr>
          <w:rFonts w:cs="Times New Roman"/>
          <w:noProof/>
          <w:sz w:val="24"/>
          <w:szCs w:val="28"/>
          <w:vertAlign w:val="superscript"/>
        </w:rPr>
        <w:t>20</w:t>
      </w:r>
      <w:r w:rsidRPr="009F784F">
        <w:rPr>
          <w:rFonts w:cs="Times New Roman"/>
          <w:sz w:val="24"/>
          <w:szCs w:val="28"/>
        </w:rPr>
        <w:fldChar w:fldCharType="end"/>
      </w:r>
      <w:r w:rsidRPr="009F784F">
        <w:rPr>
          <w:rFonts w:cs="Times New Roman"/>
          <w:sz w:val="24"/>
          <w:szCs w:val="28"/>
        </w:rPr>
        <w:t xml:space="preserve"> the current study proposed to demonstrate the inhibition of p</w:t>
      </w:r>
      <w:r w:rsidR="00D3137A" w:rsidRPr="009F784F">
        <w:rPr>
          <w:rFonts w:cs="Times New Roman"/>
          <w:sz w:val="24"/>
          <w:szCs w:val="28"/>
        </w:rPr>
        <w:t>–</w:t>
      </w:r>
      <w:r w:rsidRPr="009F784F">
        <w:rPr>
          <w:rFonts w:cs="Times New Roman"/>
          <w:sz w:val="24"/>
          <w:szCs w:val="28"/>
        </w:rPr>
        <w:t xml:space="preserve">mTOR activity through antagonizing the integrin </w:t>
      </w:r>
      <w:r w:rsidR="00A91985">
        <w:rPr>
          <w:rFonts w:cs="Times New Roman"/>
          <w:sz w:val="24"/>
          <w:szCs w:val="28"/>
        </w:rPr>
        <w:t>αVβ</w:t>
      </w:r>
      <w:r w:rsidR="00144698">
        <w:rPr>
          <w:rFonts w:cs="Times New Roman"/>
          <w:sz w:val="24"/>
          <w:szCs w:val="28"/>
        </w:rPr>
        <w:t>3.</w:t>
      </w:r>
      <w:r w:rsidRPr="009F784F">
        <w:rPr>
          <w:rFonts w:cs="Times New Roman"/>
          <w:sz w:val="24"/>
          <w:szCs w:val="28"/>
        </w:rPr>
        <w:t xml:space="preserve"> Immunoprecipitation of total</w:t>
      </w:r>
      <w:r w:rsidR="00D3137A" w:rsidRPr="009F784F">
        <w:rPr>
          <w:rFonts w:cs="Times New Roman"/>
          <w:sz w:val="24"/>
          <w:szCs w:val="28"/>
        </w:rPr>
        <w:t>–</w:t>
      </w:r>
      <w:r w:rsidRPr="009F784F">
        <w:rPr>
          <w:rFonts w:cs="Times New Roman"/>
          <w:sz w:val="24"/>
          <w:szCs w:val="28"/>
        </w:rPr>
        <w:t>mTOR utilizing HES3 cell lysate was performed, allowing for the detection of p</w:t>
      </w:r>
      <w:r w:rsidR="00D3137A" w:rsidRPr="009F784F">
        <w:rPr>
          <w:rFonts w:cs="Times New Roman"/>
          <w:sz w:val="24"/>
          <w:szCs w:val="28"/>
        </w:rPr>
        <w:t>–</w:t>
      </w:r>
      <w:r w:rsidRPr="009F784F">
        <w:rPr>
          <w:rFonts w:cs="Times New Roman"/>
          <w:sz w:val="24"/>
          <w:szCs w:val="28"/>
        </w:rPr>
        <w:t>mTOR through use of an anti</w:t>
      </w:r>
      <w:r w:rsidR="00D3137A" w:rsidRPr="009F784F">
        <w:rPr>
          <w:rFonts w:cs="Times New Roman"/>
          <w:sz w:val="24"/>
          <w:szCs w:val="28"/>
        </w:rPr>
        <w:t>–</w:t>
      </w:r>
      <w:r w:rsidRPr="009F784F">
        <w:rPr>
          <w:rFonts w:cs="Times New Roman"/>
          <w:sz w:val="24"/>
          <w:szCs w:val="28"/>
        </w:rPr>
        <w:t>p</w:t>
      </w:r>
      <w:r w:rsidR="00D3137A" w:rsidRPr="009F784F">
        <w:rPr>
          <w:rFonts w:cs="Times New Roman"/>
          <w:sz w:val="24"/>
          <w:szCs w:val="28"/>
        </w:rPr>
        <w:t>–</w:t>
      </w:r>
      <w:r w:rsidRPr="009F784F">
        <w:rPr>
          <w:rFonts w:cs="Times New Roman"/>
          <w:sz w:val="24"/>
          <w:szCs w:val="28"/>
        </w:rPr>
        <w:t>mTOR antibody. We observed a decrease in p</w:t>
      </w:r>
      <w:r w:rsidR="00D3137A" w:rsidRPr="009F784F">
        <w:rPr>
          <w:rFonts w:cs="Times New Roman"/>
          <w:sz w:val="24"/>
          <w:szCs w:val="28"/>
        </w:rPr>
        <w:t>–</w:t>
      </w:r>
      <w:r w:rsidRPr="009F784F">
        <w:rPr>
          <w:rFonts w:cs="Times New Roman"/>
          <w:sz w:val="24"/>
          <w:szCs w:val="28"/>
        </w:rPr>
        <w:t xml:space="preserve">mTOR activity in </w:t>
      </w:r>
      <w:r w:rsidRPr="009F784F">
        <w:rPr>
          <w:rFonts w:cs="Times New Roman"/>
          <w:i/>
          <w:iCs/>
          <w:sz w:val="24"/>
          <w:szCs w:val="28"/>
        </w:rPr>
        <w:t>SLC16A2</w:t>
      </w:r>
      <w:r w:rsidR="00D3137A" w:rsidRPr="009F784F">
        <w:rPr>
          <w:rFonts w:cs="Times New Roman"/>
          <w:sz w:val="24"/>
          <w:szCs w:val="28"/>
        </w:rPr>
        <w:t>–</w:t>
      </w:r>
      <w:r w:rsidRPr="009F784F">
        <w:rPr>
          <w:rFonts w:cs="Times New Roman"/>
          <w:sz w:val="24"/>
          <w:szCs w:val="28"/>
        </w:rPr>
        <w:t>shRNA + DITPA + RGD treated cells relative to (TRIAC + RGD) treated cells (</w:t>
      </w:r>
      <w:r w:rsidR="003C13B8" w:rsidRPr="009F784F">
        <w:rPr>
          <w:rFonts w:cs="Times New Roman"/>
          <w:sz w:val="24"/>
          <w:szCs w:val="28"/>
        </w:rPr>
        <w:t>supplementary figure 1</w:t>
      </w:r>
      <w:r w:rsidRPr="009F784F">
        <w:rPr>
          <w:rFonts w:cs="Times New Roman"/>
          <w:sz w:val="24"/>
          <w:szCs w:val="28"/>
        </w:rPr>
        <w:t>E), suggesting that p</w:t>
      </w:r>
      <w:r w:rsidR="00D3137A" w:rsidRPr="009F784F">
        <w:rPr>
          <w:rFonts w:cs="Times New Roman"/>
          <w:sz w:val="24"/>
          <w:szCs w:val="28"/>
        </w:rPr>
        <w:t>–</w:t>
      </w:r>
      <w:r w:rsidRPr="009F784F">
        <w:rPr>
          <w:rFonts w:cs="Times New Roman"/>
          <w:sz w:val="24"/>
          <w:szCs w:val="28"/>
        </w:rPr>
        <w:t xml:space="preserve">mTOR may be potentiated by DITPA through the integrin </w:t>
      </w:r>
      <w:r w:rsidR="00A91985">
        <w:rPr>
          <w:rFonts w:cs="Times New Roman"/>
          <w:sz w:val="24"/>
          <w:szCs w:val="28"/>
        </w:rPr>
        <w:t>αVβ</w:t>
      </w:r>
      <w:r w:rsidR="009E3152">
        <w:rPr>
          <w:rFonts w:cs="Times New Roman"/>
          <w:sz w:val="24"/>
          <w:szCs w:val="28"/>
        </w:rPr>
        <w:t>3.</w:t>
      </w:r>
    </w:p>
    <w:p w14:paraId="2F8ADC67" w14:textId="111C617C" w:rsidR="009F0910" w:rsidRPr="009F784F" w:rsidRDefault="009F0910" w:rsidP="00641B58">
      <w:pPr>
        <w:spacing w:line="480" w:lineRule="auto"/>
        <w:rPr>
          <w:rFonts w:cs="Times New Roman"/>
          <w:sz w:val="24"/>
          <w:szCs w:val="28"/>
        </w:rPr>
      </w:pPr>
      <w:bookmarkStart w:id="42" w:name="_Hlk199410028"/>
      <w:r w:rsidRPr="009F784F">
        <w:rPr>
          <w:rFonts w:cs="Times New Roman"/>
          <w:sz w:val="24"/>
          <w:szCs w:val="28"/>
        </w:rPr>
        <w:t>Since DITPA treated OPCs demonstrated enhanced myelination in co</w:t>
      </w:r>
      <w:r w:rsidR="00D3137A" w:rsidRPr="009F784F">
        <w:rPr>
          <w:rFonts w:cs="Times New Roman"/>
          <w:sz w:val="24"/>
          <w:szCs w:val="28"/>
        </w:rPr>
        <w:t>–</w:t>
      </w:r>
      <w:r w:rsidRPr="009F784F">
        <w:rPr>
          <w:rFonts w:cs="Times New Roman"/>
          <w:sz w:val="24"/>
          <w:szCs w:val="28"/>
        </w:rPr>
        <w:t xml:space="preserve">culture experiments that included HES3 OPCs and rat ganglion cells (RGCs) with T3 or DITPA at 10 </w:t>
      </w:r>
      <w:proofErr w:type="spellStart"/>
      <w:r w:rsidRPr="009F784F">
        <w:rPr>
          <w:rFonts w:cs="Times New Roman"/>
          <w:sz w:val="24"/>
          <w:szCs w:val="28"/>
        </w:rPr>
        <w:t>nM</w:t>
      </w:r>
      <w:proofErr w:type="spellEnd"/>
      <w:r w:rsidRPr="009F784F">
        <w:rPr>
          <w:rFonts w:cs="Times New Roman"/>
          <w:sz w:val="24"/>
          <w:szCs w:val="28"/>
        </w:rPr>
        <w:t xml:space="preserve"> over a span </w:t>
      </w:r>
      <w:r w:rsidRPr="009F784F">
        <w:rPr>
          <w:rFonts w:cs="Times New Roman"/>
          <w:sz w:val="24"/>
          <w:szCs w:val="28"/>
        </w:rPr>
        <w:lastRenderedPageBreak/>
        <w:t>of 72 h, these co</w:t>
      </w:r>
      <w:r w:rsidR="00D3137A" w:rsidRPr="009F784F">
        <w:rPr>
          <w:rFonts w:cs="Times New Roman"/>
          <w:sz w:val="24"/>
          <w:szCs w:val="28"/>
        </w:rPr>
        <w:t>–</w:t>
      </w:r>
      <w:r w:rsidRPr="009F784F">
        <w:rPr>
          <w:rFonts w:cs="Times New Roman"/>
          <w:sz w:val="24"/>
          <w:szCs w:val="28"/>
        </w:rPr>
        <w:t>cultures were subsequently stained for MBP, neurofilament protein 200 (NF200) and counterstained with DAPI</w:t>
      </w:r>
      <w:r w:rsidR="001236B2" w:rsidRPr="009F784F">
        <w:rPr>
          <w:rFonts w:cs="Times New Roman"/>
          <w:sz w:val="24"/>
          <w:szCs w:val="28"/>
        </w:rPr>
        <w:t>,</w:t>
      </w:r>
      <w:r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 </w:instrText>
      </w:r>
      <w:r w:rsidR="00D3137A" w:rsidRPr="009F784F">
        <w:rPr>
          <w:rFonts w:cs="Times New Roman"/>
          <w:sz w:val="24"/>
          <w:szCs w:val="28"/>
        </w:rPr>
        <w:fldChar w:fldCharType="begin">
          <w:fldData xml:space="preserve">PEVuZE5vdGU+PENpdGU+PEF1dGhvcj5MZWU8L0F1dGhvcj48WWVhcj4yMDE3PC9ZZWFyPjxSZWNO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</w:fldData>
        </w:fldChar>
      </w:r>
      <w:r w:rsidR="00D3137A" w:rsidRPr="009F784F">
        <w:rPr>
          <w:rFonts w:cs="Times New Roman"/>
          <w:sz w:val="24"/>
          <w:szCs w:val="28"/>
        </w:rPr>
        <w:instrText xml:space="preserve"> ADDIN EN.CITE.DATA </w:instrText>
      </w:r>
      <w:r w:rsidR="00D3137A" w:rsidRPr="009F784F">
        <w:rPr>
          <w:rFonts w:cs="Times New Roman"/>
          <w:sz w:val="24"/>
          <w:szCs w:val="28"/>
        </w:rPr>
      </w:r>
      <w:r w:rsidR="00D3137A" w:rsidRPr="009F784F">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D3137A" w:rsidRPr="009F784F">
        <w:rPr>
          <w:rFonts w:cs="Times New Roman"/>
          <w:noProof/>
          <w:sz w:val="24"/>
          <w:szCs w:val="28"/>
          <w:vertAlign w:val="superscript"/>
        </w:rPr>
        <w:t>1</w:t>
      </w:r>
      <w:r w:rsidRPr="009F784F">
        <w:rPr>
          <w:rFonts w:cs="Times New Roman"/>
          <w:sz w:val="24"/>
          <w:szCs w:val="28"/>
        </w:rPr>
        <w:fldChar w:fldCharType="end"/>
      </w:r>
      <w:r w:rsidRPr="009F784F">
        <w:rPr>
          <w:rFonts w:cs="Times New Roman"/>
          <w:sz w:val="24"/>
          <w:szCs w:val="28"/>
        </w:rPr>
        <w:t xml:space="preserve"> with these </w:t>
      </w:r>
      <w:r w:rsidR="009E3152" w:rsidRPr="009F784F">
        <w:rPr>
          <w:rFonts w:cs="Times New Roman"/>
          <w:sz w:val="24"/>
          <w:szCs w:val="28"/>
        </w:rPr>
        <w:t>labelled</w:t>
      </w:r>
      <w:r w:rsidRPr="009F784F">
        <w:rPr>
          <w:rFonts w:cs="Times New Roman"/>
          <w:sz w:val="24"/>
          <w:szCs w:val="28"/>
        </w:rPr>
        <w:t xml:space="preserve"> cells rendered in 3</w:t>
      </w:r>
      <w:r w:rsidR="00D3137A" w:rsidRPr="009F784F">
        <w:rPr>
          <w:rFonts w:cs="Times New Roman"/>
          <w:sz w:val="24"/>
          <w:szCs w:val="28"/>
        </w:rPr>
        <w:t>–</w:t>
      </w:r>
      <w:r w:rsidRPr="009F784F">
        <w:rPr>
          <w:rFonts w:cs="Times New Roman"/>
          <w:sz w:val="24"/>
          <w:szCs w:val="28"/>
        </w:rPr>
        <w:t>D imaging to clearly assess the level of myelin coverage (MBP</w:t>
      </w:r>
      <w:r w:rsidRPr="009F784F">
        <w:rPr>
          <w:rFonts w:cs="Times New Roman"/>
          <w:sz w:val="24"/>
          <w:szCs w:val="28"/>
          <w:vertAlign w:val="superscript"/>
        </w:rPr>
        <w:t>+</w:t>
      </w:r>
      <w:r w:rsidRPr="009F784F">
        <w:rPr>
          <w:rFonts w:cs="Times New Roman"/>
          <w:sz w:val="24"/>
          <w:szCs w:val="28"/>
        </w:rPr>
        <w:t>) over extended NF200</w:t>
      </w:r>
      <w:r w:rsidRPr="009F784F">
        <w:rPr>
          <w:rFonts w:cs="Times New Roman"/>
          <w:sz w:val="24"/>
          <w:szCs w:val="28"/>
          <w:vertAlign w:val="superscript"/>
        </w:rPr>
        <w:t>+</w:t>
      </w:r>
      <w:r w:rsidRPr="009F784F">
        <w:rPr>
          <w:rFonts w:cs="Times New Roman"/>
          <w:sz w:val="24"/>
          <w:szCs w:val="28"/>
        </w:rPr>
        <w:t xml:space="preserve"> extended axon segments. The elevated co</w:t>
      </w:r>
      <w:r w:rsidR="00D3137A" w:rsidRPr="009F784F">
        <w:rPr>
          <w:rFonts w:cs="Times New Roman"/>
          <w:sz w:val="24"/>
          <w:szCs w:val="28"/>
        </w:rPr>
        <w:t>–</w:t>
      </w:r>
      <w:r w:rsidRPr="009F784F">
        <w:rPr>
          <w:rFonts w:cs="Times New Roman"/>
          <w:sz w:val="24"/>
          <w:szCs w:val="28"/>
        </w:rPr>
        <w:t>culture levels of MBP</w:t>
      </w:r>
      <w:r w:rsidRPr="009F784F">
        <w:rPr>
          <w:rFonts w:cs="Times New Roman"/>
          <w:sz w:val="24"/>
          <w:szCs w:val="28"/>
          <w:vertAlign w:val="superscript"/>
        </w:rPr>
        <w:t>+</w:t>
      </w:r>
      <w:r w:rsidRPr="009F784F">
        <w:rPr>
          <w:rFonts w:cs="Times New Roman"/>
          <w:sz w:val="24"/>
          <w:szCs w:val="28"/>
        </w:rPr>
        <w:t xml:space="preserve"> expression corresponding to enhanced MBP ensheathment of RGC axons was seen following DITPA treatment when compared to T3 (</w:t>
      </w:r>
      <w:r w:rsidR="003C13B8" w:rsidRPr="009F784F">
        <w:rPr>
          <w:rFonts w:cs="Times New Roman"/>
          <w:sz w:val="24"/>
          <w:szCs w:val="28"/>
        </w:rPr>
        <w:t>supplementary figure 1</w:t>
      </w:r>
      <w:r w:rsidRPr="009F784F">
        <w:rPr>
          <w:rFonts w:cs="Times New Roman"/>
          <w:sz w:val="24"/>
          <w:szCs w:val="28"/>
        </w:rPr>
        <w:t>F</w:t>
      </w:r>
      <w:r w:rsidR="00D3137A" w:rsidRPr="009F784F">
        <w:rPr>
          <w:rFonts w:cs="Times New Roman"/>
          <w:sz w:val="24"/>
          <w:szCs w:val="28"/>
        </w:rPr>
        <w:t>–</w:t>
      </w:r>
      <w:r w:rsidRPr="009F784F">
        <w:rPr>
          <w:rFonts w:cs="Times New Roman"/>
          <w:sz w:val="24"/>
          <w:szCs w:val="28"/>
        </w:rPr>
        <w:t>H), indicative of an ability of DITPA to induce TH</w:t>
      </w:r>
      <w:r w:rsidR="00D3137A" w:rsidRPr="009F784F">
        <w:rPr>
          <w:rFonts w:cs="Times New Roman"/>
          <w:sz w:val="24"/>
          <w:szCs w:val="28"/>
        </w:rPr>
        <w:t>–</w:t>
      </w:r>
      <w:r w:rsidRPr="009F784F">
        <w:rPr>
          <w:rFonts w:cs="Times New Roman"/>
          <w:sz w:val="24"/>
          <w:szCs w:val="28"/>
        </w:rPr>
        <w:t xml:space="preserve">dependent expression of MBP in the context of MCT8 knockdown. </w:t>
      </w:r>
      <w:r w:rsidR="003C13B8" w:rsidRPr="009F784F">
        <w:rPr>
          <w:rFonts w:cs="Times New Roman"/>
          <w:sz w:val="24"/>
          <w:szCs w:val="28"/>
        </w:rPr>
        <w:t xml:space="preserve"> </w:t>
      </w:r>
    </w:p>
    <w:p w14:paraId="7D3619AE" w14:textId="5DE31104" w:rsidR="009F0910" w:rsidRPr="009F784F" w:rsidRDefault="009F0910" w:rsidP="00641B58">
      <w:pPr>
        <w:spacing w:line="480" w:lineRule="auto"/>
        <w:rPr>
          <w:rFonts w:eastAsia="Times New Roman" w:cs="Times New Roman"/>
          <w:sz w:val="24"/>
          <w:szCs w:val="28"/>
        </w:rPr>
      </w:pPr>
      <w:bookmarkStart w:id="43" w:name="_Hlk199411883"/>
      <w:bookmarkEnd w:id="42"/>
      <w:r w:rsidRPr="009F784F">
        <w:rPr>
          <w:rFonts w:eastAsia="Times New Roman" w:cs="Times New Roman"/>
          <w:color w:val="000000"/>
          <w:sz w:val="24"/>
          <w:szCs w:val="28"/>
        </w:rPr>
        <w:t>Further elucidation of the non</w:t>
      </w:r>
      <w:r w:rsidR="00D3137A" w:rsidRPr="009F784F">
        <w:rPr>
          <w:rFonts w:eastAsia="Times New Roman" w:cs="Times New Roman"/>
          <w:color w:val="000000"/>
          <w:sz w:val="24"/>
          <w:szCs w:val="28"/>
        </w:rPr>
        <w:t>–</w:t>
      </w:r>
      <w:r w:rsidRPr="009F784F">
        <w:rPr>
          <w:rFonts w:eastAsia="Times New Roman" w:cs="Times New Roman"/>
          <w:color w:val="000000"/>
          <w:sz w:val="24"/>
          <w:szCs w:val="28"/>
        </w:rPr>
        <w:t xml:space="preserve">genomic </w:t>
      </w:r>
      <w:r w:rsidR="009E3152" w:rsidRPr="009F784F">
        <w:rPr>
          <w:rFonts w:eastAsia="Times New Roman" w:cs="Times New Roman"/>
          <w:color w:val="000000"/>
          <w:sz w:val="24"/>
          <w:szCs w:val="28"/>
        </w:rPr>
        <w:t>signalling</w:t>
      </w:r>
      <w:r w:rsidRPr="009F784F">
        <w:rPr>
          <w:rFonts w:eastAsia="Times New Roman" w:cs="Times New Roman"/>
          <w:color w:val="000000"/>
          <w:sz w:val="24"/>
          <w:szCs w:val="28"/>
        </w:rPr>
        <w:t xml:space="preserve"> was performed by conducting OL cell culturing using human OPCs under maturation conditions, over 48</w:t>
      </w:r>
      <w:r w:rsidR="00D3137A" w:rsidRPr="009F784F">
        <w:rPr>
          <w:rFonts w:eastAsia="Times New Roman" w:cs="Times New Roman"/>
          <w:color w:val="000000"/>
          <w:sz w:val="24"/>
          <w:szCs w:val="28"/>
        </w:rPr>
        <w:t>–</w:t>
      </w:r>
      <w:r w:rsidRPr="009F784F">
        <w:rPr>
          <w:rFonts w:eastAsia="Times New Roman" w:cs="Times New Roman"/>
          <w:color w:val="000000"/>
          <w:sz w:val="24"/>
          <w:szCs w:val="28"/>
        </w:rPr>
        <w:t>hour time interval. This was to assess what intracellular inhibition of PI3K</w:t>
      </w:r>
      <w:r w:rsidR="001236B2" w:rsidRPr="009F784F">
        <w:rPr>
          <w:rFonts w:eastAsia="Times New Roman" w:cs="Times New Roman"/>
          <w:color w:val="000000"/>
          <w:sz w:val="24"/>
          <w:szCs w:val="28"/>
        </w:rPr>
        <w:t>–</w:t>
      </w:r>
      <w:r w:rsidRPr="009F784F">
        <w:rPr>
          <w:rFonts w:eastAsia="Times New Roman" w:cs="Times New Roman"/>
          <w:color w:val="000000"/>
          <w:sz w:val="24"/>
          <w:szCs w:val="28"/>
        </w:rPr>
        <w:t>A</w:t>
      </w:r>
      <w:r w:rsidRPr="009F784F">
        <w:rPr>
          <w:rFonts w:cs="Times New Roman"/>
          <w:sz w:val="24"/>
          <w:szCs w:val="28"/>
        </w:rPr>
        <w:t>KT</w:t>
      </w:r>
      <w:r w:rsidRPr="009F784F">
        <w:rPr>
          <w:rFonts w:eastAsia="Times New Roman" w:cs="Times New Roman"/>
          <w:color w:val="000000"/>
          <w:sz w:val="24"/>
          <w:szCs w:val="28"/>
        </w:rPr>
        <w:t xml:space="preserve"> and MAPK pathways would achieve and the impact of DITPA on these cultures. When inhibiting the PI3K</w:t>
      </w:r>
      <w:r w:rsidR="001236B2" w:rsidRPr="009F784F">
        <w:rPr>
          <w:rFonts w:eastAsia="Times New Roman" w:cs="Times New Roman"/>
          <w:color w:val="000000"/>
          <w:sz w:val="24"/>
          <w:szCs w:val="28"/>
        </w:rPr>
        <w:t>–</w:t>
      </w:r>
      <w:r w:rsidRPr="009F784F">
        <w:rPr>
          <w:rFonts w:eastAsia="Times New Roman" w:cs="Times New Roman"/>
          <w:color w:val="000000"/>
          <w:sz w:val="24"/>
          <w:szCs w:val="28"/>
        </w:rPr>
        <w:t>A</w:t>
      </w:r>
      <w:r w:rsidRPr="009F784F">
        <w:rPr>
          <w:rFonts w:cs="Times New Roman"/>
          <w:sz w:val="24"/>
          <w:szCs w:val="28"/>
        </w:rPr>
        <w:t>KT</w:t>
      </w:r>
      <w:r w:rsidRPr="009F784F">
        <w:rPr>
          <w:rFonts w:eastAsia="Times New Roman" w:cs="Times New Roman"/>
          <w:color w:val="000000"/>
          <w:sz w:val="24"/>
          <w:szCs w:val="28"/>
        </w:rPr>
        <w:t xml:space="preserve"> pathway, cell viability was not inhibited until a concentration reached 80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of inhibitor in the culture medium. Increasing the concentration of PI</w:t>
      </w:r>
      <w:r w:rsidR="00D3137A" w:rsidRPr="009F784F">
        <w:rPr>
          <w:rFonts w:eastAsia="Times New Roman" w:cs="Times New Roman"/>
          <w:color w:val="000000"/>
          <w:sz w:val="24"/>
          <w:szCs w:val="28"/>
        </w:rPr>
        <w:t>–</w:t>
      </w:r>
      <w:r w:rsidRPr="009F784F">
        <w:rPr>
          <w:rFonts w:eastAsia="Times New Roman" w:cs="Times New Roman"/>
          <w:color w:val="000000"/>
          <w:sz w:val="24"/>
          <w:szCs w:val="28"/>
        </w:rPr>
        <w:t xml:space="preserve">103 to 320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resulted in an ~ 50% reduction in cell viability (</w:t>
      </w:r>
      <w:r w:rsidR="003C13B8" w:rsidRPr="009F784F">
        <w:rPr>
          <w:rFonts w:cs="Times New Roman"/>
          <w:sz w:val="24"/>
          <w:szCs w:val="28"/>
        </w:rPr>
        <w:t>supplementary figure 1</w:t>
      </w:r>
      <w:r w:rsidRPr="009F784F">
        <w:rPr>
          <w:rFonts w:eastAsia="Times New Roman" w:cs="Times New Roman"/>
          <w:color w:val="000000"/>
          <w:sz w:val="24"/>
          <w:szCs w:val="28"/>
        </w:rPr>
        <w:t xml:space="preserve">J). It was interesting to see that the culture treated with DITPA was able to resist inhibition till 160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of inhibitor was supplied. Moreover, at a concentration of 320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inhibition, DITPA was able to significantly rescue OPCs by approximately 30% in comparison to no DITPA administration (</w:t>
      </w:r>
      <w:r w:rsidR="00DA117F" w:rsidRPr="009F784F">
        <w:rPr>
          <w:rFonts w:cs="Times New Roman"/>
          <w:sz w:val="24"/>
          <w:szCs w:val="28"/>
        </w:rPr>
        <w:t>supplementary figure 1</w:t>
      </w:r>
      <w:r w:rsidRPr="009F784F">
        <w:rPr>
          <w:rFonts w:eastAsia="Times New Roman" w:cs="Times New Roman"/>
          <w:color w:val="000000"/>
          <w:sz w:val="24"/>
          <w:szCs w:val="28"/>
        </w:rPr>
        <w:t>J). </w:t>
      </w:r>
    </w:p>
    <w:p w14:paraId="1F84263E" w14:textId="44275C38" w:rsidR="009F0910" w:rsidRPr="009F784F" w:rsidRDefault="009F0910" w:rsidP="00641B58">
      <w:pPr>
        <w:spacing w:line="480" w:lineRule="auto"/>
        <w:rPr>
          <w:rFonts w:eastAsia="Times New Roman" w:cs="Times New Roman"/>
          <w:sz w:val="24"/>
          <w:szCs w:val="28"/>
        </w:rPr>
      </w:pPr>
      <w:r w:rsidRPr="009F784F">
        <w:rPr>
          <w:rFonts w:eastAsia="Times New Roman" w:cs="Times New Roman"/>
          <w:color w:val="000000"/>
          <w:sz w:val="24"/>
          <w:szCs w:val="28"/>
        </w:rPr>
        <w:t xml:space="preserve"> Whereas, when inhibiting the MAPK pathway, there was an insignificant difference between treatment with and without DITPA. Cultures provided with 40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of RDEA119 began to exhibit reduced growth in comparison to 20 </w:t>
      </w:r>
      <w:proofErr w:type="spellStart"/>
      <w:r w:rsidRPr="009F784F">
        <w:rPr>
          <w:rFonts w:eastAsia="Times New Roman" w:cs="Times New Roman"/>
          <w:color w:val="000000"/>
          <w:sz w:val="24"/>
          <w:szCs w:val="28"/>
        </w:rPr>
        <w:t>nM</w:t>
      </w:r>
      <w:proofErr w:type="spellEnd"/>
      <w:r w:rsidRPr="009F784F">
        <w:rPr>
          <w:rFonts w:eastAsia="Times New Roman" w:cs="Times New Roman"/>
          <w:color w:val="000000"/>
          <w:sz w:val="24"/>
          <w:szCs w:val="28"/>
        </w:rPr>
        <w:t xml:space="preserve"> inhibition. However, these levels did exceed basal levels, suggesting potential cell proliferation when inhibiting MAPK pathways. This trend was similar with the DITPA treatment leading to the understanding that the mechanism of DITPA is predominantly through the PI3K</w:t>
      </w:r>
      <w:r w:rsidR="001236B2" w:rsidRPr="009F784F">
        <w:rPr>
          <w:rFonts w:eastAsia="Times New Roman" w:cs="Times New Roman"/>
          <w:color w:val="000000"/>
          <w:sz w:val="24"/>
          <w:szCs w:val="28"/>
        </w:rPr>
        <w:t>–</w:t>
      </w:r>
      <w:r w:rsidRPr="009F784F">
        <w:rPr>
          <w:rFonts w:eastAsia="Times New Roman" w:cs="Times New Roman"/>
          <w:color w:val="000000"/>
          <w:sz w:val="24"/>
          <w:szCs w:val="28"/>
        </w:rPr>
        <w:t>A</w:t>
      </w:r>
      <w:r w:rsidRPr="009F784F">
        <w:rPr>
          <w:rFonts w:cs="Times New Roman"/>
          <w:sz w:val="24"/>
          <w:szCs w:val="28"/>
        </w:rPr>
        <w:t>KT</w:t>
      </w:r>
      <w:r w:rsidRPr="009F784F">
        <w:rPr>
          <w:rFonts w:eastAsia="Times New Roman" w:cs="Times New Roman"/>
          <w:color w:val="000000"/>
          <w:sz w:val="24"/>
          <w:szCs w:val="28"/>
        </w:rPr>
        <w:t xml:space="preserve"> pathway.</w:t>
      </w:r>
      <w:r w:rsidR="001236B2" w:rsidRPr="009F784F">
        <w:rPr>
          <w:rFonts w:eastAsia="Times New Roman" w:cs="Times New Roman"/>
          <w:color w:val="000000"/>
          <w:sz w:val="24"/>
          <w:szCs w:val="28"/>
        </w:rPr>
        <w:t xml:space="preserve"> </w:t>
      </w:r>
    </w:p>
    <w:p w14:paraId="2BBBE015" w14:textId="55544005" w:rsidR="009F0910" w:rsidRPr="009F784F" w:rsidRDefault="009F0910" w:rsidP="00641B58">
      <w:pPr>
        <w:spacing w:line="480" w:lineRule="auto"/>
        <w:rPr>
          <w:rFonts w:cs="Times New Roman"/>
          <w:sz w:val="24"/>
          <w:szCs w:val="28"/>
        </w:rPr>
      </w:pPr>
      <w:r w:rsidRPr="009F784F">
        <w:rPr>
          <w:rFonts w:cs="Times New Roman"/>
          <w:sz w:val="24"/>
          <w:szCs w:val="28"/>
        </w:rPr>
        <w:lastRenderedPageBreak/>
        <w:t xml:space="preserve">To further validate the mechanism by which DITPA can activate the </w:t>
      </w:r>
      <w:r w:rsidR="009E3152" w:rsidRPr="009E3152">
        <w:rPr>
          <w:rFonts w:cs="Times New Roman"/>
          <w:sz w:val="24"/>
          <w:szCs w:val="28"/>
        </w:rPr>
        <w:t>αVβ3</w:t>
      </w:r>
      <w:r w:rsidR="009E3152">
        <w:rPr>
          <w:rFonts w:cs="Times New Roman"/>
          <w:sz w:val="24"/>
          <w:szCs w:val="28"/>
        </w:rPr>
        <w:t xml:space="preserve"> </w:t>
      </w:r>
      <w:r w:rsidRPr="009F784F">
        <w:rPr>
          <w:rFonts w:cs="Times New Roman"/>
          <w:sz w:val="24"/>
          <w:szCs w:val="28"/>
        </w:rPr>
        <w:t>integrin</w:t>
      </w:r>
      <w:r w:rsidR="00D3137A" w:rsidRPr="009F784F">
        <w:rPr>
          <w:rFonts w:cs="Times New Roman"/>
          <w:sz w:val="24"/>
          <w:szCs w:val="28"/>
        </w:rPr>
        <w:t>–</w:t>
      </w:r>
      <w:r w:rsidRPr="009F784F">
        <w:rPr>
          <w:rFonts w:cs="Times New Roman"/>
          <w:sz w:val="24"/>
          <w:szCs w:val="28"/>
        </w:rPr>
        <w:t xml:space="preserve">dependent </w:t>
      </w:r>
      <w:r w:rsidR="009E3152" w:rsidRPr="009F784F">
        <w:rPr>
          <w:rFonts w:cs="Times New Roman"/>
          <w:sz w:val="24"/>
          <w:szCs w:val="28"/>
        </w:rPr>
        <w:t>signalling</w:t>
      </w:r>
      <w:r w:rsidRPr="009F784F">
        <w:rPr>
          <w:rFonts w:cs="Times New Roman"/>
          <w:sz w:val="24"/>
          <w:szCs w:val="28"/>
        </w:rPr>
        <w:t xml:space="preserve"> complex to non</w:t>
      </w:r>
      <w:r w:rsidR="00D3137A" w:rsidRPr="009F784F">
        <w:rPr>
          <w:rFonts w:cs="Times New Roman"/>
          <w:sz w:val="24"/>
          <w:szCs w:val="28"/>
        </w:rPr>
        <w:t>–</w:t>
      </w:r>
      <w:proofErr w:type="spellStart"/>
      <w:r w:rsidRPr="009F784F">
        <w:rPr>
          <w:rFonts w:cs="Times New Roman"/>
          <w:sz w:val="24"/>
          <w:szCs w:val="28"/>
        </w:rPr>
        <w:t>genomically</w:t>
      </w:r>
      <w:proofErr w:type="spellEnd"/>
      <w:r w:rsidRPr="009F784F">
        <w:rPr>
          <w:rFonts w:cs="Times New Roman"/>
          <w:sz w:val="24"/>
          <w:szCs w:val="28"/>
        </w:rPr>
        <w:t xml:space="preserve"> signal in </w:t>
      </w:r>
      <w:proofErr w:type="spellStart"/>
      <w:r w:rsidRPr="009F784F">
        <w:rPr>
          <w:rFonts w:cs="Times New Roman"/>
          <w:sz w:val="24"/>
          <w:szCs w:val="28"/>
        </w:rPr>
        <w:t>oligodendroglial</w:t>
      </w:r>
      <w:proofErr w:type="spellEnd"/>
      <w:r w:rsidRPr="009F784F">
        <w:rPr>
          <w:rFonts w:cs="Times New Roman"/>
          <w:sz w:val="24"/>
          <w:szCs w:val="28"/>
        </w:rPr>
        <w:t xml:space="preserve"> lineage cells, we next performed a series of </w:t>
      </w:r>
      <w:r w:rsidRPr="009F784F">
        <w:rPr>
          <w:rFonts w:cs="Times New Roman"/>
          <w:i/>
          <w:sz w:val="24"/>
          <w:szCs w:val="28"/>
        </w:rPr>
        <w:t>in silico</w:t>
      </w:r>
      <w:r w:rsidRPr="009F784F">
        <w:rPr>
          <w:rFonts w:cs="Times New Roman"/>
          <w:sz w:val="24"/>
          <w:szCs w:val="28"/>
        </w:rPr>
        <w:t xml:space="preserve"> benchmarked assays to demonstrate the binding affinity of DITPA for the </w:t>
      </w:r>
      <w:r w:rsidR="009E3152" w:rsidRPr="009E3152">
        <w:rPr>
          <w:rFonts w:cs="Times New Roman"/>
          <w:sz w:val="24"/>
          <w:szCs w:val="28"/>
        </w:rPr>
        <w:t>αVβ3</w:t>
      </w:r>
      <w:r w:rsidRPr="009F784F">
        <w:rPr>
          <w:rFonts w:cs="Times New Roman"/>
          <w:sz w:val="24"/>
          <w:szCs w:val="28"/>
        </w:rPr>
        <w:t xml:space="preserve"> integrin receptor. We demonstrated that DITPA can enhance the number of PDGFR</w:t>
      </w:r>
      <w:r w:rsidR="00ED1AD9">
        <w:rPr>
          <w:rFonts w:cs="Times New Roman"/>
          <w:sz w:val="24"/>
          <w:szCs w:val="28"/>
        </w:rPr>
        <w:t>α</w:t>
      </w:r>
      <w:r w:rsidRPr="009F784F">
        <w:rPr>
          <w:rFonts w:cs="Times New Roman"/>
          <w:sz w:val="24"/>
          <w:szCs w:val="28"/>
          <w:vertAlign w:val="superscript"/>
        </w:rPr>
        <w:t>+</w:t>
      </w:r>
      <w:r w:rsidRPr="009F784F">
        <w:rPr>
          <w:rFonts w:cs="Times New Roman"/>
          <w:sz w:val="24"/>
          <w:szCs w:val="28"/>
        </w:rPr>
        <w:t>, BCAS1</w:t>
      </w:r>
      <w:r w:rsidRPr="009F784F">
        <w:rPr>
          <w:rFonts w:cs="Times New Roman"/>
          <w:sz w:val="24"/>
          <w:szCs w:val="28"/>
          <w:vertAlign w:val="superscript"/>
        </w:rPr>
        <w:t>+</w:t>
      </w:r>
      <w:r w:rsidR="001236B2" w:rsidRPr="009F784F">
        <w:rPr>
          <w:rFonts w:cs="Times New Roman"/>
          <w:sz w:val="24"/>
          <w:szCs w:val="28"/>
        </w:rPr>
        <w:t xml:space="preserve">, </w:t>
      </w:r>
      <w:r w:rsidRPr="009F784F">
        <w:rPr>
          <w:rFonts w:cs="Times New Roman"/>
          <w:sz w:val="24"/>
          <w:szCs w:val="28"/>
        </w:rPr>
        <w:t>and MBP</w:t>
      </w:r>
      <w:r w:rsidRPr="009F784F">
        <w:rPr>
          <w:rFonts w:cs="Times New Roman"/>
          <w:sz w:val="24"/>
          <w:szCs w:val="28"/>
          <w:vertAlign w:val="superscript"/>
        </w:rPr>
        <w:t>+</w:t>
      </w:r>
      <w:r w:rsidRPr="009F784F">
        <w:rPr>
          <w:rFonts w:cs="Times New Roman"/>
          <w:sz w:val="24"/>
          <w:szCs w:val="28"/>
        </w:rPr>
        <w:t xml:space="preserve"> cells when added at lower concentrations [1 </w:t>
      </w:r>
      <w:proofErr w:type="spellStart"/>
      <w:r w:rsidRPr="009F784F">
        <w:rPr>
          <w:rFonts w:cs="Times New Roman"/>
          <w:sz w:val="24"/>
          <w:szCs w:val="28"/>
        </w:rPr>
        <w:t>nM</w:t>
      </w:r>
      <w:proofErr w:type="spellEnd"/>
      <w:r w:rsidRPr="009F784F">
        <w:rPr>
          <w:rFonts w:cs="Times New Roman"/>
          <w:sz w:val="24"/>
          <w:szCs w:val="28"/>
        </w:rPr>
        <w:t>] to mouse OPC</w:t>
      </w:r>
      <w:r w:rsidR="00D3137A" w:rsidRPr="009F784F">
        <w:rPr>
          <w:rFonts w:cs="Times New Roman"/>
          <w:sz w:val="24"/>
          <w:szCs w:val="28"/>
        </w:rPr>
        <w:t>–</w:t>
      </w:r>
      <w:r w:rsidRPr="009F784F">
        <w:rPr>
          <w:rFonts w:cs="Times New Roman"/>
          <w:sz w:val="24"/>
          <w:szCs w:val="28"/>
        </w:rPr>
        <w:t>line cultures when benchmarked against TRIAC and LT3, along with a well</w:t>
      </w:r>
      <w:r w:rsidR="00D3137A" w:rsidRPr="009F784F">
        <w:rPr>
          <w:rFonts w:cs="Times New Roman"/>
          <w:sz w:val="24"/>
          <w:szCs w:val="28"/>
        </w:rPr>
        <w:t>–</w:t>
      </w:r>
      <w:r w:rsidRPr="009F784F">
        <w:rPr>
          <w:rFonts w:cs="Times New Roman"/>
          <w:sz w:val="24"/>
          <w:szCs w:val="28"/>
        </w:rPr>
        <w:t>established pro</w:t>
      </w:r>
      <w:r w:rsidR="00D3137A" w:rsidRPr="009F784F">
        <w:rPr>
          <w:rFonts w:cs="Times New Roman"/>
          <w:sz w:val="24"/>
          <w:szCs w:val="28"/>
        </w:rPr>
        <w:t>–</w:t>
      </w:r>
      <w:r w:rsidRPr="009F784F">
        <w:rPr>
          <w:rFonts w:cs="Times New Roman"/>
          <w:sz w:val="24"/>
          <w:szCs w:val="28"/>
        </w:rPr>
        <w:t>myelinating small molecule lanthionine ketamine ester</w:t>
      </w:r>
      <w:r w:rsidRPr="009F784F">
        <w:rPr>
          <w:rFonts w:cs="Times New Roman"/>
          <w:sz w:val="24"/>
          <w:szCs w:val="28"/>
        </w:rPr>
        <w:fldChar w:fldCharType="begin"/>
      </w:r>
      <w:r w:rsidR="00D614B1" w:rsidRPr="009F784F">
        <w:rPr>
          <w:rFonts w:cs="Times New Roman"/>
          <w:sz w:val="24"/>
          <w:szCs w:val="28"/>
        </w:rPr>
        <w:instrText xml:space="preserve"> ADDIN EN.CITE &lt;EndNote&gt;&lt;Cite&gt;&lt;Author&gt;Dupree&lt;/Author&gt;&lt;Year&gt;2022&lt;/Year&gt;&lt;RecNum&gt;573&lt;/RecNum&gt;&lt;DisplayText&gt;&lt;style face="superscript"&gt;21&lt;/style&gt;&lt;/DisplayText&gt;&lt;record&gt;&lt;rec-number&gt;573&lt;/rec-number&gt;&lt;foreign-keys&gt;&lt;key app="EN" db-id="05xad0tf15f9weepssy5td09frpw0wxe5vfa" timestamp="1739175041"&gt;573&lt;/key&gt;&lt;/foreign-keys&gt;&lt;ref-type name="Journal Article"&gt;17&lt;/ref-type&gt;&lt;contributors&gt;&lt;authors&gt;&lt;author&gt;Dupree, Jeffrey L&lt;/author&gt;&lt;author&gt;Paez, Pablo M&lt;/author&gt;&lt;author&gt;Tiwari-Woodruff, Seema K&lt;/author&gt;&lt;author&gt;Denton, Travis T&lt;/author&gt;&lt;author&gt;Hensley, Kenneth&lt;/author&gt;&lt;author&gt;Angeliu, Christina G&lt;/author&gt;&lt;author&gt;Boullerne, Anne I&lt;/author&gt;&lt;author&gt;Kalinin, Sergey&lt;/author&gt;&lt;author&gt;Egge, Sophia&lt;/author&gt;&lt;author&gt;Cheli, Veronica T&lt;/author&gt;&lt;/authors&gt;&lt;/contributors&gt;&lt;titles&gt;&lt;title&gt;Lanthionine Ketimine ethyl Ester accelerates Remyelination in a mouse model of multiple sclerosis&lt;/title&gt;&lt;secondary-title&gt;ASN neuro&lt;/secondary-title&gt;&lt;/titles&gt;&lt;pages&gt;17590914221112352&lt;/pages&gt;&lt;volume&gt;14&lt;/volume&gt;&lt;dates&gt;&lt;year&gt;2022&lt;/year&gt;&lt;/dates&gt;&lt;isbn&gt;1759-0914&lt;/isbn&gt;&lt;urls&gt;&lt;/urls&gt;&lt;/record&gt;&lt;/Cite&gt;&lt;/EndNote&gt;</w:instrText>
      </w:r>
      <w:r w:rsidRPr="009F784F">
        <w:rPr>
          <w:rFonts w:cs="Times New Roman"/>
          <w:sz w:val="24"/>
          <w:szCs w:val="28"/>
        </w:rPr>
        <w:fldChar w:fldCharType="separate"/>
      </w:r>
      <w:r w:rsidR="00D614B1" w:rsidRPr="009F784F">
        <w:rPr>
          <w:rFonts w:cs="Times New Roman"/>
          <w:noProof/>
          <w:sz w:val="24"/>
          <w:szCs w:val="28"/>
          <w:vertAlign w:val="superscript"/>
        </w:rPr>
        <w:t>21</w:t>
      </w:r>
      <w:r w:rsidRPr="009F784F">
        <w:rPr>
          <w:rFonts w:cs="Times New Roman"/>
          <w:sz w:val="24"/>
          <w:szCs w:val="28"/>
        </w:rPr>
        <w:fldChar w:fldCharType="end"/>
      </w:r>
      <w:r w:rsidRPr="009F784F">
        <w:rPr>
          <w:rFonts w:cs="Times New Roman"/>
          <w:sz w:val="24"/>
          <w:szCs w:val="28"/>
        </w:rPr>
        <w:t xml:space="preserve"> (</w:t>
      </w:r>
      <w:r w:rsidR="001236B2" w:rsidRPr="009F784F">
        <w:rPr>
          <w:rFonts w:cs="Times New Roman"/>
          <w:sz w:val="24"/>
          <w:szCs w:val="28"/>
        </w:rPr>
        <w:t>LKE ;</w:t>
      </w:r>
      <w:r w:rsidR="00A34BE2" w:rsidRPr="009F784F">
        <w:rPr>
          <w:rFonts w:cs="Times New Roman"/>
          <w:sz w:val="24"/>
          <w:szCs w:val="28"/>
        </w:rPr>
        <w:t xml:space="preserve"> supplementary figure 1</w:t>
      </w:r>
      <w:r w:rsidRPr="009F784F">
        <w:rPr>
          <w:rFonts w:cs="Times New Roman"/>
          <w:sz w:val="24"/>
          <w:szCs w:val="28"/>
        </w:rPr>
        <w:t xml:space="preserve">K).  Here we also show that DITPA was bound to the </w:t>
      </w:r>
      <w:r w:rsidR="00ED1AD9" w:rsidRPr="00ED1AD9">
        <w:rPr>
          <w:rFonts w:cs="Times New Roman"/>
          <w:sz w:val="24"/>
          <w:szCs w:val="28"/>
        </w:rPr>
        <w:t>αVβ3</w:t>
      </w:r>
      <w:r w:rsidRPr="009F784F">
        <w:rPr>
          <w:rFonts w:cs="Times New Roman"/>
          <w:sz w:val="24"/>
          <w:szCs w:val="28"/>
        </w:rPr>
        <w:t xml:space="preserve"> integrin vitronectin</w:t>
      </w:r>
      <w:r w:rsidR="00D3137A" w:rsidRPr="009F784F">
        <w:rPr>
          <w:rFonts w:cs="Times New Roman"/>
          <w:sz w:val="24"/>
          <w:szCs w:val="28"/>
        </w:rPr>
        <w:t>–</w:t>
      </w:r>
      <w:r w:rsidRPr="009F784F">
        <w:rPr>
          <w:rFonts w:cs="Times New Roman"/>
          <w:sz w:val="24"/>
          <w:szCs w:val="28"/>
        </w:rPr>
        <w:t xml:space="preserve">binding domain with high affinity at all concentrations when administered </w:t>
      </w:r>
      <w:r w:rsidRPr="009F784F">
        <w:rPr>
          <w:rFonts w:cs="Times New Roman"/>
          <w:i/>
          <w:iCs/>
          <w:sz w:val="24"/>
          <w:szCs w:val="28"/>
        </w:rPr>
        <w:t>in silico</w:t>
      </w:r>
      <w:r w:rsidRPr="009F784F">
        <w:rPr>
          <w:rFonts w:cs="Times New Roman"/>
          <w:sz w:val="24"/>
          <w:szCs w:val="28"/>
        </w:rPr>
        <w:t xml:space="preserve"> and assessed via ELISA (</w:t>
      </w:r>
      <w:r w:rsidR="00A34BE2" w:rsidRPr="009F784F">
        <w:rPr>
          <w:rFonts w:cs="Times New Roman"/>
          <w:sz w:val="24"/>
          <w:szCs w:val="28"/>
        </w:rPr>
        <w:t>supplementary figure 1</w:t>
      </w:r>
      <w:r w:rsidRPr="009F784F">
        <w:rPr>
          <w:rFonts w:cs="Times New Roman"/>
          <w:sz w:val="24"/>
          <w:szCs w:val="28"/>
        </w:rPr>
        <w:t xml:space="preserve">L). This binding was greater than what we were able to demonstrate with the known </w:t>
      </w:r>
      <w:r w:rsidR="00ED1AD9" w:rsidRPr="00ED1AD9">
        <w:rPr>
          <w:rFonts w:cs="Times New Roman"/>
          <w:sz w:val="24"/>
          <w:szCs w:val="28"/>
        </w:rPr>
        <w:t>αVβ3</w:t>
      </w:r>
      <w:r w:rsidRPr="009F784F">
        <w:rPr>
          <w:rFonts w:cs="Times New Roman"/>
          <w:sz w:val="24"/>
          <w:szCs w:val="28"/>
        </w:rPr>
        <w:t xml:space="preserve"> integrin antagonist </w:t>
      </w:r>
      <w:proofErr w:type="spellStart"/>
      <w:r w:rsidRPr="009F784F">
        <w:rPr>
          <w:rFonts w:cs="Times New Roman"/>
          <w:sz w:val="24"/>
          <w:szCs w:val="28"/>
        </w:rPr>
        <w:t>cilengitide</w:t>
      </w:r>
      <w:proofErr w:type="spellEnd"/>
      <w:r w:rsidRPr="009F784F">
        <w:rPr>
          <w:rFonts w:cs="Times New Roman"/>
          <w:sz w:val="24"/>
          <w:szCs w:val="28"/>
        </w:rPr>
        <w:t>, that has been demonstrated to reduce AKT phosphorylation</w:t>
      </w:r>
      <w:r w:rsidR="00EC3C93" w:rsidRPr="009F784F">
        <w:rPr>
          <w:rFonts w:cs="Times New Roman"/>
          <w:sz w:val="24"/>
          <w:szCs w:val="28"/>
        </w:rPr>
        <w:t>.</w:t>
      </w:r>
      <w:r w:rsidRPr="009F784F">
        <w:rPr>
          <w:rFonts w:cs="Times New Roman"/>
          <w:sz w:val="24"/>
          <w:szCs w:val="28"/>
        </w:rPr>
        <w:fldChar w:fldCharType="begin"/>
      </w:r>
      <w:r w:rsidR="00D614B1" w:rsidRPr="009F784F">
        <w:rPr>
          <w:rFonts w:cs="Times New Roman"/>
          <w:sz w:val="24"/>
          <w:szCs w:val="28"/>
        </w:rPr>
        <w:instrText xml:space="preserve"> ADDIN EN.CITE &lt;EndNote&gt;&lt;Cite&gt;&lt;Author&gt;Hariharan&lt;/Author&gt;&lt;Year&gt;2007&lt;/Year&gt;&lt;RecNum&gt;574&lt;/RecNum&gt;&lt;DisplayText&gt;&lt;style face="superscript"&gt;22&lt;/style&gt;&lt;/DisplayText&gt;&lt;record&gt;&lt;rec-number&gt;574&lt;/rec-number&gt;&lt;foreign-keys&gt;&lt;key app="EN" db-id="05xad0tf15f9weepssy5td09frpw0wxe5vfa" timestamp="1739175744"&gt;574&lt;/key&gt;&lt;/foreign-keys&gt;&lt;ref-type name="Journal Article"&gt;17&lt;/ref-type&gt;&lt;contributors&gt;&lt;authors&gt;&lt;author&gt;Hariharan, S&lt;/author&gt;&lt;author&gt;Gustafson, D&lt;/author&gt;&lt;author&gt;Holden, S&lt;/author&gt;&lt;author&gt;McConkey, D&lt;/author&gt;&lt;author&gt;Davis, D&lt;/author&gt;&lt;author&gt;Morrow, M&lt;/author&gt;&lt;author&gt;Basche, M&lt;/author&gt;&lt;author&gt;Gore, L&lt;/author&gt;&lt;author&gt;Zang, C&lt;/author&gt;&lt;author&gt;O&amp;apos;Bryant, CL&lt;/author&gt;&lt;/authors&gt;&lt;/contributors&gt;&lt;titles&gt;&lt;title&gt;Assessment of the biological and pharmacological effects of the ανβ3 and ανβ5 integrin receptor antagonist, cilengitide (EMD 121974), in patients with advanced solid tumors&lt;/title&gt;&lt;secondary-title&gt;Annals of oncology&lt;/secondary-title&gt;&lt;/titles&gt;&lt;pages&gt;1400-1407&lt;/pages&gt;&lt;volume&gt;18&lt;/volume&gt;&lt;number&gt;8&lt;/number&gt;&lt;dates&gt;&lt;year&gt;2007&lt;/year&gt;&lt;/dates&gt;&lt;isbn&gt;0923-7534&lt;/isbn&gt;&lt;urls&gt;&lt;/urls&gt;&lt;/record&gt;&lt;/Cite&gt;&lt;/EndNote&gt;</w:instrText>
      </w:r>
      <w:r w:rsidRPr="009F784F">
        <w:rPr>
          <w:rFonts w:cs="Times New Roman"/>
          <w:sz w:val="24"/>
          <w:szCs w:val="28"/>
        </w:rPr>
        <w:fldChar w:fldCharType="separate"/>
      </w:r>
      <w:r w:rsidR="00D614B1" w:rsidRPr="009F784F">
        <w:rPr>
          <w:rFonts w:cs="Times New Roman"/>
          <w:noProof/>
          <w:sz w:val="24"/>
          <w:szCs w:val="28"/>
          <w:vertAlign w:val="superscript"/>
        </w:rPr>
        <w:t>22</w:t>
      </w:r>
      <w:r w:rsidRPr="009F784F">
        <w:rPr>
          <w:rFonts w:cs="Times New Roman"/>
          <w:sz w:val="24"/>
          <w:szCs w:val="28"/>
        </w:rPr>
        <w:fldChar w:fldCharType="end"/>
      </w:r>
      <w:r w:rsidRPr="009F784F">
        <w:rPr>
          <w:rFonts w:cs="Times New Roman"/>
          <w:sz w:val="24"/>
          <w:szCs w:val="28"/>
        </w:rPr>
        <w:t xml:space="preserve"> We showed greatest binding affinity at [1600 </w:t>
      </w:r>
      <w:proofErr w:type="spellStart"/>
      <w:r w:rsidRPr="009F784F">
        <w:rPr>
          <w:rFonts w:cs="Times New Roman"/>
          <w:sz w:val="24"/>
          <w:szCs w:val="28"/>
        </w:rPr>
        <w:t>nM</w:t>
      </w:r>
      <w:proofErr w:type="spellEnd"/>
      <w:r w:rsidRPr="009F784F">
        <w:rPr>
          <w:rFonts w:cs="Times New Roman"/>
          <w:sz w:val="24"/>
          <w:szCs w:val="28"/>
        </w:rPr>
        <w:t>] when incubated at the highest concentration of vitronectin substrate (</w:t>
      </w:r>
      <w:r w:rsidR="00A34BE2" w:rsidRPr="009F784F">
        <w:rPr>
          <w:rFonts w:cs="Times New Roman"/>
          <w:sz w:val="24"/>
          <w:szCs w:val="28"/>
        </w:rPr>
        <w:t>supplementary figure 1</w:t>
      </w:r>
      <w:r w:rsidRPr="009F784F">
        <w:rPr>
          <w:rFonts w:cs="Times New Roman"/>
          <w:sz w:val="24"/>
          <w:szCs w:val="28"/>
        </w:rPr>
        <w:t xml:space="preserve">L). These data demonstrate that DITPA shows preferential binding to </w:t>
      </w:r>
      <w:r w:rsidR="00ED1AD9" w:rsidRPr="00ED1AD9">
        <w:rPr>
          <w:rFonts w:cs="Times New Roman"/>
          <w:sz w:val="24"/>
          <w:szCs w:val="28"/>
        </w:rPr>
        <w:t>αVβ3</w:t>
      </w:r>
      <w:r w:rsidRPr="009F784F">
        <w:rPr>
          <w:rFonts w:cs="Times New Roman"/>
          <w:sz w:val="24"/>
          <w:szCs w:val="28"/>
        </w:rPr>
        <w:t xml:space="preserve"> integrin binding sites commonly used by OPCs for substratum differentiation [for review see</w:t>
      </w:r>
      <w:r w:rsidRPr="009F784F">
        <w:rPr>
          <w:rFonts w:cs="Times New Roman"/>
          <w:sz w:val="24"/>
          <w:szCs w:val="28"/>
        </w:rPr>
        <w:fldChar w:fldCharType="begin"/>
      </w:r>
      <w:r w:rsidR="00D614B1" w:rsidRPr="009F784F">
        <w:rPr>
          <w:rFonts w:cs="Times New Roman"/>
          <w:sz w:val="24"/>
          <w:szCs w:val="28"/>
        </w:rPr>
        <w:instrText xml:space="preserve"> ADDIN EN.CITE &lt;EndNote&gt;&lt;Cite&gt;&lt;Author&gt;O′ Meara&lt;/Author&gt;&lt;Year&gt;2011&lt;/Year&gt;&lt;RecNum&gt;566&lt;/RecNum&gt;&lt;DisplayText&gt;&lt;style face="superscript"&gt;23&lt;/style&gt;&lt;/DisplayText&gt;&lt;record&gt;&lt;rec-number&gt;566&lt;/rec-number&gt;&lt;foreign-keys&gt;&lt;key app="EN" db-id="05xad0tf15f9weepssy5td09frpw0wxe5vfa" timestamp="1739146584"&gt;566&lt;/key&gt;&lt;/foreign-keys&gt;&lt;ref-type name="Journal Article"&gt;17&lt;/ref-type&gt;&lt;contributors&gt;&lt;authors&gt;&lt;author&gt;O′ Meara, Ryan W&lt;/author&gt;&lt;author&gt;Michalski, John-Paul&lt;/author&gt;&lt;author&gt;Kothary, Rashmi&lt;/author&gt;&lt;/authors&gt;&lt;/contributors&gt;&lt;titles&gt;&lt;title&gt;Integrin signaling in oligodendrocytes and its importance in CNS myelination&lt;/title&gt;&lt;secondary-title&gt;Journal of signal transduction&lt;/secondary-title&gt;&lt;/titles&gt;&lt;pages&gt;354091&lt;/pages&gt;&lt;volume&gt;2011&lt;/volume&gt;&lt;number&gt;1&lt;/number&gt;&lt;dates&gt;&lt;year&gt;2011&lt;/year&gt;&lt;/dates&gt;&lt;isbn&gt;2090-1747&lt;/isbn&gt;&lt;urls&gt;&lt;/urls&gt;&lt;/record&gt;&lt;/Cite&gt;&lt;/EndNote&gt;</w:instrText>
      </w:r>
      <w:r w:rsidRPr="009F784F">
        <w:rPr>
          <w:rFonts w:cs="Times New Roman"/>
          <w:sz w:val="24"/>
          <w:szCs w:val="28"/>
        </w:rPr>
        <w:fldChar w:fldCharType="separate"/>
      </w:r>
      <w:r w:rsidR="00D614B1" w:rsidRPr="009F784F">
        <w:rPr>
          <w:rFonts w:cs="Times New Roman"/>
          <w:noProof/>
          <w:sz w:val="24"/>
          <w:szCs w:val="28"/>
          <w:vertAlign w:val="superscript"/>
        </w:rPr>
        <w:t>23</w:t>
      </w:r>
      <w:r w:rsidRPr="009F784F">
        <w:rPr>
          <w:rFonts w:cs="Times New Roman"/>
          <w:sz w:val="24"/>
          <w:szCs w:val="28"/>
        </w:rPr>
        <w:fldChar w:fldCharType="end"/>
      </w:r>
      <w:r w:rsidRPr="009F784F">
        <w:rPr>
          <w:rFonts w:cs="Times New Roman"/>
          <w:sz w:val="24"/>
          <w:szCs w:val="28"/>
        </w:rPr>
        <w:t xml:space="preserve">].     </w:t>
      </w:r>
    </w:p>
    <w:p w14:paraId="66BCCD7E" w14:textId="154D0010" w:rsidR="00ED1AD9" w:rsidRDefault="00B52D8F" w:rsidP="00641B58">
      <w:pPr>
        <w:pStyle w:val="Style2"/>
        <w:spacing w:line="480" w:lineRule="auto"/>
        <w:rPr>
          <w:sz w:val="24"/>
          <w:szCs w:val="24"/>
        </w:rPr>
      </w:pPr>
      <w:bookmarkStart w:id="44" w:name="_Toc217294932"/>
      <w:bookmarkEnd w:id="43"/>
      <w:r w:rsidRPr="009F784F">
        <w:rPr>
          <w:sz w:val="24"/>
          <w:szCs w:val="24"/>
        </w:rPr>
        <w:t xml:space="preserve">Metabolomic profiling reveals distinct modulation of spinal cord metabolism </w:t>
      </w:r>
      <w:r w:rsidR="00ED1AD9">
        <w:rPr>
          <w:sz w:val="24"/>
          <w:szCs w:val="24"/>
        </w:rPr>
        <w:t xml:space="preserve">in </w:t>
      </w:r>
      <w:r w:rsidR="00ED1AD9" w:rsidRPr="00ED1AD9">
        <w:rPr>
          <w:sz w:val="24"/>
          <w:szCs w:val="24"/>
        </w:rPr>
        <w:t>corn oil–treated EAE–induced mice</w:t>
      </w:r>
      <w:r w:rsidR="00ED1AD9">
        <w:rPr>
          <w:sz w:val="24"/>
          <w:szCs w:val="24"/>
        </w:rPr>
        <w:t xml:space="preserve"> compared with </w:t>
      </w:r>
      <w:r w:rsidR="00ED1AD9" w:rsidRPr="00ED1AD9">
        <w:rPr>
          <w:sz w:val="24"/>
          <w:szCs w:val="24"/>
        </w:rPr>
        <w:t>naïve controls</w:t>
      </w:r>
      <w:bookmarkEnd w:id="44"/>
    </w:p>
    <w:p w14:paraId="6A247573" w14:textId="1818E792" w:rsidR="0076430C" w:rsidRPr="009F784F" w:rsidRDefault="0076430C" w:rsidP="00641B58">
      <w:pPr>
        <w:spacing w:line="480" w:lineRule="auto"/>
        <w:rPr>
          <w:rFonts w:cs="Times New Roman"/>
          <w:sz w:val="24"/>
          <w:szCs w:val="28"/>
          <w:lang w:val="en-GB"/>
        </w:rPr>
      </w:pPr>
      <w:r w:rsidRPr="009F784F">
        <w:rPr>
          <w:rFonts w:cs="Times New Roman"/>
          <w:sz w:val="24"/>
          <w:szCs w:val="28"/>
          <w:lang w:val="en-GB"/>
        </w:rPr>
        <w:t>Compared with naïve controls, corn oil–treated EAE–induced mice displayed extensive metabolic dysregulation in the LSSC. Across multiple metabolite databases, 156 metabolites were significantly altered. Volcano plot analysis (fold change</w:t>
      </w:r>
      <w:r w:rsidR="00021988">
        <w:rPr>
          <w:rFonts w:cs="Times New Roman"/>
          <w:sz w:val="24"/>
          <w:szCs w:val="28"/>
          <w:lang w:val="en-GB"/>
        </w:rPr>
        <w:t>&gt;</w:t>
      </w:r>
      <w:r w:rsidRPr="009F784F">
        <w:rPr>
          <w:rFonts w:cs="Times New Roman"/>
          <w:sz w:val="24"/>
          <w:szCs w:val="28"/>
          <w:lang w:val="en-GB"/>
        </w:rPr>
        <w:t xml:space="preserve">1·5, p&lt;0·05) identified 33 increased and 22 decreased metabolites (supplementary figure 6A and E, supplementary table </w:t>
      </w:r>
      <w:r w:rsidR="00C70F36" w:rsidRPr="009F784F">
        <w:rPr>
          <w:rFonts w:cs="Times New Roman"/>
          <w:sz w:val="24"/>
          <w:szCs w:val="28"/>
          <w:lang w:val="en-GB"/>
        </w:rPr>
        <w:t>5</w:t>
      </w:r>
      <w:r w:rsidRPr="009F784F">
        <w:rPr>
          <w:rFonts w:cs="Times New Roman"/>
          <w:sz w:val="24"/>
          <w:szCs w:val="28"/>
          <w:lang w:val="en-GB"/>
        </w:rPr>
        <w:t xml:space="preserve">). Pathway enrichment analysis of dysregulated metabolites revealed five significantly perturbed pathways (supplementary figure 6E, supplementary table </w:t>
      </w:r>
      <w:r w:rsidR="00C70F36" w:rsidRPr="009F784F">
        <w:rPr>
          <w:rFonts w:cs="Times New Roman"/>
          <w:sz w:val="24"/>
          <w:szCs w:val="28"/>
          <w:lang w:val="en-GB"/>
        </w:rPr>
        <w:t>6</w:t>
      </w:r>
      <w:r w:rsidRPr="009F784F">
        <w:rPr>
          <w:rFonts w:cs="Times New Roman"/>
          <w:sz w:val="24"/>
          <w:szCs w:val="28"/>
          <w:lang w:val="en-GB"/>
        </w:rPr>
        <w:t xml:space="preserve">). Pyrimidine metabolism was most strongly enriched (p=0·003), driven by increased thymine, </w:t>
      </w:r>
      <w:proofErr w:type="spellStart"/>
      <w:r w:rsidRPr="009F784F">
        <w:rPr>
          <w:rFonts w:cs="Times New Roman"/>
          <w:sz w:val="24"/>
          <w:szCs w:val="28"/>
          <w:lang w:val="en-GB"/>
        </w:rPr>
        <w:t>deoxyuridine</w:t>
      </w:r>
      <w:proofErr w:type="spellEnd"/>
      <w:r w:rsidRPr="009F784F">
        <w:rPr>
          <w:rFonts w:cs="Times New Roman"/>
          <w:sz w:val="24"/>
          <w:szCs w:val="28"/>
          <w:lang w:val="en-GB"/>
        </w:rPr>
        <w:t xml:space="preserve">, and </w:t>
      </w:r>
      <w:proofErr w:type="spellStart"/>
      <w:r w:rsidRPr="009F784F">
        <w:rPr>
          <w:rFonts w:cs="Times New Roman"/>
          <w:sz w:val="24"/>
          <w:szCs w:val="28"/>
          <w:lang w:val="en-GB"/>
        </w:rPr>
        <w:t>ureidopropionic</w:t>
      </w:r>
      <w:proofErr w:type="spellEnd"/>
      <w:r w:rsidRPr="009F784F">
        <w:rPr>
          <w:rFonts w:cs="Times New Roman"/>
          <w:sz w:val="24"/>
          <w:szCs w:val="28"/>
          <w:lang w:val="en-GB"/>
        </w:rPr>
        <w:t xml:space="preserve"> acid, consistent with enhanced nucleotide turnover and DNA/RNA </w:t>
      </w:r>
      <w:r w:rsidRPr="009F784F">
        <w:rPr>
          <w:rFonts w:cs="Times New Roman"/>
          <w:sz w:val="24"/>
          <w:szCs w:val="28"/>
          <w:lang w:val="en-GB"/>
        </w:rPr>
        <w:lastRenderedPageBreak/>
        <w:t xml:space="preserve">catabolism. Pantothenate and CoA biosynthesis (elevated </w:t>
      </w:r>
      <w:proofErr w:type="spellStart"/>
      <w:r w:rsidRPr="009F784F">
        <w:rPr>
          <w:rFonts w:cs="Times New Roman"/>
          <w:sz w:val="24"/>
          <w:szCs w:val="28"/>
          <w:lang w:val="en-GB"/>
        </w:rPr>
        <w:t>dephospho</w:t>
      </w:r>
      <w:proofErr w:type="spellEnd"/>
      <w:r w:rsidRPr="009F784F">
        <w:rPr>
          <w:rFonts w:cs="Times New Roman"/>
          <w:sz w:val="24"/>
          <w:szCs w:val="28"/>
          <w:lang w:val="en-GB"/>
        </w:rPr>
        <w:t xml:space="preserve">–CoA and </w:t>
      </w:r>
      <w:proofErr w:type="spellStart"/>
      <w:r w:rsidRPr="009F784F">
        <w:rPr>
          <w:rFonts w:cs="Times New Roman"/>
          <w:sz w:val="24"/>
          <w:szCs w:val="28"/>
          <w:lang w:val="en-GB"/>
        </w:rPr>
        <w:t>ureidopropionic</w:t>
      </w:r>
      <w:proofErr w:type="spellEnd"/>
      <w:r w:rsidRPr="009F784F">
        <w:rPr>
          <w:rFonts w:cs="Times New Roman"/>
          <w:sz w:val="24"/>
          <w:szCs w:val="28"/>
          <w:lang w:val="en-GB"/>
        </w:rPr>
        <w:t xml:space="preserve"> acid) and β–alanine metabolism (increased </w:t>
      </w:r>
      <w:proofErr w:type="spellStart"/>
      <w:r w:rsidRPr="009F784F">
        <w:rPr>
          <w:rFonts w:cs="Times New Roman"/>
          <w:sz w:val="24"/>
          <w:szCs w:val="28"/>
          <w:lang w:val="en-GB"/>
        </w:rPr>
        <w:t>ureidopropionic</w:t>
      </w:r>
      <w:proofErr w:type="spellEnd"/>
      <w:r w:rsidRPr="009F784F">
        <w:rPr>
          <w:rFonts w:cs="Times New Roman"/>
          <w:sz w:val="24"/>
          <w:szCs w:val="28"/>
          <w:lang w:val="en-GB"/>
        </w:rPr>
        <w:t xml:space="preserve"> acid and β–alanyl–L–arginine, decreased anserine) were also significantly enriched (both p=0·01), indicating reprogramming of energy and cofactor metabolism with implications for mitochondrial function and biosynthetic demand (</w:t>
      </w:r>
      <w:r w:rsidR="00C70F36" w:rsidRPr="009F784F">
        <w:rPr>
          <w:rFonts w:cs="Times New Roman"/>
          <w:sz w:val="24"/>
          <w:szCs w:val="28"/>
          <w:lang w:val="en-GB"/>
        </w:rPr>
        <w:t>supplementary figure</w:t>
      </w:r>
      <w:r w:rsidRPr="009F784F">
        <w:rPr>
          <w:rFonts w:cs="Times New Roman"/>
          <w:sz w:val="24"/>
          <w:szCs w:val="28"/>
          <w:lang w:val="en-GB"/>
        </w:rPr>
        <w:t xml:space="preserve"> </w:t>
      </w:r>
      <w:r w:rsidR="00C70F36" w:rsidRPr="009F784F">
        <w:rPr>
          <w:rFonts w:cs="Times New Roman"/>
          <w:sz w:val="24"/>
          <w:szCs w:val="28"/>
          <w:lang w:val="en-GB"/>
        </w:rPr>
        <w:t>7</w:t>
      </w:r>
      <w:r w:rsidRPr="009F784F">
        <w:rPr>
          <w:rFonts w:cs="Times New Roman"/>
          <w:sz w:val="24"/>
          <w:szCs w:val="28"/>
          <w:lang w:val="en-GB"/>
        </w:rPr>
        <w:t xml:space="preserve">A). Glycerophospholipid metabolism was perturbed, as indicated by reductions in </w:t>
      </w:r>
      <w:proofErr w:type="spellStart"/>
      <w:r w:rsidRPr="009F784F">
        <w:rPr>
          <w:rFonts w:cs="Times New Roman"/>
          <w:sz w:val="24"/>
          <w:szCs w:val="28"/>
          <w:lang w:val="en-GB"/>
        </w:rPr>
        <w:t>glycerophosphocholine</w:t>
      </w:r>
      <w:proofErr w:type="spellEnd"/>
      <w:r w:rsidRPr="009F784F">
        <w:rPr>
          <w:rFonts w:cs="Times New Roman"/>
          <w:sz w:val="24"/>
          <w:szCs w:val="28"/>
          <w:lang w:val="en-GB"/>
        </w:rPr>
        <w:t xml:space="preserve"> and phosphatidylcholine [PC (18:0/24:1)] (p=0·03; </w:t>
      </w:r>
      <w:r w:rsidR="00C70F36" w:rsidRPr="009F784F">
        <w:rPr>
          <w:rFonts w:cs="Times New Roman"/>
          <w:sz w:val="24"/>
          <w:szCs w:val="28"/>
          <w:lang w:val="en-GB"/>
        </w:rPr>
        <w:t>supplementary figure 7</w:t>
      </w:r>
      <w:r w:rsidRPr="009F784F">
        <w:rPr>
          <w:rFonts w:cs="Times New Roman"/>
          <w:sz w:val="24"/>
          <w:szCs w:val="28"/>
          <w:lang w:val="en-GB"/>
        </w:rPr>
        <w:t xml:space="preserve">C), suggesting altered membrane composition, remodelling, and lipid–derived </w:t>
      </w:r>
      <w:r w:rsidR="00021988" w:rsidRPr="009F784F">
        <w:rPr>
          <w:rFonts w:cs="Times New Roman"/>
          <w:sz w:val="24"/>
          <w:szCs w:val="28"/>
          <w:lang w:val="en-GB"/>
        </w:rPr>
        <w:t>signalling</w:t>
      </w:r>
      <w:r w:rsidRPr="009F784F">
        <w:rPr>
          <w:rFonts w:cs="Times New Roman"/>
          <w:sz w:val="24"/>
          <w:szCs w:val="28"/>
          <w:lang w:val="en-GB"/>
        </w:rPr>
        <w:t xml:space="preserve">. Linoleic acid metabolism was also enriched (p=0·04; </w:t>
      </w:r>
      <w:r w:rsidR="00C70F36" w:rsidRPr="009F784F">
        <w:rPr>
          <w:rFonts w:cs="Times New Roman"/>
          <w:sz w:val="24"/>
          <w:szCs w:val="28"/>
          <w:lang w:val="en-GB"/>
        </w:rPr>
        <w:t>supplementary figure 7</w:t>
      </w:r>
      <w:r w:rsidRPr="009F784F">
        <w:rPr>
          <w:rFonts w:cs="Times New Roman"/>
          <w:sz w:val="24"/>
          <w:szCs w:val="28"/>
          <w:lang w:val="en-GB"/>
        </w:rPr>
        <w:t xml:space="preserve">C), implicating dysregulated polyunsaturated fatty acid processing with potential effects on inflammatory </w:t>
      </w:r>
      <w:r w:rsidR="00021988" w:rsidRPr="009F784F">
        <w:rPr>
          <w:rFonts w:cs="Times New Roman"/>
          <w:sz w:val="24"/>
          <w:szCs w:val="28"/>
          <w:lang w:val="en-GB"/>
        </w:rPr>
        <w:t>signalling</w:t>
      </w:r>
      <w:r w:rsidRPr="009F784F">
        <w:rPr>
          <w:rFonts w:cs="Times New Roman"/>
          <w:sz w:val="24"/>
          <w:szCs w:val="28"/>
          <w:lang w:val="en-GB"/>
        </w:rPr>
        <w:t xml:space="preserve"> and oxidative stress. Collectively, these findings indicate profound remodelling of nucleotide, energy, and lipid pathways that may contribute to </w:t>
      </w:r>
      <w:proofErr w:type="spellStart"/>
      <w:r w:rsidRPr="009F784F">
        <w:rPr>
          <w:rFonts w:cs="Times New Roman"/>
          <w:sz w:val="24"/>
          <w:szCs w:val="28"/>
          <w:lang w:val="en-GB"/>
        </w:rPr>
        <w:t>axomyelin</w:t>
      </w:r>
      <w:proofErr w:type="spellEnd"/>
      <w:r w:rsidRPr="009F784F">
        <w:rPr>
          <w:rFonts w:cs="Times New Roman"/>
          <w:sz w:val="24"/>
          <w:szCs w:val="28"/>
          <w:lang w:val="en-GB"/>
        </w:rPr>
        <w:t xml:space="preserve"> pathology. </w:t>
      </w:r>
    </w:p>
    <w:p w14:paraId="13BA9C3D" w14:textId="41970DA3" w:rsidR="0076430C" w:rsidRPr="009F784F" w:rsidRDefault="0076430C" w:rsidP="00641B58">
      <w:pPr>
        <w:spacing w:line="480" w:lineRule="auto"/>
        <w:rPr>
          <w:rFonts w:cs="Times New Roman"/>
          <w:sz w:val="24"/>
          <w:szCs w:val="28"/>
          <w:lang w:val="en-GB"/>
        </w:rPr>
      </w:pPr>
      <w:r w:rsidRPr="009F784F">
        <w:rPr>
          <w:rFonts w:cs="Times New Roman"/>
          <w:sz w:val="24"/>
          <w:szCs w:val="28"/>
          <w:lang w:val="en-GB"/>
        </w:rPr>
        <w:t>Although pathway enrichment was strongest for pyrimidine metabolism, alterations in purine intermediates, elevated xanthine and 5′–phosphoribosyl–N–</w:t>
      </w:r>
      <w:proofErr w:type="spellStart"/>
      <w:r w:rsidRPr="009F784F">
        <w:rPr>
          <w:rFonts w:cs="Times New Roman"/>
          <w:sz w:val="24"/>
          <w:szCs w:val="28"/>
          <w:lang w:val="en-GB"/>
        </w:rPr>
        <w:t>formylglycinamide</w:t>
      </w:r>
      <w:proofErr w:type="spellEnd"/>
      <w:r w:rsidRPr="009F784F">
        <w:rPr>
          <w:rFonts w:cs="Times New Roman"/>
          <w:sz w:val="24"/>
          <w:szCs w:val="28"/>
          <w:lang w:val="en-GB"/>
        </w:rPr>
        <w:t xml:space="preserve"> (</w:t>
      </w:r>
      <w:r w:rsidR="00C70F36" w:rsidRPr="009F784F">
        <w:rPr>
          <w:rFonts w:cs="Times New Roman"/>
          <w:sz w:val="24"/>
          <w:szCs w:val="28"/>
          <w:lang w:val="en-GB"/>
        </w:rPr>
        <w:t>supplementary figure 7</w:t>
      </w:r>
      <w:r w:rsidRPr="009F784F">
        <w:rPr>
          <w:rFonts w:cs="Times New Roman"/>
          <w:sz w:val="24"/>
          <w:szCs w:val="28"/>
          <w:lang w:val="en-GB"/>
        </w:rPr>
        <w:t xml:space="preserve">B), point to broader nucleotide disruption. Such changes may exacerbate oxidative stress via uric acid generation and compromise nucleic acid stability, consistent with prior reports linking purine–pyrimidine dysregulation to neuroinflammation and myelin degeneration in EAE and other neurodegenerative outcomes and maybe key drivers of metabolic </w:t>
      </w:r>
      <w:r w:rsidR="00F2663E" w:rsidRPr="009F784F">
        <w:rPr>
          <w:rFonts w:cs="Times New Roman"/>
          <w:sz w:val="24"/>
          <w:szCs w:val="28"/>
          <w:lang w:val="en-GB"/>
        </w:rPr>
        <w:t>signalling</w:t>
      </w:r>
      <w:r w:rsidRPr="009F784F">
        <w:rPr>
          <w:rFonts w:cs="Times New Roman"/>
          <w:sz w:val="24"/>
          <w:szCs w:val="28"/>
          <w:lang w:val="en-GB"/>
        </w:rPr>
        <w:t xml:space="preserve"> deficits during the pathogenesis of </w:t>
      </w:r>
      <w:proofErr w:type="spellStart"/>
      <w:r w:rsidRPr="009F784F">
        <w:rPr>
          <w:rFonts w:cs="Times New Roman"/>
          <w:sz w:val="24"/>
          <w:szCs w:val="28"/>
          <w:lang w:val="en-GB"/>
        </w:rPr>
        <w:t>axomyelin</w:t>
      </w:r>
      <w:proofErr w:type="spellEnd"/>
      <w:r w:rsidRPr="009F784F">
        <w:rPr>
          <w:rFonts w:cs="Times New Roman"/>
          <w:sz w:val="24"/>
          <w:szCs w:val="28"/>
          <w:lang w:val="en-GB"/>
        </w:rPr>
        <w:t xml:space="preserve"> degeneration [for review </w:t>
      </w:r>
      <w:r w:rsidR="00437E0B" w:rsidRPr="00F116D1">
        <w:rPr>
          <w:rFonts w:cs="Times New Roman"/>
          <w:sz w:val="24"/>
          <w:szCs w:val="28"/>
        </w:rPr>
        <w:t xml:space="preserve">see </w:t>
      </w:r>
      <w:r w:rsidR="00437E0B" w:rsidRPr="00F116D1">
        <w:rPr>
          <w:rFonts w:cs="Times New Roman"/>
          <w:sz w:val="24"/>
          <w:szCs w:val="28"/>
        </w:rPr>
        <w:fldChar w:fldCharType="begin">
          <w:fldData xml:space="preserve">PEVuZE5vdGU+PENpdGU+PEF1dGhvcj5GdW1hZ2FsbGk8L0F1dGhvcj48WWVhcj4yMDE3PC9ZZWFy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</w:fldData>
        </w:fldChar>
      </w:r>
      <w:r w:rsidR="00437E0B" w:rsidRPr="00F116D1">
        <w:rPr>
          <w:rFonts w:cs="Times New Roman"/>
          <w:sz w:val="24"/>
          <w:szCs w:val="28"/>
        </w:rPr>
        <w:instrText xml:space="preserve"> ADDIN EN.CITE </w:instrText>
      </w:r>
      <w:r w:rsidR="00437E0B" w:rsidRPr="00F116D1">
        <w:rPr>
          <w:rFonts w:cs="Times New Roman"/>
          <w:sz w:val="24"/>
          <w:szCs w:val="28"/>
        </w:rPr>
        <w:fldChar w:fldCharType="begin">
          <w:fldData xml:space="preserve">PEVuZE5vdGU+PENpdGU+PEF1dGhvcj5GdW1hZ2FsbGk8L0F1dGhvcj48WWVhcj4yMDE3PC9ZZWFy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</w:fldData>
        </w:fldChar>
      </w:r>
      <w:r w:rsidR="00437E0B" w:rsidRPr="00F116D1">
        <w:rPr>
          <w:rFonts w:cs="Times New Roman"/>
          <w:sz w:val="24"/>
          <w:szCs w:val="28"/>
        </w:rPr>
        <w:instrText xml:space="preserve"> ADDIN EN.CITE.DATA </w:instrText>
      </w:r>
      <w:r w:rsidR="00437E0B" w:rsidRPr="00F116D1">
        <w:rPr>
          <w:rFonts w:cs="Times New Roman"/>
          <w:sz w:val="24"/>
          <w:szCs w:val="28"/>
        </w:rPr>
      </w:r>
      <w:r w:rsidR="00437E0B" w:rsidRPr="00F116D1">
        <w:rPr>
          <w:rFonts w:cs="Times New Roman"/>
          <w:sz w:val="24"/>
          <w:szCs w:val="28"/>
        </w:rPr>
        <w:fldChar w:fldCharType="end"/>
      </w:r>
      <w:r w:rsidR="00437E0B" w:rsidRPr="00F116D1">
        <w:rPr>
          <w:rFonts w:cs="Times New Roman"/>
          <w:sz w:val="24"/>
          <w:szCs w:val="28"/>
        </w:rPr>
      </w:r>
      <w:r w:rsidR="00437E0B" w:rsidRPr="00F116D1">
        <w:rPr>
          <w:rFonts w:cs="Times New Roman"/>
          <w:sz w:val="24"/>
          <w:szCs w:val="28"/>
        </w:rPr>
        <w:fldChar w:fldCharType="separate"/>
      </w:r>
      <w:r w:rsidR="00437E0B" w:rsidRPr="00F116D1">
        <w:rPr>
          <w:rFonts w:cs="Times New Roman"/>
          <w:noProof/>
          <w:sz w:val="24"/>
          <w:szCs w:val="28"/>
          <w:vertAlign w:val="superscript"/>
        </w:rPr>
        <w:t>24,25</w:t>
      </w:r>
      <w:r w:rsidR="00437E0B" w:rsidRPr="00F116D1">
        <w:rPr>
          <w:rFonts w:cs="Times New Roman"/>
          <w:sz w:val="24"/>
          <w:szCs w:val="28"/>
        </w:rPr>
        <w:fldChar w:fldCharType="end"/>
      </w:r>
      <w:r w:rsidRPr="009F784F">
        <w:rPr>
          <w:rFonts w:cs="Times New Roman"/>
          <w:sz w:val="24"/>
          <w:szCs w:val="28"/>
          <w:lang w:val="en-GB"/>
        </w:rPr>
        <w:t>].</w:t>
      </w:r>
    </w:p>
    <w:p w14:paraId="538965A0" w14:textId="77777777" w:rsidR="00F2663E" w:rsidRDefault="0076430C" w:rsidP="00641B58">
      <w:pPr>
        <w:spacing w:line="480" w:lineRule="auto"/>
        <w:rPr>
          <w:rFonts w:cs="Times New Roman"/>
          <w:sz w:val="24"/>
          <w:szCs w:val="28"/>
          <w:lang w:val="en-GB"/>
        </w:rPr>
      </w:pPr>
      <w:r w:rsidRPr="009F784F">
        <w:rPr>
          <w:rFonts w:cs="Times New Roman"/>
          <w:sz w:val="24"/>
          <w:szCs w:val="28"/>
          <w:lang w:val="en-GB"/>
        </w:rPr>
        <w:t xml:space="preserve">Additional metabolite alterations, although their collective changes did not reach the threshold for pathway–level enrichment, included upregulation of gluconolactone, downregulation of anserine, and reduced triacylglycerol [TG (12:0/20:3/22:0) iso6], corresponding to perturbations in the pentose phosphate pathway, histidine metabolism, and </w:t>
      </w:r>
      <w:proofErr w:type="spellStart"/>
      <w:r w:rsidRPr="009F784F">
        <w:rPr>
          <w:rFonts w:cs="Times New Roman"/>
          <w:sz w:val="24"/>
          <w:szCs w:val="28"/>
          <w:lang w:val="en-GB"/>
        </w:rPr>
        <w:t>glycerolipid</w:t>
      </w:r>
      <w:proofErr w:type="spellEnd"/>
      <w:r w:rsidRPr="009F784F">
        <w:rPr>
          <w:rFonts w:cs="Times New Roman"/>
          <w:sz w:val="24"/>
          <w:szCs w:val="28"/>
          <w:lang w:val="en-GB"/>
        </w:rPr>
        <w:t xml:space="preserve"> </w:t>
      </w:r>
      <w:r w:rsidRPr="009F784F">
        <w:rPr>
          <w:rFonts w:cs="Times New Roman"/>
          <w:sz w:val="24"/>
          <w:szCs w:val="28"/>
          <w:lang w:val="en-GB"/>
        </w:rPr>
        <w:lastRenderedPageBreak/>
        <w:t>metabolism, respectively. Notably, CDP–</w:t>
      </w:r>
      <w:proofErr w:type="spellStart"/>
      <w:r w:rsidRPr="009F784F">
        <w:rPr>
          <w:rFonts w:cs="Times New Roman"/>
          <w:sz w:val="24"/>
          <w:szCs w:val="28"/>
          <w:lang w:val="en-GB"/>
        </w:rPr>
        <w:t>ribitol</w:t>
      </w:r>
      <w:proofErr w:type="spellEnd"/>
      <w:r w:rsidRPr="009F784F">
        <w:rPr>
          <w:rFonts w:cs="Times New Roman"/>
          <w:sz w:val="24"/>
          <w:szCs w:val="28"/>
          <w:lang w:val="en-GB"/>
        </w:rPr>
        <w:t xml:space="preserve">, a modulator of mannose–type O–glycan biosynthesis and pentose/glucuronate interconversions, was altered, consistent with oxidative stress–driven lipid peroxidation, OL dystrophy, and progressive myelin degeneration (supplementary tables </w:t>
      </w:r>
      <w:r w:rsidR="001C6F1A" w:rsidRPr="009F784F">
        <w:rPr>
          <w:rFonts w:cs="Times New Roman"/>
          <w:sz w:val="24"/>
          <w:szCs w:val="28"/>
          <w:lang w:val="en-GB"/>
        </w:rPr>
        <w:t>5</w:t>
      </w:r>
      <w:r w:rsidRPr="009F784F">
        <w:rPr>
          <w:rFonts w:cs="Times New Roman"/>
          <w:sz w:val="24"/>
          <w:szCs w:val="28"/>
          <w:lang w:val="en-GB"/>
        </w:rPr>
        <w:t>,</w:t>
      </w:r>
      <w:r w:rsidR="001C6F1A" w:rsidRPr="009F784F">
        <w:rPr>
          <w:rFonts w:cs="Times New Roman"/>
          <w:sz w:val="24"/>
          <w:szCs w:val="28"/>
          <w:lang w:val="en-GB"/>
        </w:rPr>
        <w:t>6</w:t>
      </w:r>
      <w:r w:rsidRPr="009F784F">
        <w:rPr>
          <w:rFonts w:cs="Times New Roman"/>
          <w:sz w:val="24"/>
          <w:szCs w:val="28"/>
          <w:lang w:val="en-GB"/>
        </w:rPr>
        <w:t xml:space="preserve">). </w:t>
      </w:r>
    </w:p>
    <w:p w14:paraId="590C7EBD" w14:textId="78A5CA5C" w:rsidR="00F2663E" w:rsidRDefault="00F2663E" w:rsidP="00F2663E">
      <w:pPr>
        <w:pStyle w:val="Style2"/>
        <w:spacing w:line="480" w:lineRule="auto"/>
        <w:rPr>
          <w:sz w:val="24"/>
          <w:szCs w:val="24"/>
        </w:rPr>
      </w:pPr>
      <w:bookmarkStart w:id="45" w:name="_Toc217294933"/>
      <w:r w:rsidRPr="009F784F">
        <w:rPr>
          <w:sz w:val="24"/>
          <w:szCs w:val="24"/>
        </w:rPr>
        <w:t xml:space="preserve">Metabolomic profiling reveals distinct modulation of spinal cord metabolism </w:t>
      </w:r>
      <w:r>
        <w:rPr>
          <w:sz w:val="24"/>
          <w:szCs w:val="24"/>
        </w:rPr>
        <w:t xml:space="preserve">in LT3, or TRIAC </w:t>
      </w:r>
      <w:r w:rsidRPr="00ED1AD9">
        <w:rPr>
          <w:sz w:val="24"/>
          <w:szCs w:val="24"/>
        </w:rPr>
        <w:t>treated EAE–induced mice</w:t>
      </w:r>
      <w:r>
        <w:rPr>
          <w:sz w:val="24"/>
          <w:szCs w:val="24"/>
        </w:rPr>
        <w:t xml:space="preserve"> compared with </w:t>
      </w:r>
      <w:r w:rsidRPr="00F2663E">
        <w:rPr>
          <w:sz w:val="24"/>
          <w:szCs w:val="24"/>
        </w:rPr>
        <w:t>corn oil</w:t>
      </w:r>
      <w:r>
        <w:rPr>
          <w:sz w:val="24"/>
          <w:szCs w:val="24"/>
        </w:rPr>
        <w:t xml:space="preserve">, or DITPA treated </w:t>
      </w:r>
      <w:r w:rsidRPr="00F2663E">
        <w:rPr>
          <w:sz w:val="24"/>
          <w:szCs w:val="24"/>
        </w:rPr>
        <w:t xml:space="preserve">EAE–induced </w:t>
      </w:r>
      <w:r>
        <w:rPr>
          <w:sz w:val="24"/>
          <w:szCs w:val="24"/>
        </w:rPr>
        <w:t>mice</w:t>
      </w:r>
      <w:bookmarkEnd w:id="45"/>
    </w:p>
    <w:p w14:paraId="474F37E6" w14:textId="2B1A9F5E" w:rsidR="00B52D8F" w:rsidRPr="009F784F" w:rsidRDefault="00B52D8F" w:rsidP="00641B58">
      <w:pPr>
        <w:spacing w:line="480" w:lineRule="auto"/>
        <w:rPr>
          <w:rFonts w:cs="Times New Roman"/>
          <w:sz w:val="24"/>
          <w:szCs w:val="28"/>
        </w:rPr>
      </w:pPr>
      <w:r w:rsidRPr="009F784F">
        <w:rPr>
          <w:rFonts w:cs="Times New Roman"/>
          <w:sz w:val="24"/>
          <w:szCs w:val="28"/>
        </w:rPr>
        <w:t>LT3 versus corn oil treatment of EAE</w:t>
      </w:r>
      <w:r w:rsidR="00D3137A" w:rsidRPr="009F784F">
        <w:rPr>
          <w:rFonts w:cs="Times New Roman"/>
          <w:sz w:val="24"/>
          <w:szCs w:val="28"/>
        </w:rPr>
        <w:t>–</w:t>
      </w:r>
      <w:r w:rsidRPr="009F784F">
        <w:rPr>
          <w:rFonts w:cs="Times New Roman"/>
          <w:sz w:val="24"/>
          <w:szCs w:val="28"/>
        </w:rPr>
        <w:t xml:space="preserve">induced mice yielded 40 dysregulated metabolites (7 downregulated and 33 upregulated; </w:t>
      </w:r>
      <w:r w:rsidR="008A0E03" w:rsidRPr="009F784F">
        <w:rPr>
          <w:rFonts w:cs="Times New Roman"/>
          <w:sz w:val="24"/>
          <w:szCs w:val="28"/>
        </w:rPr>
        <w:t>s</w:t>
      </w:r>
      <w:r w:rsidR="00E65447" w:rsidRPr="009F784F">
        <w:rPr>
          <w:rFonts w:cs="Times New Roman"/>
          <w:sz w:val="24"/>
          <w:szCs w:val="28"/>
        </w:rPr>
        <w:t>upplementary figures</w:t>
      </w:r>
      <w:r w:rsidRPr="009F784F">
        <w:rPr>
          <w:rFonts w:cs="Times New Roman"/>
          <w:sz w:val="24"/>
          <w:szCs w:val="28"/>
        </w:rPr>
        <w:t xml:space="preserve"> </w:t>
      </w:r>
      <w:r w:rsidR="007F2841" w:rsidRPr="009F784F">
        <w:rPr>
          <w:rFonts w:cs="Times New Roman"/>
          <w:sz w:val="24"/>
          <w:szCs w:val="28"/>
        </w:rPr>
        <w:t>6</w:t>
      </w:r>
      <w:r w:rsidRPr="009F784F">
        <w:rPr>
          <w:rFonts w:cs="Times New Roman"/>
          <w:sz w:val="24"/>
          <w:szCs w:val="28"/>
        </w:rPr>
        <w:t xml:space="preserve">B and F, </w:t>
      </w:r>
      <w:r w:rsidR="008A0E03" w:rsidRPr="009F784F">
        <w:rPr>
          <w:rFonts w:cs="Times New Roman"/>
          <w:sz w:val="24"/>
          <w:szCs w:val="28"/>
        </w:rPr>
        <w:t>supplementary table</w:t>
      </w:r>
      <w:r w:rsidR="007F2841" w:rsidRPr="009F784F">
        <w:rPr>
          <w:rFonts w:cs="Times New Roman"/>
          <w:sz w:val="24"/>
          <w:szCs w:val="28"/>
        </w:rPr>
        <w:t xml:space="preserve"> 7</w:t>
      </w:r>
      <w:r w:rsidRPr="009F784F">
        <w:rPr>
          <w:rFonts w:cs="Times New Roman"/>
          <w:sz w:val="24"/>
          <w:szCs w:val="28"/>
        </w:rPr>
        <w:t xml:space="preserve">) affecting five pathways </w:t>
      </w:r>
      <w:bookmarkStart w:id="46" w:name="_Hlk206849604"/>
      <w:r w:rsidRPr="009F784F">
        <w:rPr>
          <w:rFonts w:cs="Times New Roman"/>
          <w:sz w:val="24"/>
          <w:szCs w:val="28"/>
        </w:rPr>
        <w:t>(</w:t>
      </w:r>
      <w:r w:rsidR="008A0E03" w:rsidRPr="009F784F">
        <w:rPr>
          <w:rFonts w:cs="Times New Roman"/>
          <w:sz w:val="24"/>
          <w:szCs w:val="28"/>
        </w:rPr>
        <w:t>supplementary figure</w:t>
      </w:r>
      <w:r w:rsidR="007F2841" w:rsidRPr="009F784F">
        <w:rPr>
          <w:rFonts w:cs="Times New Roman"/>
          <w:sz w:val="24"/>
          <w:szCs w:val="28"/>
        </w:rPr>
        <w:t xml:space="preserve"> 6</w:t>
      </w:r>
      <w:r w:rsidRPr="009F784F">
        <w:rPr>
          <w:rFonts w:cs="Times New Roman"/>
          <w:sz w:val="24"/>
          <w:szCs w:val="28"/>
        </w:rPr>
        <w:t xml:space="preserve">F, </w:t>
      </w:r>
      <w:r w:rsidR="008A0E03" w:rsidRPr="009F784F">
        <w:rPr>
          <w:rFonts w:cs="Times New Roman"/>
          <w:sz w:val="24"/>
          <w:szCs w:val="28"/>
        </w:rPr>
        <w:t>supplementary table</w:t>
      </w:r>
      <w:r w:rsidR="007F2841" w:rsidRPr="009F784F">
        <w:rPr>
          <w:rFonts w:cs="Times New Roman"/>
          <w:sz w:val="24"/>
          <w:szCs w:val="28"/>
        </w:rPr>
        <w:t xml:space="preserve"> 8</w:t>
      </w:r>
      <w:r w:rsidRPr="009F784F">
        <w:rPr>
          <w:rFonts w:cs="Times New Roman"/>
          <w:sz w:val="24"/>
          <w:szCs w:val="28"/>
        </w:rPr>
        <w:t>)</w:t>
      </w:r>
      <w:bookmarkEnd w:id="46"/>
      <w:r w:rsidRPr="009F784F">
        <w:rPr>
          <w:rFonts w:cs="Times New Roman"/>
          <w:sz w:val="24"/>
          <w:szCs w:val="28"/>
        </w:rPr>
        <w:t>, including fructose and mannose metabolism, pentose phosphate pathway, glycolysis or gluconeogenesis, inositol phosphate metabolism, and glycerophospholipid metabolism (</w:t>
      </w:r>
      <w:r w:rsidRPr="009F784F">
        <w:rPr>
          <w:rFonts w:cs="Times New Roman"/>
          <w:i/>
          <w:iCs/>
          <w:sz w:val="24"/>
          <w:szCs w:val="28"/>
        </w:rPr>
        <w:t>p</w:t>
      </w:r>
      <w:r w:rsidRPr="009F784F">
        <w:rPr>
          <w:rFonts w:cs="Times New Roman"/>
          <w:sz w:val="24"/>
          <w:szCs w:val="28"/>
        </w:rPr>
        <w:t xml:space="preserve">= </w:t>
      </w:r>
      <w:r w:rsidR="00E65447" w:rsidRPr="009F784F">
        <w:rPr>
          <w:rFonts w:cs="Times New Roman"/>
          <w:sz w:val="24"/>
          <w:szCs w:val="28"/>
        </w:rPr>
        <w:t>0·0</w:t>
      </w:r>
      <w:r w:rsidRPr="009F784F">
        <w:rPr>
          <w:rFonts w:cs="Times New Roman"/>
          <w:sz w:val="24"/>
          <w:szCs w:val="28"/>
        </w:rPr>
        <w:t xml:space="preserve">03, </w:t>
      </w:r>
      <w:r w:rsidR="00E65447" w:rsidRPr="009F784F">
        <w:rPr>
          <w:rFonts w:cs="Times New Roman"/>
          <w:sz w:val="24"/>
          <w:szCs w:val="28"/>
        </w:rPr>
        <w:t>0·0</w:t>
      </w:r>
      <w:r w:rsidRPr="009F784F">
        <w:rPr>
          <w:rFonts w:cs="Times New Roman"/>
          <w:sz w:val="24"/>
          <w:szCs w:val="28"/>
        </w:rPr>
        <w:t xml:space="preserve">06, </w:t>
      </w:r>
      <w:r w:rsidR="00E65447" w:rsidRPr="009F784F">
        <w:rPr>
          <w:rFonts w:cs="Times New Roman"/>
          <w:sz w:val="24"/>
          <w:szCs w:val="28"/>
        </w:rPr>
        <w:t>0·0</w:t>
      </w:r>
      <w:r w:rsidRPr="009F784F">
        <w:rPr>
          <w:rFonts w:cs="Times New Roman"/>
          <w:sz w:val="24"/>
          <w:szCs w:val="28"/>
        </w:rPr>
        <w:t xml:space="preserve">07, </w:t>
      </w:r>
      <w:r w:rsidR="00E65447" w:rsidRPr="009F784F">
        <w:rPr>
          <w:rFonts w:cs="Times New Roman"/>
          <w:sz w:val="24"/>
          <w:szCs w:val="28"/>
        </w:rPr>
        <w:t>0·0</w:t>
      </w:r>
      <w:r w:rsidRPr="009F784F">
        <w:rPr>
          <w:rFonts w:cs="Times New Roman"/>
          <w:sz w:val="24"/>
          <w:szCs w:val="28"/>
        </w:rPr>
        <w:t xml:space="preserve">1, and </w:t>
      </w:r>
      <w:r w:rsidR="00E65447" w:rsidRPr="009F784F">
        <w:rPr>
          <w:rFonts w:cs="Times New Roman"/>
          <w:sz w:val="24"/>
          <w:szCs w:val="28"/>
        </w:rPr>
        <w:t>0·0</w:t>
      </w:r>
      <w:r w:rsidRPr="009F784F">
        <w:rPr>
          <w:rFonts w:cs="Times New Roman"/>
          <w:sz w:val="24"/>
          <w:szCs w:val="28"/>
        </w:rPr>
        <w:t>1, respectively). These pathways mapped with downregulation of glyceraldehyde</w:t>
      </w:r>
      <w:r w:rsidR="008A0E03" w:rsidRPr="009F784F">
        <w:rPr>
          <w:rFonts w:cs="Times New Roman"/>
          <w:sz w:val="24"/>
          <w:szCs w:val="28"/>
        </w:rPr>
        <w:t xml:space="preserve"> </w:t>
      </w:r>
      <w:r w:rsidRPr="009F784F">
        <w:rPr>
          <w:rFonts w:cs="Times New Roman"/>
          <w:sz w:val="24"/>
          <w:szCs w:val="28"/>
        </w:rPr>
        <w:t>3</w:t>
      </w:r>
      <w:r w:rsidR="00D3137A" w:rsidRPr="009F784F">
        <w:rPr>
          <w:rFonts w:cs="Times New Roman"/>
          <w:sz w:val="24"/>
          <w:szCs w:val="28"/>
        </w:rPr>
        <w:t>–</w:t>
      </w:r>
      <w:r w:rsidRPr="009F784F">
        <w:rPr>
          <w:rFonts w:cs="Times New Roman"/>
          <w:sz w:val="24"/>
          <w:szCs w:val="28"/>
        </w:rPr>
        <w:t xml:space="preserve">phosphate, dihydroxyacetone phosphate, and </w:t>
      </w:r>
      <w:proofErr w:type="spellStart"/>
      <w:r w:rsidRPr="009F784F">
        <w:rPr>
          <w:rFonts w:cs="Times New Roman"/>
          <w:sz w:val="24"/>
          <w:szCs w:val="28"/>
        </w:rPr>
        <w:t>sedoheptulose</w:t>
      </w:r>
      <w:proofErr w:type="spellEnd"/>
      <w:r w:rsidRPr="009F784F">
        <w:rPr>
          <w:rFonts w:cs="Times New Roman"/>
          <w:sz w:val="24"/>
          <w:szCs w:val="28"/>
        </w:rPr>
        <w:t xml:space="preserve"> 7</w:t>
      </w:r>
      <w:r w:rsidR="00D3137A" w:rsidRPr="009F784F">
        <w:rPr>
          <w:rFonts w:cs="Times New Roman"/>
          <w:sz w:val="24"/>
          <w:szCs w:val="28"/>
        </w:rPr>
        <w:t>–</w:t>
      </w:r>
      <w:r w:rsidRPr="009F784F">
        <w:rPr>
          <w:rFonts w:cs="Times New Roman"/>
          <w:sz w:val="24"/>
          <w:szCs w:val="28"/>
        </w:rPr>
        <w:t>phosphate, and phosphorylcholine (</w:t>
      </w:r>
      <w:r w:rsidR="007F2841" w:rsidRPr="009F784F">
        <w:rPr>
          <w:rFonts w:cs="Times New Roman"/>
          <w:sz w:val="24"/>
          <w:szCs w:val="28"/>
          <w:lang w:val="en-GB"/>
        </w:rPr>
        <w:t xml:space="preserve">supplementary figure </w:t>
      </w:r>
      <w:r w:rsidR="00AC30E5" w:rsidRPr="009F784F">
        <w:rPr>
          <w:rFonts w:cs="Times New Roman"/>
          <w:sz w:val="24"/>
          <w:szCs w:val="28"/>
          <w:lang w:val="en-GB"/>
        </w:rPr>
        <w:t>8</w:t>
      </w:r>
      <w:r w:rsidR="007F2841" w:rsidRPr="009F784F">
        <w:rPr>
          <w:rFonts w:cs="Times New Roman"/>
          <w:sz w:val="24"/>
          <w:szCs w:val="28"/>
          <w:lang w:val="en-GB"/>
        </w:rPr>
        <w:t>A</w:t>
      </w:r>
      <w:r w:rsidRPr="009F784F">
        <w:rPr>
          <w:rFonts w:cs="Times New Roman"/>
          <w:sz w:val="24"/>
          <w:szCs w:val="28"/>
        </w:rPr>
        <w:t>).</w:t>
      </w:r>
      <w:r w:rsidR="008A0E03" w:rsidRPr="009F784F">
        <w:rPr>
          <w:rFonts w:cs="Times New Roman"/>
          <w:sz w:val="24"/>
          <w:szCs w:val="28"/>
        </w:rPr>
        <w:t xml:space="preserve"> </w:t>
      </w:r>
    </w:p>
    <w:p w14:paraId="45204893" w14:textId="26DCCD5F" w:rsidR="00B52D8F" w:rsidRPr="009F784F" w:rsidRDefault="00B52D8F" w:rsidP="00641B58">
      <w:pPr>
        <w:spacing w:line="480" w:lineRule="auto"/>
        <w:rPr>
          <w:rFonts w:cs="Times New Roman"/>
          <w:sz w:val="24"/>
          <w:szCs w:val="28"/>
        </w:rPr>
      </w:pPr>
      <w:r w:rsidRPr="009F784F">
        <w:rPr>
          <w:rFonts w:cs="Times New Roman"/>
          <w:sz w:val="24"/>
          <w:szCs w:val="28"/>
        </w:rPr>
        <w:t>TRIAC treatment compared to corn oil revealed 27 dysregulated metabolites (</w:t>
      </w:r>
      <w:r w:rsidRPr="009F784F">
        <w:rPr>
          <w:rFonts w:cs="Times New Roman"/>
          <w:i/>
          <w:iCs/>
          <w:sz w:val="24"/>
          <w:szCs w:val="28"/>
        </w:rPr>
        <w:t>p</w:t>
      </w:r>
      <w:r w:rsidRPr="009F784F">
        <w:rPr>
          <w:rFonts w:cs="Times New Roman"/>
          <w:sz w:val="24"/>
          <w:szCs w:val="28"/>
        </w:rPr>
        <w:t xml:space="preserve">&lt; </w:t>
      </w:r>
      <w:r w:rsidR="00E65447" w:rsidRPr="009F784F">
        <w:rPr>
          <w:rFonts w:cs="Times New Roman"/>
          <w:sz w:val="24"/>
          <w:szCs w:val="28"/>
        </w:rPr>
        <w:t>0·0</w:t>
      </w:r>
      <w:r w:rsidRPr="009F784F">
        <w:rPr>
          <w:rFonts w:cs="Times New Roman"/>
          <w:sz w:val="24"/>
          <w:szCs w:val="28"/>
        </w:rPr>
        <w:t>5, FC &gt; 1</w:t>
      </w:r>
      <w:r w:rsidR="008A0E03" w:rsidRPr="009F784F">
        <w:rPr>
          <w:rFonts w:cs="Times New Roman"/>
          <w:sz w:val="24"/>
          <w:szCs w:val="28"/>
        </w:rPr>
        <w:t>·</w:t>
      </w:r>
      <w:r w:rsidRPr="009F784F">
        <w:rPr>
          <w:rFonts w:cs="Times New Roman"/>
          <w:sz w:val="24"/>
          <w:szCs w:val="28"/>
        </w:rPr>
        <w:t>5), including 12 upregulated and 15 downregulated metabolites (</w:t>
      </w:r>
      <w:r w:rsidR="008A0E03" w:rsidRPr="009F784F">
        <w:rPr>
          <w:rFonts w:cs="Times New Roman"/>
          <w:sz w:val="24"/>
          <w:szCs w:val="28"/>
        </w:rPr>
        <w:t>s</w:t>
      </w:r>
      <w:r w:rsidR="00E65447" w:rsidRPr="009F784F">
        <w:rPr>
          <w:rFonts w:cs="Times New Roman"/>
          <w:sz w:val="24"/>
          <w:szCs w:val="28"/>
        </w:rPr>
        <w:t>upplementary figures</w:t>
      </w:r>
      <w:r w:rsidRPr="009F784F">
        <w:rPr>
          <w:rFonts w:cs="Times New Roman"/>
          <w:sz w:val="24"/>
          <w:szCs w:val="28"/>
        </w:rPr>
        <w:t xml:space="preserve"> </w:t>
      </w:r>
      <w:r w:rsidR="00AC30E5" w:rsidRPr="009F784F">
        <w:rPr>
          <w:rFonts w:cs="Times New Roman"/>
          <w:sz w:val="24"/>
          <w:szCs w:val="28"/>
        </w:rPr>
        <w:t xml:space="preserve">6 </w:t>
      </w:r>
      <w:r w:rsidRPr="009F784F">
        <w:rPr>
          <w:rFonts w:cs="Times New Roman"/>
          <w:sz w:val="24"/>
          <w:szCs w:val="28"/>
        </w:rPr>
        <w:t xml:space="preserve">C and G, </w:t>
      </w:r>
      <w:r w:rsidR="008A0E03" w:rsidRPr="009F784F">
        <w:rPr>
          <w:rFonts w:cs="Times New Roman"/>
          <w:sz w:val="24"/>
          <w:szCs w:val="28"/>
        </w:rPr>
        <w:t>supplementary table</w:t>
      </w:r>
      <w:r w:rsidR="00AC30E5" w:rsidRPr="009F784F">
        <w:rPr>
          <w:rFonts w:cs="Times New Roman"/>
          <w:sz w:val="24"/>
          <w:szCs w:val="28"/>
        </w:rPr>
        <w:t xml:space="preserve"> 9</w:t>
      </w:r>
      <w:r w:rsidRPr="009F784F">
        <w:rPr>
          <w:rFonts w:cs="Times New Roman"/>
          <w:sz w:val="24"/>
          <w:szCs w:val="28"/>
        </w:rPr>
        <w:t>). These changes indicate significant alterations in phospholipid biosynthesis (</w:t>
      </w:r>
      <w:r w:rsidRPr="009F784F">
        <w:rPr>
          <w:rFonts w:cs="Times New Roman"/>
          <w:i/>
          <w:iCs/>
          <w:sz w:val="24"/>
          <w:szCs w:val="28"/>
        </w:rPr>
        <w:t>p</w:t>
      </w:r>
      <w:r w:rsidRPr="009F784F">
        <w:rPr>
          <w:rFonts w:cs="Times New Roman"/>
          <w:sz w:val="24"/>
          <w:szCs w:val="28"/>
        </w:rPr>
        <w:t>=</w:t>
      </w:r>
      <w:r w:rsidR="00E65447" w:rsidRPr="009F784F">
        <w:rPr>
          <w:rFonts w:cs="Times New Roman"/>
          <w:sz w:val="24"/>
          <w:szCs w:val="28"/>
        </w:rPr>
        <w:t>0·0</w:t>
      </w:r>
      <w:r w:rsidRPr="009F784F">
        <w:rPr>
          <w:rFonts w:cs="Times New Roman"/>
          <w:sz w:val="24"/>
          <w:szCs w:val="28"/>
        </w:rPr>
        <w:t>02) and phosphatidylcholine biosynthesis (</w:t>
      </w:r>
      <w:r w:rsidRPr="009F784F">
        <w:rPr>
          <w:rFonts w:cs="Times New Roman"/>
          <w:i/>
          <w:iCs/>
          <w:sz w:val="24"/>
          <w:szCs w:val="28"/>
        </w:rPr>
        <w:t>p</w:t>
      </w:r>
      <w:r w:rsidRPr="009F784F">
        <w:rPr>
          <w:rFonts w:cs="Times New Roman"/>
          <w:sz w:val="24"/>
          <w:szCs w:val="28"/>
        </w:rPr>
        <w:t>=</w:t>
      </w:r>
      <w:r w:rsidR="00E65447" w:rsidRPr="009F784F">
        <w:rPr>
          <w:rFonts w:cs="Times New Roman"/>
          <w:sz w:val="24"/>
          <w:szCs w:val="28"/>
        </w:rPr>
        <w:t>0·0</w:t>
      </w:r>
      <w:r w:rsidRPr="009F784F">
        <w:rPr>
          <w:rFonts w:cs="Times New Roman"/>
          <w:sz w:val="24"/>
          <w:szCs w:val="28"/>
        </w:rPr>
        <w:t>5) [</w:t>
      </w:r>
      <w:r w:rsidR="008A0E03" w:rsidRPr="009F784F">
        <w:rPr>
          <w:rFonts w:cs="Times New Roman"/>
          <w:sz w:val="24"/>
          <w:szCs w:val="28"/>
        </w:rPr>
        <w:t>s</w:t>
      </w:r>
      <w:r w:rsidR="00E65447" w:rsidRPr="009F784F">
        <w:rPr>
          <w:rFonts w:cs="Times New Roman"/>
          <w:sz w:val="24"/>
          <w:szCs w:val="28"/>
        </w:rPr>
        <w:t>upplementary figure</w:t>
      </w:r>
      <w:r w:rsidRPr="009F784F">
        <w:rPr>
          <w:rFonts w:cs="Times New Roman"/>
          <w:sz w:val="24"/>
          <w:szCs w:val="28"/>
        </w:rPr>
        <w:t xml:space="preserve"> </w:t>
      </w:r>
      <w:r w:rsidR="00AC30E5" w:rsidRPr="009F784F">
        <w:rPr>
          <w:rFonts w:cs="Times New Roman"/>
          <w:sz w:val="24"/>
          <w:szCs w:val="28"/>
        </w:rPr>
        <w:t xml:space="preserve">6 </w:t>
      </w:r>
      <w:r w:rsidRPr="009F784F">
        <w:rPr>
          <w:rFonts w:cs="Times New Roman"/>
          <w:sz w:val="24"/>
          <w:szCs w:val="28"/>
        </w:rPr>
        <w:t xml:space="preserve">G, </w:t>
      </w:r>
      <w:r w:rsidR="008A0E03" w:rsidRPr="009F784F">
        <w:rPr>
          <w:rFonts w:cs="Times New Roman"/>
          <w:sz w:val="24"/>
          <w:szCs w:val="28"/>
        </w:rPr>
        <w:t>supplementary table</w:t>
      </w:r>
      <w:r w:rsidR="00AC30E5" w:rsidRPr="009F784F">
        <w:rPr>
          <w:rFonts w:cs="Times New Roman"/>
          <w:sz w:val="24"/>
          <w:szCs w:val="28"/>
        </w:rPr>
        <w:t xml:space="preserve"> 10</w:t>
      </w:r>
      <w:r w:rsidRPr="009F784F">
        <w:rPr>
          <w:rFonts w:cs="Times New Roman"/>
          <w:sz w:val="24"/>
          <w:szCs w:val="28"/>
        </w:rPr>
        <w:t>]. characterized by the upregulation of PIP (16:0/22:4) and the downregulation of phosphorylcholine (</w:t>
      </w:r>
      <w:r w:rsidR="00AC30E5" w:rsidRPr="009F784F">
        <w:rPr>
          <w:rFonts w:cs="Times New Roman"/>
          <w:sz w:val="24"/>
          <w:szCs w:val="28"/>
        </w:rPr>
        <w:t>supplementary figure 8B</w:t>
      </w:r>
      <w:r w:rsidRPr="009F784F">
        <w:rPr>
          <w:rFonts w:cs="Times New Roman"/>
          <w:sz w:val="24"/>
          <w:szCs w:val="28"/>
        </w:rPr>
        <w:t xml:space="preserve">). </w:t>
      </w:r>
    </w:p>
    <w:p w14:paraId="4067C1B9" w14:textId="526E6C41" w:rsidR="00E9228F" w:rsidRPr="009F784F" w:rsidRDefault="00E9228F" w:rsidP="00641B58">
      <w:pPr>
        <w:spacing w:line="480" w:lineRule="auto"/>
        <w:rPr>
          <w:rFonts w:cs="Times New Roman"/>
          <w:sz w:val="24"/>
          <w:szCs w:val="28"/>
        </w:rPr>
      </w:pPr>
      <w:r w:rsidRPr="009F784F">
        <w:rPr>
          <w:rFonts w:cs="Times New Roman"/>
          <w:sz w:val="24"/>
          <w:szCs w:val="28"/>
        </w:rPr>
        <w:t>We further compared DITPA and TRIAC treatments in EAE induced mice. Among 33 significantly dysregulated metabolites (</w:t>
      </w:r>
      <w:r w:rsidRPr="009F784F">
        <w:rPr>
          <w:rFonts w:cs="Times New Roman"/>
          <w:i/>
          <w:iCs/>
          <w:sz w:val="24"/>
          <w:szCs w:val="28"/>
        </w:rPr>
        <w:t>p</w:t>
      </w:r>
      <w:r w:rsidRPr="009F784F">
        <w:rPr>
          <w:rFonts w:cs="Times New Roman"/>
          <w:sz w:val="24"/>
          <w:szCs w:val="28"/>
        </w:rPr>
        <w:t xml:space="preserve">&lt;0·05, FC &gt;1·5; supplementary figures </w:t>
      </w:r>
      <w:r w:rsidR="008C3C89" w:rsidRPr="009F784F">
        <w:rPr>
          <w:rFonts w:cs="Times New Roman"/>
          <w:sz w:val="24"/>
          <w:szCs w:val="28"/>
        </w:rPr>
        <w:t>6</w:t>
      </w:r>
      <w:r w:rsidRPr="009F784F">
        <w:rPr>
          <w:rFonts w:cs="Times New Roman"/>
          <w:sz w:val="24"/>
          <w:szCs w:val="28"/>
        </w:rPr>
        <w:t>D and K, supplementary table</w:t>
      </w:r>
      <w:r w:rsidR="008C3C89" w:rsidRPr="009F784F">
        <w:rPr>
          <w:rFonts w:cs="Times New Roman"/>
          <w:sz w:val="24"/>
          <w:szCs w:val="28"/>
        </w:rPr>
        <w:t xml:space="preserve"> 11</w:t>
      </w:r>
      <w:r w:rsidRPr="009F784F">
        <w:rPr>
          <w:rFonts w:cs="Times New Roman"/>
          <w:sz w:val="24"/>
          <w:szCs w:val="28"/>
        </w:rPr>
        <w:t xml:space="preserve">), 12 were upregulated and 21 were downregulated. These changes </w:t>
      </w:r>
      <w:r w:rsidRPr="009F784F">
        <w:rPr>
          <w:rFonts w:cs="Times New Roman"/>
          <w:sz w:val="24"/>
          <w:szCs w:val="28"/>
        </w:rPr>
        <w:lastRenderedPageBreak/>
        <w:t>indicated a marked dysregulation in pyrimidine metabolism (</w:t>
      </w:r>
      <w:r w:rsidRPr="009F784F">
        <w:rPr>
          <w:rFonts w:cs="Times New Roman"/>
          <w:i/>
          <w:iCs/>
          <w:sz w:val="24"/>
          <w:szCs w:val="28"/>
        </w:rPr>
        <w:t>p</w:t>
      </w:r>
      <w:r w:rsidRPr="009F784F">
        <w:rPr>
          <w:rFonts w:cs="Times New Roman"/>
          <w:sz w:val="24"/>
          <w:szCs w:val="28"/>
        </w:rPr>
        <w:t xml:space="preserve">= 0·002; supplementary figure </w:t>
      </w:r>
      <w:r w:rsidR="008C3C89" w:rsidRPr="009F784F">
        <w:rPr>
          <w:rFonts w:cs="Times New Roman"/>
          <w:sz w:val="24"/>
          <w:szCs w:val="28"/>
        </w:rPr>
        <w:t>6</w:t>
      </w:r>
      <w:r w:rsidRPr="009F784F">
        <w:rPr>
          <w:rFonts w:cs="Times New Roman"/>
          <w:sz w:val="24"/>
          <w:szCs w:val="28"/>
        </w:rPr>
        <w:t>K, supplementary table</w:t>
      </w:r>
      <w:r w:rsidR="008C3C89" w:rsidRPr="009F784F">
        <w:rPr>
          <w:rFonts w:cs="Times New Roman"/>
          <w:sz w:val="24"/>
          <w:szCs w:val="28"/>
        </w:rPr>
        <w:t xml:space="preserve"> 12</w:t>
      </w:r>
      <w:r w:rsidRPr="009F784F">
        <w:rPr>
          <w:rFonts w:cs="Times New Roman"/>
          <w:sz w:val="24"/>
          <w:szCs w:val="28"/>
        </w:rPr>
        <w:t xml:space="preserve">) in the DITPA–treated group, evidenced by the downregulation of thymine and </w:t>
      </w:r>
      <w:proofErr w:type="spellStart"/>
      <w:r w:rsidRPr="009F784F">
        <w:rPr>
          <w:rFonts w:cs="Times New Roman"/>
          <w:sz w:val="24"/>
          <w:szCs w:val="28"/>
        </w:rPr>
        <w:t>ureidopropionic</w:t>
      </w:r>
      <w:proofErr w:type="spellEnd"/>
      <w:r w:rsidRPr="009F784F">
        <w:rPr>
          <w:rFonts w:cs="Times New Roman"/>
          <w:sz w:val="24"/>
          <w:szCs w:val="28"/>
        </w:rPr>
        <w:t xml:space="preserve"> acid both catabolic intermediates of pyrimidine degradation, alongside the upregulation of cytidine </w:t>
      </w:r>
      <w:bookmarkStart w:id="47" w:name="_Hlk206781977"/>
      <w:r w:rsidRPr="009F784F">
        <w:rPr>
          <w:rFonts w:cs="Times New Roman"/>
          <w:sz w:val="24"/>
          <w:szCs w:val="28"/>
        </w:rPr>
        <w:t>(</w:t>
      </w:r>
      <w:r w:rsidR="008C3C89" w:rsidRPr="009F784F">
        <w:rPr>
          <w:rFonts w:cs="Times New Roman"/>
          <w:sz w:val="24"/>
          <w:szCs w:val="28"/>
          <w:lang w:val="en-GB"/>
        </w:rPr>
        <w:t>supplementary figure 9A</w:t>
      </w:r>
      <w:r w:rsidRPr="009F784F">
        <w:rPr>
          <w:rFonts w:cs="Times New Roman"/>
          <w:sz w:val="24"/>
          <w:szCs w:val="28"/>
        </w:rPr>
        <w:t>)</w:t>
      </w:r>
      <w:bookmarkEnd w:id="47"/>
      <w:r w:rsidRPr="009F784F">
        <w:rPr>
          <w:rFonts w:cs="Times New Roman"/>
          <w:sz w:val="24"/>
          <w:szCs w:val="28"/>
        </w:rPr>
        <w:t>, a salvageable nucleoside. This pattern suggests a shift away from pyrimidine catabolism toward enhanced salvage or preservation of nucleosides. Functionally, this may reflect reduced pyrimidine breakdown and an increased pool of cytidine available for RNA synthesis or nucleotide recycling, potentially supporting altered nucleotide homeostasis during treatment with DITPA.</w:t>
      </w:r>
    </w:p>
    <w:p w14:paraId="028CF6F7" w14:textId="287890F0" w:rsidR="00B52D8F" w:rsidRPr="009F784F" w:rsidRDefault="00B52D8F" w:rsidP="00641B58">
      <w:pPr>
        <w:spacing w:line="480" w:lineRule="auto"/>
        <w:rPr>
          <w:rFonts w:cs="Times New Roman"/>
          <w:sz w:val="24"/>
          <w:szCs w:val="28"/>
        </w:rPr>
      </w:pPr>
      <w:r w:rsidRPr="009F784F">
        <w:rPr>
          <w:rFonts w:cs="Times New Roman"/>
          <w:sz w:val="24"/>
          <w:szCs w:val="28"/>
        </w:rPr>
        <w:t>Untargeted metabolomics of TSC from DITPA</w:t>
      </w:r>
      <w:r w:rsidR="00D3137A" w:rsidRPr="009F784F">
        <w:rPr>
          <w:rFonts w:cs="Times New Roman"/>
          <w:sz w:val="24"/>
          <w:szCs w:val="28"/>
        </w:rPr>
        <w:t>–</w:t>
      </w:r>
      <w:r w:rsidRPr="009F784F">
        <w:rPr>
          <w:rFonts w:cs="Times New Roman"/>
          <w:sz w:val="24"/>
          <w:szCs w:val="28"/>
        </w:rPr>
        <w:t>treated EAE mice, compared to LT3 treatment, revealed 23 upregulated and 32 downregulated metabolites (</w:t>
      </w:r>
      <w:r w:rsidR="008A0E03" w:rsidRPr="009F784F">
        <w:rPr>
          <w:rFonts w:cs="Times New Roman"/>
          <w:sz w:val="24"/>
          <w:szCs w:val="28"/>
        </w:rPr>
        <w:t>s</w:t>
      </w:r>
      <w:r w:rsidR="00E65447" w:rsidRPr="009F784F">
        <w:rPr>
          <w:rFonts w:cs="Times New Roman"/>
          <w:sz w:val="24"/>
          <w:szCs w:val="28"/>
        </w:rPr>
        <w:t>upplementary figures</w:t>
      </w:r>
      <w:r w:rsidRPr="009F784F">
        <w:rPr>
          <w:rFonts w:cs="Times New Roman"/>
          <w:sz w:val="24"/>
          <w:szCs w:val="28"/>
        </w:rPr>
        <w:t xml:space="preserve"> </w:t>
      </w:r>
      <w:r w:rsidR="003B476B" w:rsidRPr="009F784F">
        <w:rPr>
          <w:rFonts w:cs="Times New Roman"/>
          <w:sz w:val="24"/>
          <w:szCs w:val="28"/>
        </w:rPr>
        <w:t>6</w:t>
      </w:r>
      <w:r w:rsidRPr="009F784F">
        <w:rPr>
          <w:rFonts w:cs="Times New Roman"/>
          <w:sz w:val="24"/>
          <w:szCs w:val="28"/>
        </w:rPr>
        <w:t xml:space="preserve">D and J, </w:t>
      </w:r>
      <w:r w:rsidR="008A0E03" w:rsidRPr="009F784F">
        <w:rPr>
          <w:rFonts w:cs="Times New Roman"/>
          <w:sz w:val="24"/>
          <w:szCs w:val="28"/>
        </w:rPr>
        <w:t>s</w:t>
      </w:r>
      <w:r w:rsidR="00E65447" w:rsidRPr="009F784F">
        <w:rPr>
          <w:rFonts w:cs="Times New Roman"/>
          <w:sz w:val="24"/>
          <w:szCs w:val="28"/>
        </w:rPr>
        <w:t>upplementary table</w:t>
      </w:r>
      <w:r w:rsidR="003B476B" w:rsidRPr="009F784F">
        <w:rPr>
          <w:rFonts w:cs="Times New Roman"/>
          <w:sz w:val="24"/>
          <w:szCs w:val="28"/>
        </w:rPr>
        <w:t xml:space="preserve"> 13</w:t>
      </w:r>
      <w:r w:rsidRPr="009F784F">
        <w:rPr>
          <w:rFonts w:cs="Times New Roman"/>
          <w:sz w:val="24"/>
          <w:szCs w:val="28"/>
        </w:rPr>
        <w:t>). Pathway analysis identified a significant disruption of pyrimidine (</w:t>
      </w:r>
      <w:r w:rsidRPr="009F784F">
        <w:rPr>
          <w:rFonts w:cs="Times New Roman"/>
          <w:i/>
          <w:iCs/>
          <w:sz w:val="24"/>
          <w:szCs w:val="28"/>
        </w:rPr>
        <w:t>p</w:t>
      </w:r>
      <w:r w:rsidRPr="009F784F">
        <w:rPr>
          <w:rFonts w:cs="Times New Roman"/>
          <w:sz w:val="24"/>
          <w:szCs w:val="28"/>
        </w:rPr>
        <w:t>=</w:t>
      </w:r>
      <w:r w:rsidR="00E65447" w:rsidRPr="009F784F">
        <w:rPr>
          <w:rFonts w:cs="Times New Roman"/>
          <w:sz w:val="24"/>
          <w:szCs w:val="28"/>
        </w:rPr>
        <w:t>0·0</w:t>
      </w:r>
      <w:r w:rsidRPr="009F784F">
        <w:rPr>
          <w:rFonts w:cs="Times New Roman"/>
          <w:sz w:val="24"/>
          <w:szCs w:val="28"/>
        </w:rPr>
        <w:t xml:space="preserve">02) and </w:t>
      </w:r>
      <w:proofErr w:type="spellStart"/>
      <w:r w:rsidRPr="009F784F">
        <w:rPr>
          <w:rFonts w:cs="Times New Roman"/>
          <w:sz w:val="24"/>
          <w:szCs w:val="28"/>
        </w:rPr>
        <w:t>glycerolipid</w:t>
      </w:r>
      <w:proofErr w:type="spellEnd"/>
      <w:r w:rsidRPr="009F784F">
        <w:rPr>
          <w:rFonts w:cs="Times New Roman"/>
          <w:sz w:val="24"/>
          <w:szCs w:val="28"/>
        </w:rPr>
        <w:t xml:space="preserve"> (</w:t>
      </w:r>
      <w:r w:rsidRPr="009F784F">
        <w:rPr>
          <w:rFonts w:cs="Times New Roman"/>
          <w:i/>
          <w:iCs/>
          <w:sz w:val="24"/>
          <w:szCs w:val="28"/>
        </w:rPr>
        <w:t>p</w:t>
      </w:r>
      <w:r w:rsidRPr="009F784F">
        <w:rPr>
          <w:rFonts w:cs="Times New Roman"/>
          <w:sz w:val="24"/>
          <w:szCs w:val="28"/>
        </w:rPr>
        <w:t>=</w:t>
      </w:r>
      <w:r w:rsidR="00E65447" w:rsidRPr="009F784F">
        <w:rPr>
          <w:rFonts w:cs="Times New Roman"/>
          <w:sz w:val="24"/>
          <w:szCs w:val="28"/>
        </w:rPr>
        <w:t>0·0</w:t>
      </w:r>
      <w:r w:rsidRPr="009F784F">
        <w:rPr>
          <w:rFonts w:cs="Times New Roman"/>
          <w:sz w:val="24"/>
          <w:szCs w:val="28"/>
        </w:rPr>
        <w:t>07) metabolism (</w:t>
      </w:r>
      <w:r w:rsidR="008A0E03" w:rsidRPr="009F784F">
        <w:rPr>
          <w:rFonts w:cs="Times New Roman"/>
          <w:sz w:val="24"/>
          <w:szCs w:val="28"/>
        </w:rPr>
        <w:t>s</w:t>
      </w:r>
      <w:r w:rsidR="00E65447" w:rsidRPr="009F784F">
        <w:rPr>
          <w:rFonts w:cs="Times New Roman"/>
          <w:sz w:val="24"/>
          <w:szCs w:val="28"/>
        </w:rPr>
        <w:t>upplementary figure</w:t>
      </w:r>
      <w:r w:rsidRPr="009F784F">
        <w:rPr>
          <w:rFonts w:cs="Times New Roman"/>
          <w:sz w:val="24"/>
          <w:szCs w:val="28"/>
        </w:rPr>
        <w:t xml:space="preserve"> </w:t>
      </w:r>
      <w:r w:rsidR="003B476B" w:rsidRPr="009F784F">
        <w:rPr>
          <w:rFonts w:cs="Times New Roman"/>
          <w:sz w:val="24"/>
          <w:szCs w:val="28"/>
        </w:rPr>
        <w:t>6</w:t>
      </w:r>
      <w:r w:rsidRPr="009F784F">
        <w:rPr>
          <w:rFonts w:cs="Times New Roman"/>
          <w:sz w:val="24"/>
          <w:szCs w:val="28"/>
        </w:rPr>
        <w:t xml:space="preserve">J, </w:t>
      </w:r>
      <w:r w:rsidR="008A0E03" w:rsidRPr="009F784F">
        <w:rPr>
          <w:rFonts w:cs="Times New Roman"/>
          <w:sz w:val="24"/>
          <w:szCs w:val="28"/>
        </w:rPr>
        <w:t>s</w:t>
      </w:r>
      <w:r w:rsidR="00E65447" w:rsidRPr="009F784F">
        <w:rPr>
          <w:rFonts w:cs="Times New Roman"/>
          <w:sz w:val="24"/>
          <w:szCs w:val="28"/>
        </w:rPr>
        <w:t>upplementary table</w:t>
      </w:r>
      <w:r w:rsidR="003B476B" w:rsidRPr="009F784F">
        <w:rPr>
          <w:rFonts w:cs="Times New Roman"/>
          <w:sz w:val="24"/>
          <w:szCs w:val="28"/>
        </w:rPr>
        <w:t xml:space="preserve"> 14</w:t>
      </w:r>
      <w:r w:rsidRPr="009F784F">
        <w:rPr>
          <w:rFonts w:cs="Times New Roman"/>
          <w:sz w:val="24"/>
          <w:szCs w:val="28"/>
        </w:rPr>
        <w:t xml:space="preserve">), indicating coordinated alterations in nucleotide and lipid homeostasis. </w:t>
      </w:r>
    </w:p>
    <w:p w14:paraId="74EB00BF" w14:textId="4EB154C4" w:rsidR="00B52D8F" w:rsidRPr="009F784F" w:rsidRDefault="00B52D8F" w:rsidP="00641B58">
      <w:pPr>
        <w:spacing w:line="480" w:lineRule="auto"/>
        <w:rPr>
          <w:rFonts w:cs="Times New Roman"/>
          <w:sz w:val="24"/>
          <w:szCs w:val="28"/>
        </w:rPr>
      </w:pPr>
      <w:r w:rsidRPr="009F784F">
        <w:rPr>
          <w:rFonts w:cs="Times New Roman"/>
          <w:sz w:val="24"/>
          <w:szCs w:val="28"/>
        </w:rPr>
        <w:t xml:space="preserve">DITPA treatment showed marked disruptions in pyrimidine metabolism, characterized by elevations in cytidine and deoxycytidine and concomitant reductions in </w:t>
      </w:r>
      <w:proofErr w:type="spellStart"/>
      <w:r w:rsidRPr="009F784F">
        <w:rPr>
          <w:rFonts w:cs="Times New Roman"/>
          <w:sz w:val="24"/>
          <w:szCs w:val="28"/>
        </w:rPr>
        <w:t>deoxyuridine</w:t>
      </w:r>
      <w:proofErr w:type="spellEnd"/>
      <w:r w:rsidRPr="009F784F">
        <w:rPr>
          <w:rFonts w:cs="Times New Roman"/>
          <w:sz w:val="24"/>
          <w:szCs w:val="28"/>
        </w:rPr>
        <w:t xml:space="preserve"> and thymine (</w:t>
      </w:r>
      <w:r w:rsidR="003F7737" w:rsidRPr="009F784F">
        <w:rPr>
          <w:rFonts w:cs="Times New Roman"/>
          <w:sz w:val="24"/>
          <w:szCs w:val="28"/>
          <w:lang w:val="en-GB"/>
        </w:rPr>
        <w:t>supplementary figure 9B</w:t>
      </w:r>
      <w:r w:rsidRPr="009F784F">
        <w:rPr>
          <w:rFonts w:cs="Times New Roman"/>
          <w:sz w:val="24"/>
          <w:szCs w:val="28"/>
        </w:rPr>
        <w:t xml:space="preserve">). These shifts suggest altered nucleotide turnover and salvage pathway activity. Elevated cytidine pools may support membrane phospholipid synthesis and repair of damaged myelin, while reduced thymine and </w:t>
      </w:r>
      <w:proofErr w:type="spellStart"/>
      <w:r w:rsidRPr="009F784F">
        <w:rPr>
          <w:rFonts w:cs="Times New Roman"/>
          <w:sz w:val="24"/>
          <w:szCs w:val="28"/>
        </w:rPr>
        <w:t>deoxyuridine</w:t>
      </w:r>
      <w:proofErr w:type="spellEnd"/>
      <w:r w:rsidRPr="009F784F">
        <w:rPr>
          <w:rFonts w:cs="Times New Roman"/>
          <w:sz w:val="24"/>
          <w:szCs w:val="28"/>
        </w:rPr>
        <w:t xml:space="preserve"> imply decreased DNA catabolism (refer to review</w:t>
      </w:r>
      <w:r w:rsidRPr="009F784F">
        <w:rPr>
          <w:rFonts w:cs="Times New Roman"/>
          <w:sz w:val="24"/>
          <w:szCs w:val="28"/>
        </w:rPr>
        <w:fldChar w:fldCharType="begin"/>
      </w:r>
      <w:r w:rsidR="00437E0B">
        <w:rPr>
          <w:rFonts w:cs="Times New Roman"/>
          <w:sz w:val="24"/>
          <w:szCs w:val="28"/>
        </w:rPr>
        <w:instrText xml:space="preserve"> ADDIN EN.CITE &lt;EndNote&gt;&lt;Cite&gt;&lt;Author&gt;Cansev&lt;/Author&gt;&lt;Year&gt;2006&lt;/Year&gt;&lt;RecNum&gt;693&lt;/RecNum&gt;&lt;DisplayText&gt;&lt;style face="superscript"&gt;26&lt;/style&gt;&lt;/DisplayText&gt;&lt;record&gt;&lt;rec-number&gt;693&lt;/rec-number&gt;&lt;foreign-keys&gt;&lt;key app="EN" db-id="05xad0tf15f9weepssy5td09frpw0wxe5vfa" timestamp="1756087327"&gt;693&lt;/key&gt;&lt;/foreign-keys&gt;&lt;ref-type name="Journal Article"&gt;17&lt;/ref-type&gt;&lt;contributors&gt;&lt;authors&gt;&lt;author&gt;Cansev, M.&lt;/author&gt;&lt;/authors&gt;&lt;/contributors&gt;&lt;auth-address&gt;Department of Brain and Cognitive Sciences, Massachusetts Institute of Technology, Cambridge, 02139, USA. mcansev@mit.edu&lt;/auth-address&gt;&lt;titles&gt;&lt;title&gt;Uridine and cytidine in the brain: their transport and utilization&lt;/title&gt;&lt;secondary-title&gt;Brain Res Rev&lt;/secondary-title&gt;&lt;/titles&gt;&lt;pages&gt;389-97&lt;/pages&gt;&lt;volume&gt;52&lt;/volume&gt;&lt;number&gt;2&lt;/number&gt;&lt;edition&gt;2006/06/14&lt;/edition&gt;&lt;keywords&gt;&lt;keyword&gt;Animals&lt;/keyword&gt;&lt;keyword&gt;Blood-Brain Barrier/*metabolism&lt;/keyword&gt;&lt;keyword&gt;Brain/*metabolism&lt;/keyword&gt;&lt;keyword&gt;Cytidine/*metabolism&lt;/keyword&gt;&lt;keyword&gt;Humans&lt;/keyword&gt;&lt;keyword&gt;Membrane Transport Proteins/metabolism&lt;/keyword&gt;&lt;keyword&gt;Neurodegenerative Diseases/metabolism/physiopathology&lt;/keyword&gt;&lt;keyword&gt;Nucleoside Transport Proteins/*metabolism&lt;/keyword&gt;&lt;keyword&gt;Phospholipids/biosynthesis&lt;/keyword&gt;&lt;keyword&gt;Uridine/*metabolism&lt;/keyword&gt;&lt;/keywords&gt;&lt;dates&gt;&lt;year&gt;2006&lt;/year&gt;&lt;pub-dates&gt;&lt;date&gt;Sep&lt;/date&gt;&lt;/pub-dates&gt;&lt;/dates&gt;&lt;isbn&gt;0165-0173 (Print)&amp;#xD;0165-0173&lt;/isbn&gt;&lt;accession-num&gt;16769123&lt;/accession-num&gt;&lt;urls&gt;&lt;/urls&gt;&lt;electronic-resource-num&gt;10.1016/j.brainresrev.2006.05.001&lt;/electronic-resource-num&gt;&lt;remote-database-provider&gt;NLM&lt;/remote-database-provider&gt;&lt;language&gt;eng&lt;/language&gt;&lt;/record&gt;&lt;/Cite&gt;&lt;/EndNote&gt;</w:instrText>
      </w:r>
      <w:r w:rsidRPr="009F784F">
        <w:rPr>
          <w:rFonts w:cs="Times New Roman"/>
          <w:sz w:val="24"/>
          <w:szCs w:val="28"/>
        </w:rPr>
        <w:fldChar w:fldCharType="separate"/>
      </w:r>
      <w:r w:rsidR="00437E0B" w:rsidRPr="00437E0B">
        <w:rPr>
          <w:rFonts w:cs="Times New Roman"/>
          <w:noProof/>
          <w:sz w:val="24"/>
          <w:szCs w:val="28"/>
          <w:vertAlign w:val="superscript"/>
        </w:rPr>
        <w:t>26</w:t>
      </w:r>
      <w:r w:rsidRPr="009F784F">
        <w:rPr>
          <w:rFonts w:cs="Times New Roman"/>
          <w:sz w:val="24"/>
          <w:szCs w:val="28"/>
        </w:rPr>
        <w:fldChar w:fldCharType="end"/>
      </w:r>
      <w:r w:rsidRPr="009F784F">
        <w:rPr>
          <w:rFonts w:cs="Times New Roman"/>
          <w:sz w:val="24"/>
          <w:szCs w:val="28"/>
        </w:rPr>
        <w:t>), collectively reflecting an adaptive metabolic state favouring neuronal and glial preservation.</w:t>
      </w:r>
    </w:p>
    <w:p w14:paraId="7688A73B" w14:textId="1AB9714D" w:rsidR="00B52D8F" w:rsidRPr="009F784F" w:rsidRDefault="00B52D8F" w:rsidP="00641B58">
      <w:pPr>
        <w:spacing w:line="480" w:lineRule="auto"/>
        <w:rPr>
          <w:rFonts w:cs="Times New Roman"/>
          <w:sz w:val="24"/>
          <w:szCs w:val="28"/>
        </w:rPr>
      </w:pPr>
      <w:r w:rsidRPr="009F784F">
        <w:rPr>
          <w:rFonts w:cs="Times New Roman"/>
          <w:sz w:val="24"/>
          <w:szCs w:val="28"/>
        </w:rPr>
        <w:t>Increased glycerol</w:t>
      </w:r>
      <w:r w:rsidR="00D3137A" w:rsidRPr="009F784F">
        <w:rPr>
          <w:rFonts w:cs="Times New Roman"/>
          <w:sz w:val="24"/>
          <w:szCs w:val="28"/>
        </w:rPr>
        <w:t>–</w:t>
      </w:r>
      <w:r w:rsidRPr="009F784F">
        <w:rPr>
          <w:rFonts w:cs="Times New Roman"/>
          <w:sz w:val="24"/>
          <w:szCs w:val="28"/>
        </w:rPr>
        <w:t>3</w:t>
      </w:r>
      <w:r w:rsidR="00D3137A" w:rsidRPr="009F784F">
        <w:rPr>
          <w:rFonts w:cs="Times New Roman"/>
          <w:sz w:val="24"/>
          <w:szCs w:val="28"/>
        </w:rPr>
        <w:t>–</w:t>
      </w:r>
      <w:r w:rsidRPr="009F784F">
        <w:rPr>
          <w:rFonts w:cs="Times New Roman"/>
          <w:sz w:val="24"/>
          <w:szCs w:val="28"/>
        </w:rPr>
        <w:t>phosphate and accumulation of a triacylglycerol species enriched in medium</w:t>
      </w:r>
      <w:r w:rsidR="00D3137A" w:rsidRPr="009F784F">
        <w:rPr>
          <w:rFonts w:cs="Times New Roman"/>
          <w:sz w:val="24"/>
          <w:szCs w:val="28"/>
        </w:rPr>
        <w:t>–</w:t>
      </w:r>
      <w:r w:rsidRPr="009F784F">
        <w:rPr>
          <w:rFonts w:cs="Times New Roman"/>
          <w:sz w:val="24"/>
          <w:szCs w:val="28"/>
        </w:rPr>
        <w:t>chain, polyunsaturated, and very</w:t>
      </w:r>
      <w:r w:rsidR="008A0E03" w:rsidRPr="009F784F">
        <w:rPr>
          <w:rFonts w:cs="Times New Roman"/>
          <w:sz w:val="24"/>
          <w:szCs w:val="28"/>
        </w:rPr>
        <w:t xml:space="preserve"> </w:t>
      </w:r>
      <w:r w:rsidRPr="009F784F">
        <w:rPr>
          <w:rFonts w:cs="Times New Roman"/>
          <w:sz w:val="24"/>
          <w:szCs w:val="28"/>
        </w:rPr>
        <w:t>long</w:t>
      </w:r>
      <w:r w:rsidR="008A0E03" w:rsidRPr="009F784F">
        <w:rPr>
          <w:rFonts w:cs="Times New Roman"/>
          <w:sz w:val="24"/>
          <w:szCs w:val="28"/>
        </w:rPr>
        <w:t xml:space="preserve"> </w:t>
      </w:r>
      <w:r w:rsidRPr="009F784F">
        <w:rPr>
          <w:rFonts w:cs="Times New Roman"/>
          <w:sz w:val="24"/>
          <w:szCs w:val="28"/>
        </w:rPr>
        <w:t xml:space="preserve">chain fatty acids (TG 12:0/20:3/22:0[iso6]) point to active </w:t>
      </w:r>
      <w:proofErr w:type="spellStart"/>
      <w:r w:rsidRPr="009F784F">
        <w:rPr>
          <w:rFonts w:cs="Times New Roman"/>
          <w:sz w:val="24"/>
          <w:szCs w:val="28"/>
        </w:rPr>
        <w:t>glycerolipid</w:t>
      </w:r>
      <w:proofErr w:type="spellEnd"/>
      <w:r w:rsidRPr="009F784F">
        <w:rPr>
          <w:rFonts w:cs="Times New Roman"/>
          <w:sz w:val="24"/>
          <w:szCs w:val="28"/>
        </w:rPr>
        <w:t xml:space="preserve"> remodelling (</w:t>
      </w:r>
      <w:r w:rsidR="003F7737" w:rsidRPr="009F784F">
        <w:rPr>
          <w:rFonts w:cs="Times New Roman"/>
          <w:sz w:val="24"/>
          <w:szCs w:val="28"/>
          <w:lang w:val="en-GB"/>
        </w:rPr>
        <w:t>supplementary figure 9B</w:t>
      </w:r>
      <w:r w:rsidRPr="009F784F">
        <w:rPr>
          <w:rFonts w:cs="Times New Roman"/>
          <w:sz w:val="24"/>
          <w:szCs w:val="28"/>
        </w:rPr>
        <w:t xml:space="preserve">). This likely reflects enhanced availability of glycerol backbones for membrane lipid synthesis and sequestration of </w:t>
      </w:r>
      <w:r w:rsidRPr="009F784F">
        <w:rPr>
          <w:rFonts w:cs="Times New Roman"/>
          <w:sz w:val="24"/>
          <w:szCs w:val="28"/>
        </w:rPr>
        <w:lastRenderedPageBreak/>
        <w:t>polyunsaturated fatty acids into neutral lipids (triacylglycerols), which can protect membranes from peroxidation and dampen lipid</w:t>
      </w:r>
      <w:r w:rsidR="00D3137A" w:rsidRPr="009F784F">
        <w:rPr>
          <w:rFonts w:cs="Times New Roman"/>
          <w:sz w:val="24"/>
          <w:szCs w:val="28"/>
        </w:rPr>
        <w:t>–</w:t>
      </w:r>
      <w:r w:rsidRPr="009F784F">
        <w:rPr>
          <w:rFonts w:cs="Times New Roman"/>
          <w:sz w:val="24"/>
          <w:szCs w:val="28"/>
        </w:rPr>
        <w:t xml:space="preserve">driven inflammatory </w:t>
      </w:r>
      <w:r w:rsidR="005A2877" w:rsidRPr="009F784F">
        <w:rPr>
          <w:rFonts w:cs="Times New Roman"/>
          <w:sz w:val="24"/>
          <w:szCs w:val="28"/>
        </w:rPr>
        <w:t>signalling</w:t>
      </w:r>
      <w:r w:rsidRPr="009F784F">
        <w:rPr>
          <w:rFonts w:cs="Times New Roman"/>
          <w:sz w:val="24"/>
          <w:szCs w:val="28"/>
        </w:rPr>
        <w:t>.</w:t>
      </w:r>
      <w:r w:rsidR="005C3D87" w:rsidRPr="009F784F">
        <w:rPr>
          <w:rFonts w:cs="Times New Roman"/>
          <w:sz w:val="24"/>
          <w:szCs w:val="28"/>
        </w:rPr>
        <w:t xml:space="preserve"> </w:t>
      </w:r>
    </w:p>
    <w:p w14:paraId="73847F56" w14:textId="0094316B" w:rsidR="00B52D8F" w:rsidRPr="009F784F" w:rsidRDefault="00B52D8F" w:rsidP="00641B58">
      <w:pPr>
        <w:spacing w:line="480" w:lineRule="auto"/>
        <w:rPr>
          <w:rFonts w:cs="Times New Roman"/>
          <w:sz w:val="24"/>
          <w:szCs w:val="28"/>
        </w:rPr>
      </w:pPr>
      <w:r w:rsidRPr="009F784F">
        <w:rPr>
          <w:rFonts w:cs="Times New Roman"/>
          <w:sz w:val="24"/>
          <w:szCs w:val="28"/>
        </w:rPr>
        <w:t>Further investigation related to neuroprotection and mitochondrial preservation following DITPA treatment (vs LT3) was assessed from the dysregulated metabolites identified in the volcano plot. However, these did not meet the threshold for pathway</w:t>
      </w:r>
      <w:r w:rsidR="00D3137A" w:rsidRPr="009F784F">
        <w:rPr>
          <w:rFonts w:cs="Times New Roman"/>
          <w:sz w:val="24"/>
          <w:szCs w:val="28"/>
        </w:rPr>
        <w:t>–</w:t>
      </w:r>
      <w:r w:rsidRPr="009F784F">
        <w:rPr>
          <w:rFonts w:cs="Times New Roman"/>
          <w:sz w:val="24"/>
          <w:szCs w:val="28"/>
        </w:rPr>
        <w:t xml:space="preserve">level enrichment using KEGG IDs. Notably, reductions in kynurenine and </w:t>
      </w:r>
      <w:proofErr w:type="spellStart"/>
      <w:r w:rsidRPr="009F784F">
        <w:rPr>
          <w:rFonts w:cs="Times New Roman"/>
          <w:sz w:val="24"/>
          <w:szCs w:val="28"/>
        </w:rPr>
        <w:t>methylimidazoleacetic</w:t>
      </w:r>
      <w:proofErr w:type="spellEnd"/>
      <w:r w:rsidRPr="009F784F">
        <w:rPr>
          <w:rFonts w:cs="Times New Roman"/>
          <w:sz w:val="24"/>
          <w:szCs w:val="28"/>
        </w:rPr>
        <w:t xml:space="preserve"> acid imply downregulation of neurotoxic tryptophan/kynurenine catabolites and histamine turnover, respectively, both of which are implicated during neuroinflammation. Decreased 2</w:t>
      </w:r>
      <w:r w:rsidR="00D3137A" w:rsidRPr="009F784F">
        <w:rPr>
          <w:rFonts w:cs="Times New Roman"/>
          <w:sz w:val="24"/>
          <w:szCs w:val="28"/>
        </w:rPr>
        <w:t>–</w:t>
      </w:r>
      <w:r w:rsidRPr="009F784F">
        <w:rPr>
          <w:rFonts w:cs="Times New Roman"/>
          <w:sz w:val="24"/>
          <w:szCs w:val="28"/>
        </w:rPr>
        <w:t>hydroxybutyric acid may reflect improved redox homeostasis through reduced glutathione utilization (</w:t>
      </w:r>
      <w:bookmarkStart w:id="48" w:name="_Hlk212823950"/>
      <w:r w:rsidR="005C3D87" w:rsidRPr="009F784F">
        <w:rPr>
          <w:rFonts w:cs="Times New Roman"/>
          <w:sz w:val="24"/>
          <w:szCs w:val="28"/>
          <w:lang w:val="en-GB"/>
        </w:rPr>
        <w:t>supplementary figure 9C</w:t>
      </w:r>
      <w:bookmarkEnd w:id="48"/>
      <w:r w:rsidRPr="009F784F">
        <w:rPr>
          <w:rFonts w:cs="Times New Roman"/>
          <w:sz w:val="24"/>
          <w:szCs w:val="28"/>
        </w:rPr>
        <w:t>). Activation of the kynurenine pathway and its divergence toward neurotoxic metabolites have been implicated in the progression of EAE.</w:t>
      </w:r>
      <w:r w:rsidRPr="009F784F">
        <w:rPr>
          <w:rFonts w:cs="Times New Roman"/>
          <w:sz w:val="24"/>
          <w:szCs w:val="28"/>
        </w:rPr>
        <w:fldChar w:fldCharType="begin">
          <w:fldData xml:space="preserve">PEVuZE5vdGU+PENpdGU+PEF1dGhvcj5TdW5kYXJhbTwvQXV0aG9yPjxZZWFyPjIwMjA8L1llYXI+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</w:fldData>
        </w:fldChar>
      </w:r>
      <w:r w:rsidR="00437E0B">
        <w:rPr>
          <w:rFonts w:cs="Times New Roman"/>
          <w:sz w:val="24"/>
          <w:szCs w:val="28"/>
        </w:rPr>
        <w:instrText xml:space="preserve"> ADDIN EN.CITE </w:instrText>
      </w:r>
      <w:r w:rsidR="00437E0B">
        <w:rPr>
          <w:rFonts w:cs="Times New Roman"/>
          <w:sz w:val="24"/>
          <w:szCs w:val="28"/>
        </w:rPr>
        <w:fldChar w:fldCharType="begin">
          <w:fldData xml:space="preserve">PEVuZE5vdGU+PENpdGU+PEF1dGhvcj5TdW5kYXJhbTwvQXV0aG9yPjxZZWFyPjIwMjA8L1llYXI+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</w:fldData>
        </w:fldChar>
      </w:r>
      <w:r w:rsidR="00437E0B">
        <w:rPr>
          <w:rFonts w:cs="Times New Roman"/>
          <w:sz w:val="24"/>
          <w:szCs w:val="28"/>
        </w:rPr>
        <w:instrText xml:space="preserve"> ADDIN EN.CITE.DATA </w:instrText>
      </w:r>
      <w:r w:rsidR="00437E0B">
        <w:rPr>
          <w:rFonts w:cs="Times New Roman"/>
          <w:sz w:val="24"/>
          <w:szCs w:val="28"/>
        </w:rPr>
      </w:r>
      <w:r w:rsidR="00437E0B">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437E0B" w:rsidRPr="00437E0B">
        <w:rPr>
          <w:rFonts w:cs="Times New Roman"/>
          <w:noProof/>
          <w:sz w:val="24"/>
          <w:szCs w:val="28"/>
          <w:vertAlign w:val="superscript"/>
        </w:rPr>
        <w:t>27,28</w:t>
      </w:r>
      <w:r w:rsidRPr="009F784F">
        <w:rPr>
          <w:rFonts w:cs="Times New Roman"/>
          <w:sz w:val="24"/>
          <w:szCs w:val="28"/>
        </w:rPr>
        <w:fldChar w:fldCharType="end"/>
      </w:r>
      <w:r w:rsidRPr="009F784F">
        <w:rPr>
          <w:rFonts w:cs="Times New Roman"/>
          <w:sz w:val="24"/>
          <w:szCs w:val="28"/>
        </w:rPr>
        <w:t xml:space="preserve"> </w:t>
      </w:r>
      <w:r w:rsidRPr="009F784F">
        <w:rPr>
          <w:rFonts w:cs="Times New Roman"/>
          <w:color w:val="222222"/>
          <w:sz w:val="24"/>
          <w:szCs w:val="28"/>
          <w:shd w:val="clear" w:color="auto" w:fill="FFFFFF"/>
        </w:rPr>
        <w:t>Consistent with this, the enhanced levels of 2</w:t>
      </w:r>
      <w:r w:rsidR="00D3137A" w:rsidRPr="009F784F">
        <w:rPr>
          <w:rFonts w:cs="Times New Roman"/>
          <w:color w:val="222222"/>
          <w:sz w:val="24"/>
          <w:szCs w:val="28"/>
          <w:shd w:val="clear" w:color="auto" w:fill="FFFFFF"/>
        </w:rPr>
        <w:t>–</w:t>
      </w:r>
      <w:proofErr w:type="spellStart"/>
      <w:r w:rsidRPr="009F784F">
        <w:rPr>
          <w:rFonts w:cs="Times New Roman"/>
          <w:color w:val="222222"/>
          <w:sz w:val="24"/>
          <w:szCs w:val="28"/>
          <w:shd w:val="clear" w:color="auto" w:fill="FFFFFF"/>
        </w:rPr>
        <w:t>hydroxyisobutyrate</w:t>
      </w:r>
      <w:proofErr w:type="spellEnd"/>
      <w:r w:rsidRPr="009F784F">
        <w:rPr>
          <w:rFonts w:cs="Times New Roman"/>
          <w:color w:val="222222"/>
          <w:sz w:val="24"/>
          <w:szCs w:val="28"/>
          <w:shd w:val="clear" w:color="auto" w:fill="FFFFFF"/>
        </w:rPr>
        <w:t xml:space="preserve"> was reported in patients with active plaques.</w:t>
      </w:r>
      <w:r w:rsidRPr="009F784F">
        <w:rPr>
          <w:rFonts w:cs="Times New Roman"/>
          <w:color w:val="222222"/>
          <w:sz w:val="24"/>
          <w:szCs w:val="28"/>
          <w:shd w:val="clear" w:color="auto" w:fill="FFFFFF"/>
        </w:rPr>
        <w:fldChar w:fldCharType="begin"/>
      </w:r>
      <w:r w:rsidR="00437E0B">
        <w:rPr>
          <w:rFonts w:cs="Times New Roman"/>
          <w:color w:val="222222"/>
          <w:sz w:val="24"/>
          <w:szCs w:val="28"/>
          <w:shd w:val="clear" w:color="auto" w:fill="FFFFFF"/>
        </w:rPr>
        <w:instrText xml:space="preserve"> ADDIN EN.CITE &lt;EndNote&gt;&lt;Cite&gt;&lt;Author&gt;Zahoor&lt;/Author&gt;&lt;Year&gt;2021&lt;/Year&gt;&lt;RecNum&gt;690&lt;/RecNum&gt;&lt;DisplayText&gt;&lt;style face="superscript"&gt;29&lt;/style&gt;&lt;/DisplayText&gt;&lt;record&gt;&lt;rec-number&gt;690&lt;/rec-number&gt;&lt;foreign-keys&gt;&lt;key app="EN" db-id="05xad0tf15f9weepssy5td09frpw0wxe5vfa" timestamp="1756027515"&gt;690&lt;/key&gt;&lt;/foreign-keys&gt;&lt;ref-type name="Journal Article"&gt;17&lt;/ref-type&gt;&lt;contributors&gt;&lt;authors&gt;&lt;author&gt;Zahoor, Insha&lt;/author&gt;&lt;author&gt;Rui, Bin&lt;/author&gt;&lt;author&gt;Khan, Junaid&lt;/author&gt;&lt;author&gt;Datta, Indrani&lt;/author&gt;&lt;author&gt;Giri, Shailendra&lt;/author&gt;&lt;/authors&gt;&lt;/contributors&gt;&lt;titles&gt;&lt;title&gt;An emerging potential of metabolomics in multiple sclerosis: a comprehensive overview&lt;/title&gt;&lt;secondary-title&gt;Cellular and Molecular Life Sciences&lt;/secondary-title&gt;&lt;/titles&gt;&lt;pages&gt;3181-3203&lt;/pages&gt;&lt;volume&gt;78&lt;/volume&gt;&lt;number&gt;7&lt;/number&gt;&lt;dates&gt;&lt;year&gt;2021&lt;/year&gt;&lt;pub-dates&gt;&lt;date&gt;2021/04/01&lt;/date&gt;&lt;/pub-dates&gt;&lt;/dates&gt;&lt;isbn&gt;1420-9071&lt;/isbn&gt;&lt;urls&gt;&lt;related-urls&gt;&lt;url&gt;https://doi.org/10.1007/s00018-020-03733-2&lt;/url&gt;&lt;/related-urls&gt;&lt;/urls&gt;&lt;electronic-resource-num&gt;10.1007/s00018-020-03733-2&lt;/electronic-resource-num&gt;&lt;/record&gt;&lt;/Cite&gt;&lt;/EndNote&gt;</w:instrText>
      </w:r>
      <w:r w:rsidRPr="009F784F">
        <w:rPr>
          <w:rFonts w:cs="Times New Roman"/>
          <w:color w:val="222222"/>
          <w:sz w:val="24"/>
          <w:szCs w:val="28"/>
          <w:shd w:val="clear" w:color="auto" w:fill="FFFFFF"/>
        </w:rPr>
        <w:fldChar w:fldCharType="separate"/>
      </w:r>
      <w:r w:rsidR="00437E0B" w:rsidRPr="00437E0B">
        <w:rPr>
          <w:rFonts w:cs="Times New Roman"/>
          <w:noProof/>
          <w:color w:val="222222"/>
          <w:sz w:val="24"/>
          <w:szCs w:val="28"/>
          <w:shd w:val="clear" w:color="auto" w:fill="FFFFFF"/>
          <w:vertAlign w:val="superscript"/>
        </w:rPr>
        <w:t>29</w:t>
      </w:r>
      <w:r w:rsidRPr="009F784F">
        <w:rPr>
          <w:rFonts w:cs="Times New Roman"/>
          <w:color w:val="222222"/>
          <w:sz w:val="24"/>
          <w:szCs w:val="28"/>
          <w:shd w:val="clear" w:color="auto" w:fill="FFFFFF"/>
        </w:rPr>
        <w:fldChar w:fldCharType="end"/>
      </w:r>
      <w:r w:rsidRPr="009F784F">
        <w:rPr>
          <w:rFonts w:cs="Times New Roman"/>
          <w:sz w:val="24"/>
          <w:szCs w:val="28"/>
        </w:rPr>
        <w:t xml:space="preserve"> In addition, previous study reported that galactosemia is associated with neurological deficits, highlighting the vulnerability of the CNS to galactose dysregulation. In our study, however, galactose levels were increased in DITPA</w:t>
      </w:r>
      <w:r w:rsidR="00D3137A" w:rsidRPr="009F784F">
        <w:rPr>
          <w:rFonts w:cs="Times New Roman"/>
          <w:sz w:val="24"/>
          <w:szCs w:val="28"/>
        </w:rPr>
        <w:t>–</w:t>
      </w:r>
      <w:r w:rsidRPr="009F784F">
        <w:rPr>
          <w:rFonts w:cs="Times New Roman"/>
          <w:sz w:val="24"/>
          <w:szCs w:val="28"/>
        </w:rPr>
        <w:t>treated EAE</w:t>
      </w:r>
      <w:r w:rsidR="00D3137A" w:rsidRPr="009F784F">
        <w:rPr>
          <w:rFonts w:cs="Times New Roman"/>
          <w:sz w:val="24"/>
          <w:szCs w:val="28"/>
        </w:rPr>
        <w:t>–</w:t>
      </w:r>
      <w:r w:rsidRPr="009F784F">
        <w:rPr>
          <w:rFonts w:cs="Times New Roman"/>
          <w:sz w:val="24"/>
          <w:szCs w:val="28"/>
        </w:rPr>
        <w:t>induced mice compared with LT3 (</w:t>
      </w:r>
      <w:r w:rsidR="005C3D87" w:rsidRPr="009F784F">
        <w:rPr>
          <w:rFonts w:cs="Times New Roman"/>
          <w:sz w:val="24"/>
          <w:szCs w:val="28"/>
          <w:lang w:val="en-GB"/>
        </w:rPr>
        <w:t>supplementary figure 9C</w:t>
      </w:r>
      <w:r w:rsidRPr="009F784F">
        <w:rPr>
          <w:rFonts w:cs="Times New Roman"/>
          <w:sz w:val="24"/>
          <w:szCs w:val="28"/>
        </w:rPr>
        <w:t>), which may reflect a distinct mobilization of galactose toward protective metabolic pathways rather than pathological accumulation. However, the observed decrease in betaine indicates altered one</w:t>
      </w:r>
      <w:r w:rsidR="00D3137A" w:rsidRPr="009F784F">
        <w:rPr>
          <w:rFonts w:cs="Times New Roman"/>
          <w:sz w:val="24"/>
          <w:szCs w:val="28"/>
        </w:rPr>
        <w:t>–</w:t>
      </w:r>
      <w:r w:rsidRPr="009F784F">
        <w:rPr>
          <w:rFonts w:cs="Times New Roman"/>
          <w:sz w:val="24"/>
          <w:szCs w:val="28"/>
        </w:rPr>
        <w:t>carbon/methylation status that may reflect increased methylation demand or a depletion of methyl donors, a finding that warrants further investigation given its implications for remyelination and epigenetic regulation (</w:t>
      </w:r>
      <w:r w:rsidR="005C3D87" w:rsidRPr="009F784F">
        <w:rPr>
          <w:rFonts w:cs="Times New Roman"/>
          <w:sz w:val="24"/>
          <w:szCs w:val="28"/>
          <w:lang w:val="en-GB"/>
        </w:rPr>
        <w:t>supplementary figure 9C</w:t>
      </w:r>
      <w:r w:rsidRPr="009F784F">
        <w:rPr>
          <w:rFonts w:cs="Times New Roman"/>
          <w:sz w:val="24"/>
          <w:szCs w:val="28"/>
        </w:rPr>
        <w:t>). Indeed, betaine restored motor function, by reducing neurotoxicity and inflammation in a rat demyelination model,</w:t>
      </w:r>
      <w:r w:rsidRPr="009F784F">
        <w:rPr>
          <w:rFonts w:cs="Times New Roman"/>
          <w:sz w:val="24"/>
          <w:szCs w:val="28"/>
        </w:rPr>
        <w:fldChar w:fldCharType="begin"/>
      </w:r>
      <w:r w:rsidR="00437E0B">
        <w:rPr>
          <w:rFonts w:cs="Times New Roman"/>
          <w:sz w:val="24"/>
          <w:szCs w:val="28"/>
        </w:rPr>
        <w:instrText xml:space="preserve"> ADDIN EN.CITE &lt;EndNote&gt;&lt;Cite&gt;&lt;Author&gt;Essawy&lt;/Author&gt;&lt;Year&gt;2025&lt;/Year&gt;&lt;RecNum&gt;696&lt;/RecNum&gt;&lt;DisplayText&gt;&lt;style face="superscript"&gt;30&lt;/style&gt;&lt;/DisplayText&gt;&lt;record&gt;&lt;rec-number&gt;696&lt;/rec-number&gt;&lt;foreign-keys&gt;&lt;key app="EN" db-id="05xad0tf15f9weepssy5td09frpw0wxe5vfa" timestamp="1756097066"&gt;696&lt;/key&gt;&lt;/foreign-keys&gt;&lt;ref-type name="Journal Article"&gt;17&lt;/ref-type&gt;&lt;contributors&gt;&lt;authors&gt;&lt;author&gt;Essawy, Amina E.&lt;/author&gt;&lt;author&gt;Bekheet, Gihad Jamal&lt;/author&gt;&lt;author&gt;Abdel Salam, Sherine&lt;/author&gt;&lt;author&gt;Alhasani, Reem Hasaballah&lt;/author&gt;&lt;author&gt;Abd Elkader, Heba-Tallah Abd Elrahim&lt;/author&gt;&lt;/authors&gt;&lt;/contributors&gt;&lt;titles&gt;&lt;title&gt;Betaine alleviates deficits in motor behavior, neurotoxic effects, and neuroinflammatory responses in a rat model of demyelination&lt;/title&gt;&lt;secondary-title&gt;Toxicology Reports&lt;/secondary-title&gt;&lt;/titles&gt;&lt;pages&gt;101974&lt;/pages&gt;&lt;volume&gt;14&lt;/volume&gt;&lt;keywords&gt;&lt;keyword&gt;Betaine&lt;/keyword&gt;&lt;keyword&gt;MBP&lt;/keyword&gt;&lt;keyword&gt;Cuprizone&lt;/keyword&gt;&lt;keyword&gt;Inflammation&lt;/keyword&gt;&lt;keyword&gt;Homocysteine&lt;/keyword&gt;&lt;keyword&gt;TEM&lt;/keyword&gt;&lt;/keywords&gt;&lt;dates&gt;&lt;year&gt;2025&lt;/year&gt;&lt;pub-dates&gt;&lt;date&gt;2025/06/01/&lt;/date&gt;&lt;/pub-dates&gt;&lt;/dates&gt;&lt;isbn&gt;2214-7500&lt;/isbn&gt;&lt;urls&gt;&lt;related-urls&gt;&lt;url&gt;https://www.sciencedirect.com/science/article/pii/S2214750025000927&lt;/url&gt;&lt;/related-urls&gt;&lt;/urls&gt;&lt;electronic-resource-num&gt;https://doi.org/10.1016/j.toxrep.2025.101974&lt;/electronic-resource-num&gt;&lt;/record&gt;&lt;/Cite&gt;&lt;/EndNote&gt;</w:instrText>
      </w:r>
      <w:r w:rsidRPr="009F784F">
        <w:rPr>
          <w:rFonts w:cs="Times New Roman"/>
          <w:sz w:val="24"/>
          <w:szCs w:val="28"/>
        </w:rPr>
        <w:fldChar w:fldCharType="separate"/>
      </w:r>
      <w:r w:rsidR="00437E0B" w:rsidRPr="00437E0B">
        <w:rPr>
          <w:rFonts w:cs="Times New Roman"/>
          <w:noProof/>
          <w:sz w:val="24"/>
          <w:szCs w:val="28"/>
          <w:vertAlign w:val="superscript"/>
        </w:rPr>
        <w:t>30</w:t>
      </w:r>
      <w:r w:rsidRPr="009F784F">
        <w:rPr>
          <w:rFonts w:cs="Times New Roman"/>
          <w:sz w:val="24"/>
          <w:szCs w:val="28"/>
        </w:rPr>
        <w:fldChar w:fldCharType="end"/>
      </w:r>
      <w:r w:rsidRPr="009F784F">
        <w:rPr>
          <w:rFonts w:cs="Times New Roman"/>
          <w:sz w:val="24"/>
          <w:szCs w:val="28"/>
        </w:rPr>
        <w:t xml:space="preserve"> and preserves neuronal mitochondria in cuprizone</w:t>
      </w:r>
      <w:r w:rsidR="00D3137A" w:rsidRPr="009F784F">
        <w:rPr>
          <w:rFonts w:cs="Times New Roman"/>
          <w:sz w:val="24"/>
          <w:szCs w:val="28"/>
        </w:rPr>
        <w:t>–</w:t>
      </w:r>
      <w:r w:rsidRPr="009F784F">
        <w:rPr>
          <w:rFonts w:cs="Times New Roman"/>
          <w:sz w:val="24"/>
          <w:szCs w:val="28"/>
        </w:rPr>
        <w:t>induced mouse model of demyelination.</w:t>
      </w:r>
      <w:r w:rsidRPr="009F784F">
        <w:rPr>
          <w:rFonts w:cs="Times New Roman"/>
          <w:sz w:val="24"/>
          <w:szCs w:val="28"/>
        </w:rPr>
        <w:fldChar w:fldCharType="begin">
          <w:fldData xml:space="preserve">PEVuZE5vdGU+PENpdGU+PEF1dGhvcj5TaW5naGFsPC9BdXRob3I+PFllYXI+MjAyMDwvWWVhcj48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</w:fldData>
        </w:fldChar>
      </w:r>
      <w:r w:rsidR="00437E0B">
        <w:rPr>
          <w:rFonts w:cs="Times New Roman"/>
          <w:sz w:val="24"/>
          <w:szCs w:val="28"/>
        </w:rPr>
        <w:instrText xml:space="preserve"> ADDIN EN.CITE </w:instrText>
      </w:r>
      <w:r w:rsidR="00437E0B">
        <w:rPr>
          <w:rFonts w:cs="Times New Roman"/>
          <w:sz w:val="24"/>
          <w:szCs w:val="28"/>
        </w:rPr>
        <w:fldChar w:fldCharType="begin">
          <w:fldData xml:space="preserve">PEVuZE5vdGU+PENpdGU+PEF1dGhvcj5TaW5naGFsPC9BdXRob3I+PFllYXI+MjAyMDwvWWVhcj48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</w:fldData>
        </w:fldChar>
      </w:r>
      <w:r w:rsidR="00437E0B">
        <w:rPr>
          <w:rFonts w:cs="Times New Roman"/>
          <w:sz w:val="24"/>
          <w:szCs w:val="28"/>
        </w:rPr>
        <w:instrText xml:space="preserve"> ADDIN EN.CITE.DATA </w:instrText>
      </w:r>
      <w:r w:rsidR="00437E0B">
        <w:rPr>
          <w:rFonts w:cs="Times New Roman"/>
          <w:sz w:val="24"/>
          <w:szCs w:val="28"/>
        </w:rPr>
      </w:r>
      <w:r w:rsidR="00437E0B">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437E0B" w:rsidRPr="00437E0B">
        <w:rPr>
          <w:rFonts w:cs="Times New Roman"/>
          <w:noProof/>
          <w:sz w:val="24"/>
          <w:szCs w:val="28"/>
          <w:vertAlign w:val="superscript"/>
        </w:rPr>
        <w:t>31</w:t>
      </w:r>
      <w:r w:rsidRPr="009F784F">
        <w:rPr>
          <w:rFonts w:cs="Times New Roman"/>
          <w:sz w:val="24"/>
          <w:szCs w:val="28"/>
        </w:rPr>
        <w:fldChar w:fldCharType="end"/>
      </w:r>
    </w:p>
    <w:p w14:paraId="3D15FEA7" w14:textId="476BD95B" w:rsidR="00AB4148" w:rsidRPr="009F784F" w:rsidRDefault="00B52D8F" w:rsidP="00641B58">
      <w:pPr>
        <w:spacing w:line="480" w:lineRule="auto"/>
        <w:rPr>
          <w:rFonts w:cs="Times New Roman"/>
          <w:sz w:val="24"/>
          <w:szCs w:val="28"/>
        </w:rPr>
      </w:pPr>
      <w:r w:rsidRPr="009F784F">
        <w:rPr>
          <w:rFonts w:cs="Times New Roman"/>
          <w:sz w:val="24"/>
          <w:szCs w:val="28"/>
        </w:rPr>
        <w:t xml:space="preserve"> In addition, we observed that DITPA treatment in EAE</w:t>
      </w:r>
      <w:r w:rsidR="00D3137A" w:rsidRPr="009F784F">
        <w:rPr>
          <w:rFonts w:cs="Times New Roman"/>
          <w:sz w:val="24"/>
          <w:szCs w:val="28"/>
        </w:rPr>
        <w:t>–</w:t>
      </w:r>
      <w:r w:rsidRPr="009F784F">
        <w:rPr>
          <w:rFonts w:cs="Times New Roman"/>
          <w:sz w:val="24"/>
          <w:szCs w:val="28"/>
        </w:rPr>
        <w:t xml:space="preserve">induced mice </w:t>
      </w:r>
      <w:r w:rsidR="005C3D87" w:rsidRPr="009F784F">
        <w:rPr>
          <w:rFonts w:cs="Times New Roman"/>
          <w:sz w:val="24"/>
          <w:szCs w:val="28"/>
        </w:rPr>
        <w:t>were</w:t>
      </w:r>
      <w:r w:rsidRPr="009F784F">
        <w:rPr>
          <w:rFonts w:cs="Times New Roman"/>
          <w:sz w:val="24"/>
          <w:szCs w:val="28"/>
        </w:rPr>
        <w:t xml:space="preserve"> associated with a decrease in several long</w:t>
      </w:r>
      <w:r w:rsidR="00AD7F03" w:rsidRPr="009F784F">
        <w:rPr>
          <w:rFonts w:cs="Times New Roman"/>
          <w:sz w:val="24"/>
          <w:szCs w:val="28"/>
        </w:rPr>
        <w:t xml:space="preserve"> </w:t>
      </w:r>
      <w:r w:rsidRPr="009F784F">
        <w:rPr>
          <w:rFonts w:cs="Times New Roman"/>
          <w:sz w:val="24"/>
          <w:szCs w:val="28"/>
        </w:rPr>
        <w:t xml:space="preserve">chain and unsaturated </w:t>
      </w:r>
      <w:proofErr w:type="spellStart"/>
      <w:r w:rsidRPr="009F784F">
        <w:rPr>
          <w:rFonts w:cs="Times New Roman"/>
          <w:sz w:val="24"/>
          <w:szCs w:val="28"/>
        </w:rPr>
        <w:t>acylcarnitines</w:t>
      </w:r>
      <w:proofErr w:type="spellEnd"/>
      <w:r w:rsidRPr="009F784F">
        <w:rPr>
          <w:rFonts w:cs="Times New Roman"/>
          <w:sz w:val="24"/>
          <w:szCs w:val="28"/>
        </w:rPr>
        <w:t xml:space="preserve"> identified from the volcano plot </w:t>
      </w:r>
      <w:r w:rsidRPr="009F784F">
        <w:rPr>
          <w:rFonts w:cs="Times New Roman"/>
          <w:sz w:val="24"/>
          <w:szCs w:val="28"/>
        </w:rPr>
        <w:lastRenderedPageBreak/>
        <w:t>results (</w:t>
      </w:r>
      <w:proofErr w:type="spellStart"/>
      <w:r w:rsidRPr="009F784F">
        <w:rPr>
          <w:rFonts w:cs="Times New Roman"/>
          <w:sz w:val="24"/>
          <w:szCs w:val="28"/>
        </w:rPr>
        <w:t>linoelaidyl</w:t>
      </w:r>
      <w:proofErr w:type="spellEnd"/>
      <w:r w:rsidRPr="009F784F">
        <w:rPr>
          <w:rFonts w:cs="Times New Roman"/>
          <w:sz w:val="24"/>
          <w:szCs w:val="28"/>
        </w:rPr>
        <w:t xml:space="preserve"> carnitine, 3</w:t>
      </w:r>
      <w:r w:rsidR="00D3137A" w:rsidRPr="009F784F">
        <w:rPr>
          <w:rFonts w:cs="Times New Roman"/>
          <w:sz w:val="24"/>
          <w:szCs w:val="28"/>
        </w:rPr>
        <w:t>–</w:t>
      </w:r>
      <w:r w:rsidRPr="009F784F">
        <w:rPr>
          <w:rFonts w:cs="Times New Roman"/>
          <w:sz w:val="24"/>
          <w:szCs w:val="28"/>
        </w:rPr>
        <w:t>hydroxy</w:t>
      </w:r>
      <w:r w:rsidR="00D3137A" w:rsidRPr="009F784F">
        <w:rPr>
          <w:rFonts w:cs="Times New Roman"/>
          <w:sz w:val="24"/>
          <w:szCs w:val="28"/>
        </w:rPr>
        <w:t>–</w:t>
      </w:r>
      <w:r w:rsidRPr="009F784F">
        <w:rPr>
          <w:rFonts w:cs="Times New Roman"/>
          <w:sz w:val="24"/>
          <w:szCs w:val="28"/>
        </w:rPr>
        <w:t>9</w:t>
      </w:r>
      <w:r w:rsidR="00D3137A" w:rsidRPr="009F784F">
        <w:rPr>
          <w:rFonts w:cs="Times New Roman"/>
          <w:sz w:val="24"/>
          <w:szCs w:val="28"/>
        </w:rPr>
        <w:t>–</w:t>
      </w:r>
      <w:proofErr w:type="spellStart"/>
      <w:r w:rsidRPr="009F784F">
        <w:rPr>
          <w:rFonts w:cs="Times New Roman"/>
          <w:sz w:val="24"/>
          <w:szCs w:val="28"/>
        </w:rPr>
        <w:t>hexadecenoylcarnitine</w:t>
      </w:r>
      <w:proofErr w:type="spellEnd"/>
      <w:r w:rsidRPr="009F784F">
        <w:rPr>
          <w:rFonts w:cs="Times New Roman"/>
          <w:sz w:val="24"/>
          <w:szCs w:val="28"/>
        </w:rPr>
        <w:t xml:space="preserve">, </w:t>
      </w:r>
      <w:proofErr w:type="spellStart"/>
      <w:r w:rsidRPr="009F784F">
        <w:rPr>
          <w:rFonts w:cs="Times New Roman"/>
          <w:sz w:val="24"/>
          <w:szCs w:val="28"/>
        </w:rPr>
        <w:t>stearoylcarnitine</w:t>
      </w:r>
      <w:proofErr w:type="spellEnd"/>
      <w:r w:rsidRPr="009F784F">
        <w:rPr>
          <w:rFonts w:cs="Times New Roman"/>
          <w:sz w:val="24"/>
          <w:szCs w:val="28"/>
        </w:rPr>
        <w:t>, 9,12</w:t>
      </w:r>
      <w:r w:rsidR="00D3137A" w:rsidRPr="009F784F">
        <w:rPr>
          <w:rFonts w:cs="Times New Roman"/>
          <w:sz w:val="24"/>
          <w:szCs w:val="28"/>
        </w:rPr>
        <w:t>–</w:t>
      </w:r>
      <w:proofErr w:type="spellStart"/>
      <w:r w:rsidRPr="009F784F">
        <w:rPr>
          <w:rFonts w:cs="Times New Roman"/>
          <w:sz w:val="24"/>
          <w:szCs w:val="28"/>
        </w:rPr>
        <w:t>hexadecadienoylcarnitine</w:t>
      </w:r>
      <w:proofErr w:type="spellEnd"/>
      <w:r w:rsidRPr="009F784F">
        <w:rPr>
          <w:rFonts w:cs="Times New Roman"/>
          <w:sz w:val="24"/>
          <w:szCs w:val="28"/>
        </w:rPr>
        <w:t>) [</w:t>
      </w:r>
      <w:r w:rsidR="00AD7F03" w:rsidRPr="009F784F">
        <w:rPr>
          <w:rFonts w:cs="Times New Roman"/>
          <w:sz w:val="24"/>
          <w:szCs w:val="28"/>
        </w:rPr>
        <w:t>s</w:t>
      </w:r>
      <w:r w:rsidR="00E65447" w:rsidRPr="009F784F">
        <w:rPr>
          <w:rFonts w:cs="Times New Roman"/>
          <w:sz w:val="24"/>
          <w:szCs w:val="28"/>
        </w:rPr>
        <w:t>upplementary figure</w:t>
      </w:r>
      <w:r w:rsidRPr="009F784F">
        <w:rPr>
          <w:rFonts w:cs="Times New Roman"/>
          <w:sz w:val="24"/>
          <w:szCs w:val="28"/>
        </w:rPr>
        <w:t xml:space="preserve"> </w:t>
      </w:r>
      <w:r w:rsidR="005C3D87" w:rsidRPr="009F784F">
        <w:rPr>
          <w:rFonts w:cs="Times New Roman"/>
          <w:sz w:val="24"/>
          <w:szCs w:val="28"/>
        </w:rPr>
        <w:t>6</w:t>
      </w:r>
      <w:r w:rsidRPr="009F784F">
        <w:rPr>
          <w:rFonts w:cs="Times New Roman"/>
          <w:sz w:val="24"/>
          <w:szCs w:val="28"/>
        </w:rPr>
        <w:t xml:space="preserve">D, </w:t>
      </w:r>
      <w:r w:rsidR="00AD7F03" w:rsidRPr="009F784F">
        <w:rPr>
          <w:rFonts w:cs="Times New Roman"/>
          <w:sz w:val="24"/>
          <w:szCs w:val="28"/>
        </w:rPr>
        <w:t>supplementary table</w:t>
      </w:r>
      <w:r w:rsidR="005C3D87" w:rsidRPr="009F784F">
        <w:rPr>
          <w:rFonts w:cs="Times New Roman"/>
          <w:sz w:val="24"/>
          <w:szCs w:val="28"/>
        </w:rPr>
        <w:t xml:space="preserve"> 13</w:t>
      </w:r>
      <w:r w:rsidRPr="009F784F">
        <w:rPr>
          <w:rFonts w:cs="Times New Roman"/>
          <w:sz w:val="24"/>
          <w:szCs w:val="28"/>
        </w:rPr>
        <w:t xml:space="preserve">]. Since </w:t>
      </w:r>
      <w:proofErr w:type="spellStart"/>
      <w:r w:rsidRPr="009F784F">
        <w:rPr>
          <w:rFonts w:cs="Times New Roman"/>
          <w:sz w:val="24"/>
          <w:szCs w:val="28"/>
        </w:rPr>
        <w:t>acylcarnitines</w:t>
      </w:r>
      <w:proofErr w:type="spellEnd"/>
      <w:r w:rsidRPr="009F784F">
        <w:rPr>
          <w:rFonts w:cs="Times New Roman"/>
          <w:sz w:val="24"/>
          <w:szCs w:val="28"/>
        </w:rPr>
        <w:t xml:space="preserve"> accumulate under conditions of incomplete β</w:t>
      </w:r>
      <w:r w:rsidR="00D3137A" w:rsidRPr="009F784F">
        <w:rPr>
          <w:rFonts w:cs="Times New Roman"/>
          <w:sz w:val="24"/>
          <w:szCs w:val="28"/>
        </w:rPr>
        <w:t>–</w:t>
      </w:r>
      <w:r w:rsidRPr="009F784F">
        <w:rPr>
          <w:rFonts w:cs="Times New Roman"/>
          <w:sz w:val="24"/>
          <w:szCs w:val="28"/>
        </w:rPr>
        <w:t>oxidation, mitochondrial dysfunction, and lipid peroxidation, was observed to be reduced, such results suggest restoration of mitochondrial efficiency and attenuation of lipid</w:t>
      </w:r>
      <w:r w:rsidR="00D3137A" w:rsidRPr="009F784F">
        <w:rPr>
          <w:rFonts w:cs="Times New Roman"/>
          <w:sz w:val="24"/>
          <w:szCs w:val="28"/>
        </w:rPr>
        <w:t>–</w:t>
      </w:r>
      <w:r w:rsidRPr="009F784F">
        <w:rPr>
          <w:rFonts w:cs="Times New Roman"/>
          <w:sz w:val="24"/>
          <w:szCs w:val="28"/>
        </w:rPr>
        <w:t>derived oxidative stress.</w:t>
      </w:r>
      <w:r w:rsidRPr="009F784F">
        <w:rPr>
          <w:rFonts w:cs="Times New Roman"/>
          <w:sz w:val="24"/>
          <w:szCs w:val="28"/>
        </w:rPr>
        <w:fldChar w:fldCharType="begin">
          <w:fldData xml:space="preserve">PEVuZE5vdGU+PENpdGU+PEF1dGhvcj5BZ3VlcjwvQXV0aG9yPjxZZWFyPjIwMTU8L1llYXI+PFJl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</w:fldData>
        </w:fldChar>
      </w:r>
      <w:r w:rsidR="00437E0B">
        <w:rPr>
          <w:rFonts w:cs="Times New Roman"/>
          <w:sz w:val="24"/>
          <w:szCs w:val="28"/>
        </w:rPr>
        <w:instrText xml:space="preserve"> ADDIN EN.CITE </w:instrText>
      </w:r>
      <w:r w:rsidR="00437E0B">
        <w:rPr>
          <w:rFonts w:cs="Times New Roman"/>
          <w:sz w:val="24"/>
          <w:szCs w:val="28"/>
        </w:rPr>
        <w:fldChar w:fldCharType="begin">
          <w:fldData xml:space="preserve">PEVuZE5vdGU+PENpdGU+PEF1dGhvcj5BZ3VlcjwvQXV0aG9yPjxZZWFyPjIwMTU8L1llYXI+PFJl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</w:fldData>
        </w:fldChar>
      </w:r>
      <w:r w:rsidR="00437E0B">
        <w:rPr>
          <w:rFonts w:cs="Times New Roman"/>
          <w:sz w:val="24"/>
          <w:szCs w:val="28"/>
        </w:rPr>
        <w:instrText xml:space="preserve"> ADDIN EN.CITE.DATA </w:instrText>
      </w:r>
      <w:r w:rsidR="00437E0B">
        <w:rPr>
          <w:rFonts w:cs="Times New Roman"/>
          <w:sz w:val="24"/>
          <w:szCs w:val="28"/>
        </w:rPr>
      </w:r>
      <w:r w:rsidR="00437E0B">
        <w:rPr>
          <w:rFonts w:cs="Times New Roman"/>
          <w:sz w:val="24"/>
          <w:szCs w:val="28"/>
        </w:rPr>
        <w:fldChar w:fldCharType="end"/>
      </w:r>
      <w:r w:rsidRPr="009F784F">
        <w:rPr>
          <w:rFonts w:cs="Times New Roman"/>
          <w:sz w:val="24"/>
          <w:szCs w:val="28"/>
        </w:rPr>
      </w:r>
      <w:r w:rsidRPr="009F784F">
        <w:rPr>
          <w:rFonts w:cs="Times New Roman"/>
          <w:sz w:val="24"/>
          <w:szCs w:val="28"/>
        </w:rPr>
        <w:fldChar w:fldCharType="separate"/>
      </w:r>
      <w:r w:rsidR="00437E0B" w:rsidRPr="00437E0B">
        <w:rPr>
          <w:rFonts w:cs="Times New Roman"/>
          <w:noProof/>
          <w:sz w:val="24"/>
          <w:szCs w:val="28"/>
          <w:vertAlign w:val="superscript"/>
        </w:rPr>
        <w:t>32</w:t>
      </w:r>
      <w:r w:rsidRPr="009F784F">
        <w:rPr>
          <w:rFonts w:cs="Times New Roman"/>
          <w:sz w:val="24"/>
          <w:szCs w:val="28"/>
        </w:rPr>
        <w:fldChar w:fldCharType="end"/>
      </w:r>
      <w:r w:rsidRPr="009F784F">
        <w:rPr>
          <w:rFonts w:cs="Times New Roman"/>
          <w:sz w:val="24"/>
          <w:szCs w:val="28"/>
        </w:rPr>
        <w:t xml:space="preserve"> This metabolic normalization may be consistent with improved neuronal energetics and reduced pro</w:t>
      </w:r>
      <w:r w:rsidR="00D3137A" w:rsidRPr="009F784F">
        <w:rPr>
          <w:rFonts w:cs="Times New Roman"/>
          <w:sz w:val="24"/>
          <w:szCs w:val="28"/>
        </w:rPr>
        <w:t>–</w:t>
      </w:r>
      <w:r w:rsidRPr="009F784F">
        <w:rPr>
          <w:rFonts w:cs="Times New Roman"/>
          <w:sz w:val="24"/>
          <w:szCs w:val="28"/>
        </w:rPr>
        <w:t>inflammatory signalling, supporting a neuroprotective mechanism in EAE.</w:t>
      </w:r>
      <w:r w:rsidR="005C3D87" w:rsidRPr="009F784F">
        <w:rPr>
          <w:rFonts w:cs="Times New Roman"/>
          <w:sz w:val="24"/>
          <w:szCs w:val="28"/>
        </w:rPr>
        <w:t xml:space="preserve"> </w:t>
      </w:r>
    </w:p>
    <w:p w14:paraId="4F25C8C8" w14:textId="77777777" w:rsidR="00AB4148" w:rsidRPr="00641B58" w:rsidRDefault="00AB4148" w:rsidP="00641B58">
      <w:pPr>
        <w:spacing w:line="480" w:lineRule="auto"/>
        <w:jc w:val="left"/>
        <w:rPr>
          <w:rFonts w:cs="Times New Roman"/>
          <w:sz w:val="22"/>
          <w:szCs w:val="24"/>
        </w:rPr>
      </w:pPr>
      <w:r w:rsidRPr="00641B58">
        <w:rPr>
          <w:rFonts w:cs="Times New Roman"/>
          <w:sz w:val="22"/>
          <w:szCs w:val="24"/>
        </w:rPr>
        <w:br w:type="page"/>
      </w:r>
    </w:p>
    <w:p w14:paraId="7FB093C0" w14:textId="0AA1C417" w:rsidR="0060794C" w:rsidRDefault="0060794C" w:rsidP="00CD1F6B">
      <w:pPr>
        <w:pStyle w:val="Style11"/>
      </w:pPr>
      <w:bookmarkStart w:id="49" w:name="_Toc217294934"/>
      <w:r>
        <w:lastRenderedPageBreak/>
        <w:t>Supplementary Figures</w:t>
      </w:r>
      <w:bookmarkEnd w:id="49"/>
    </w:p>
    <w:p w14:paraId="526A5111" w14:textId="2F71674A" w:rsidR="00CD1F6B" w:rsidRDefault="0060794C" w:rsidP="00CD1F6B">
      <w:r>
        <w:rPr>
          <w:noProof/>
        </w:rPr>
        <w:drawing>
          <wp:inline distT="0" distB="0" distL="0" distR="0" wp14:anchorId="56E437C8" wp14:editId="5CE515E6">
            <wp:extent cx="5731510" cy="8105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sidR="00CD1F6B">
        <w:br w:type="page"/>
      </w:r>
    </w:p>
    <w:p w14:paraId="31751F5C" w14:textId="77777777" w:rsidR="0060794C" w:rsidRDefault="0060794C" w:rsidP="0088317E"/>
    <w:p w14:paraId="4625E623" w14:textId="3BBA8E63" w:rsidR="0060794C" w:rsidRDefault="0060794C">
      <w:pPr>
        <w:spacing w:line="259" w:lineRule="auto"/>
        <w:jc w:val="left"/>
        <w:rPr>
          <w:rFonts w:eastAsiaTheme="majorEastAsia" w:cstheme="majorBidi"/>
          <w:b/>
          <w:szCs w:val="32"/>
        </w:rPr>
      </w:pPr>
    </w:p>
    <w:p w14:paraId="47087BF3" w14:textId="3BC2C419" w:rsidR="0060794C" w:rsidRDefault="0060794C" w:rsidP="0060794C">
      <w:r>
        <w:rPr>
          <w:noProof/>
        </w:rPr>
        <w:drawing>
          <wp:inline distT="0" distB="0" distL="0" distR="0" wp14:anchorId="39E9BD1D" wp14:editId="36960C83">
            <wp:extent cx="5731510" cy="68795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879590"/>
                    </a:xfrm>
                    <a:prstGeom prst="rect">
                      <a:avLst/>
                    </a:prstGeom>
                  </pic:spPr>
                </pic:pic>
              </a:graphicData>
            </a:graphic>
          </wp:inline>
        </w:drawing>
      </w:r>
    </w:p>
    <w:p w14:paraId="1A894BEF" w14:textId="77777777" w:rsidR="0060794C" w:rsidRDefault="0060794C">
      <w:pPr>
        <w:spacing w:line="259" w:lineRule="auto"/>
        <w:jc w:val="left"/>
        <w:rPr>
          <w:rFonts w:eastAsiaTheme="majorEastAsia" w:cstheme="majorBidi"/>
          <w:b/>
          <w:szCs w:val="32"/>
        </w:rPr>
      </w:pPr>
      <w:r>
        <w:br w:type="page"/>
      </w:r>
    </w:p>
    <w:p w14:paraId="58529D6F" w14:textId="5C765D81" w:rsidR="0060794C" w:rsidRDefault="0060794C" w:rsidP="0060794C">
      <w:r>
        <w:rPr>
          <w:noProof/>
        </w:rPr>
        <w:lastRenderedPageBreak/>
        <w:drawing>
          <wp:anchor distT="0" distB="0" distL="114300" distR="114300" simplePos="0" relativeHeight="251658240" behindDoc="0" locked="0" layoutInCell="1" allowOverlap="1" wp14:anchorId="43EDFB99" wp14:editId="48829C29">
            <wp:simplePos x="0" y="0"/>
            <wp:positionH relativeFrom="column">
              <wp:posOffset>857250</wp:posOffset>
            </wp:positionH>
            <wp:positionV relativeFrom="paragraph">
              <wp:posOffset>0</wp:posOffset>
            </wp:positionV>
            <wp:extent cx="3667125" cy="68795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r="36018"/>
                    <a:stretch/>
                  </pic:blipFill>
                  <pic:spPr bwMode="auto">
                    <a:xfrm>
                      <a:off x="0" y="0"/>
                      <a:ext cx="3667125" cy="687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9955B" w14:textId="49152B2C" w:rsidR="0060794C" w:rsidRDefault="0060794C">
      <w:pPr>
        <w:spacing w:line="259" w:lineRule="auto"/>
        <w:jc w:val="left"/>
      </w:pPr>
      <w:r>
        <w:br w:type="page"/>
      </w:r>
    </w:p>
    <w:p w14:paraId="73BC4D64" w14:textId="77777777" w:rsidR="00421A6A" w:rsidRDefault="0060794C">
      <w:pPr>
        <w:spacing w:line="259" w:lineRule="auto"/>
        <w:jc w:val="left"/>
      </w:pPr>
      <w:r>
        <w:rPr>
          <w:noProof/>
        </w:rPr>
        <w:lastRenderedPageBreak/>
        <w:drawing>
          <wp:inline distT="0" distB="0" distL="0" distR="0" wp14:anchorId="21F3A25D" wp14:editId="3FABA124">
            <wp:extent cx="5335200" cy="44481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r="32030" b="52787"/>
                    <a:stretch/>
                  </pic:blipFill>
                  <pic:spPr bwMode="auto">
                    <a:xfrm>
                      <a:off x="0" y="0"/>
                      <a:ext cx="5335200" cy="4448174"/>
                    </a:xfrm>
                    <a:prstGeom prst="rect">
                      <a:avLst/>
                    </a:prstGeom>
                    <a:ln>
                      <a:noFill/>
                    </a:ln>
                    <a:extLst>
                      <a:ext uri="{53640926-AAD7-44D8-BBD7-CCE9431645EC}">
                        <a14:shadowObscured xmlns:a14="http://schemas.microsoft.com/office/drawing/2010/main"/>
                      </a:ext>
                    </a:extLst>
                  </pic:spPr>
                </pic:pic>
              </a:graphicData>
            </a:graphic>
          </wp:inline>
        </w:drawing>
      </w:r>
    </w:p>
    <w:p w14:paraId="6EDE9CC2" w14:textId="77777777" w:rsidR="00421A6A" w:rsidRDefault="00421A6A">
      <w:pPr>
        <w:spacing w:line="259" w:lineRule="auto"/>
        <w:jc w:val="left"/>
      </w:pPr>
      <w:r>
        <w:br w:type="page"/>
      </w:r>
    </w:p>
    <w:p w14:paraId="4C261A1D" w14:textId="19F1DE01" w:rsidR="0060794C" w:rsidRDefault="0060794C">
      <w:pPr>
        <w:spacing w:line="259" w:lineRule="auto"/>
        <w:jc w:val="left"/>
      </w:pPr>
      <w:r>
        <w:rPr>
          <w:noProof/>
        </w:rPr>
        <w:lastRenderedPageBreak/>
        <w:drawing>
          <wp:inline distT="0" distB="0" distL="0" distR="0" wp14:anchorId="6401E45E" wp14:editId="6EAEE49C">
            <wp:extent cx="5731510" cy="68795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879590"/>
                    </a:xfrm>
                    <a:prstGeom prst="rect">
                      <a:avLst/>
                    </a:prstGeom>
                  </pic:spPr>
                </pic:pic>
              </a:graphicData>
            </a:graphic>
          </wp:inline>
        </w:drawing>
      </w:r>
      <w:r>
        <w:rPr>
          <w:noProof/>
        </w:rPr>
        <w:lastRenderedPageBreak/>
        <w:drawing>
          <wp:inline distT="0" distB="0" distL="0" distR="0" wp14:anchorId="441164DB" wp14:editId="7EEE4B42">
            <wp:extent cx="5731510" cy="43040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04030"/>
                    </a:xfrm>
                    <a:prstGeom prst="rect">
                      <a:avLst/>
                    </a:prstGeom>
                  </pic:spPr>
                </pic:pic>
              </a:graphicData>
            </a:graphic>
          </wp:inline>
        </w:drawing>
      </w:r>
      <w:r>
        <w:br w:type="page"/>
      </w:r>
    </w:p>
    <w:p w14:paraId="480D80DB" w14:textId="0057F20D" w:rsidR="0060794C" w:rsidRDefault="0060794C">
      <w:pPr>
        <w:spacing w:line="259" w:lineRule="auto"/>
        <w:jc w:val="left"/>
        <w:rPr>
          <w:rFonts w:eastAsiaTheme="majorEastAsia" w:cstheme="majorBidi"/>
          <w:b/>
          <w:szCs w:val="32"/>
        </w:rPr>
      </w:pPr>
      <w:r>
        <w:rPr>
          <w:rFonts w:eastAsiaTheme="majorEastAsia" w:cstheme="majorBidi"/>
          <w:b/>
          <w:noProof/>
          <w:szCs w:val="32"/>
        </w:rPr>
        <w:lastRenderedPageBreak/>
        <w:drawing>
          <wp:inline distT="0" distB="0" distL="0" distR="0" wp14:anchorId="2E92107E" wp14:editId="255EF982">
            <wp:extent cx="5731510" cy="68795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879590"/>
                    </a:xfrm>
                    <a:prstGeom prst="rect">
                      <a:avLst/>
                    </a:prstGeom>
                  </pic:spPr>
                </pic:pic>
              </a:graphicData>
            </a:graphic>
          </wp:inline>
        </w:drawing>
      </w:r>
      <w:r>
        <w:rPr>
          <w:rFonts w:eastAsiaTheme="majorEastAsia" w:cstheme="majorBidi"/>
          <w:b/>
          <w:noProof/>
          <w:szCs w:val="32"/>
        </w:rPr>
        <w:lastRenderedPageBreak/>
        <w:drawing>
          <wp:inline distT="0" distB="0" distL="0" distR="0" wp14:anchorId="153AFCF3" wp14:editId="7CFE34ED">
            <wp:extent cx="5731510" cy="68783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878320"/>
                    </a:xfrm>
                    <a:prstGeom prst="rect">
                      <a:avLst/>
                    </a:prstGeom>
                  </pic:spPr>
                </pic:pic>
              </a:graphicData>
            </a:graphic>
          </wp:inline>
        </w:drawing>
      </w:r>
      <w:r>
        <w:rPr>
          <w:rFonts w:eastAsiaTheme="majorEastAsia" w:cstheme="majorBidi"/>
          <w:b/>
          <w:noProof/>
          <w:szCs w:val="32"/>
        </w:rPr>
        <w:lastRenderedPageBreak/>
        <w:drawing>
          <wp:inline distT="0" distB="0" distL="0" distR="0" wp14:anchorId="48ED834F" wp14:editId="48686508">
            <wp:extent cx="5731510" cy="68783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878320"/>
                    </a:xfrm>
                    <a:prstGeom prst="rect">
                      <a:avLst/>
                    </a:prstGeom>
                  </pic:spPr>
                </pic:pic>
              </a:graphicData>
            </a:graphic>
          </wp:inline>
        </w:drawing>
      </w:r>
    </w:p>
    <w:p w14:paraId="1DF82197" w14:textId="77777777" w:rsidR="0060794C" w:rsidRDefault="0060794C">
      <w:pPr>
        <w:spacing w:line="259" w:lineRule="auto"/>
        <w:jc w:val="left"/>
        <w:rPr>
          <w:rFonts w:eastAsiaTheme="majorEastAsia" w:cstheme="majorBidi"/>
          <w:b/>
          <w:szCs w:val="32"/>
        </w:rPr>
      </w:pPr>
      <w:r>
        <w:rPr>
          <w:rFonts w:eastAsiaTheme="majorEastAsia" w:cstheme="majorBidi"/>
          <w:b/>
          <w:szCs w:val="32"/>
        </w:rPr>
        <w:br w:type="page"/>
      </w:r>
    </w:p>
    <w:p w14:paraId="50ABD3FC" w14:textId="506A65CB" w:rsidR="0060794C" w:rsidRDefault="0060794C">
      <w:pPr>
        <w:spacing w:line="259" w:lineRule="auto"/>
        <w:jc w:val="left"/>
        <w:rPr>
          <w:rFonts w:eastAsiaTheme="majorEastAsia" w:cstheme="majorBidi"/>
          <w:b/>
          <w:szCs w:val="32"/>
        </w:rPr>
      </w:pPr>
      <w:r>
        <w:rPr>
          <w:rFonts w:eastAsiaTheme="majorEastAsia" w:cstheme="majorBidi"/>
          <w:b/>
          <w:noProof/>
          <w:szCs w:val="32"/>
        </w:rPr>
        <w:lastRenderedPageBreak/>
        <w:drawing>
          <wp:inline distT="0" distB="0" distL="0" distR="0" wp14:anchorId="45709413" wp14:editId="37D56513">
            <wp:extent cx="5731510" cy="83115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311515"/>
                    </a:xfrm>
                    <a:prstGeom prst="rect">
                      <a:avLst/>
                    </a:prstGeom>
                  </pic:spPr>
                </pic:pic>
              </a:graphicData>
            </a:graphic>
          </wp:inline>
        </w:drawing>
      </w:r>
      <w:r>
        <w:rPr>
          <w:rFonts w:eastAsiaTheme="majorEastAsia" w:cstheme="majorBidi"/>
          <w:b/>
          <w:noProof/>
          <w:szCs w:val="32"/>
        </w:rPr>
        <w:lastRenderedPageBreak/>
        <w:drawing>
          <wp:inline distT="0" distB="0" distL="0" distR="0" wp14:anchorId="1CCFFCA8" wp14:editId="024F1739">
            <wp:extent cx="5731510" cy="831151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311515"/>
                    </a:xfrm>
                    <a:prstGeom prst="rect">
                      <a:avLst/>
                    </a:prstGeom>
                  </pic:spPr>
                </pic:pic>
              </a:graphicData>
            </a:graphic>
          </wp:inline>
        </w:drawing>
      </w:r>
    </w:p>
    <w:p w14:paraId="6BEDF2F5" w14:textId="356E6AB5" w:rsidR="0060794C" w:rsidRDefault="0060794C">
      <w:pPr>
        <w:spacing w:line="259" w:lineRule="auto"/>
        <w:jc w:val="left"/>
        <w:rPr>
          <w:rFonts w:eastAsiaTheme="majorEastAsia" w:cstheme="majorBidi"/>
          <w:b/>
          <w:szCs w:val="32"/>
        </w:rPr>
      </w:pPr>
      <w:r>
        <w:rPr>
          <w:rFonts w:eastAsiaTheme="majorEastAsia" w:cstheme="majorBidi"/>
          <w:b/>
          <w:szCs w:val="32"/>
        </w:rPr>
        <w:br w:type="page"/>
      </w:r>
    </w:p>
    <w:p w14:paraId="680077B2" w14:textId="5908DCDC" w:rsidR="0060794C" w:rsidRDefault="0060794C">
      <w:pPr>
        <w:spacing w:line="259" w:lineRule="auto"/>
        <w:jc w:val="left"/>
        <w:rPr>
          <w:rFonts w:eastAsiaTheme="majorEastAsia" w:cstheme="majorBidi"/>
          <w:b/>
          <w:szCs w:val="32"/>
        </w:rPr>
      </w:pPr>
      <w:r>
        <w:rPr>
          <w:rFonts w:eastAsiaTheme="majorEastAsia" w:cstheme="majorBidi"/>
          <w:b/>
          <w:noProof/>
          <w:szCs w:val="32"/>
        </w:rPr>
        <w:lastRenderedPageBreak/>
        <w:drawing>
          <wp:inline distT="0" distB="0" distL="0" distR="0" wp14:anchorId="440DB97D" wp14:editId="1EF5BBDE">
            <wp:extent cx="5731510" cy="83115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311515"/>
                    </a:xfrm>
                    <a:prstGeom prst="rect">
                      <a:avLst/>
                    </a:prstGeom>
                  </pic:spPr>
                </pic:pic>
              </a:graphicData>
            </a:graphic>
          </wp:inline>
        </w:drawing>
      </w:r>
      <w:r>
        <w:rPr>
          <w:rFonts w:eastAsiaTheme="majorEastAsia" w:cstheme="majorBidi"/>
          <w:b/>
          <w:szCs w:val="32"/>
        </w:rPr>
        <w:br w:type="page"/>
      </w:r>
    </w:p>
    <w:p w14:paraId="77B9FEBC" w14:textId="27BF678B" w:rsidR="0060794C" w:rsidRDefault="0060794C">
      <w:pPr>
        <w:spacing w:line="259" w:lineRule="auto"/>
        <w:jc w:val="left"/>
        <w:rPr>
          <w:rFonts w:eastAsiaTheme="majorEastAsia" w:cstheme="majorBidi"/>
          <w:b/>
          <w:szCs w:val="32"/>
        </w:rPr>
      </w:pPr>
      <w:r>
        <w:rPr>
          <w:rFonts w:eastAsiaTheme="majorEastAsia" w:cstheme="majorBidi"/>
          <w:b/>
          <w:noProof/>
          <w:szCs w:val="32"/>
        </w:rPr>
        <w:lastRenderedPageBreak/>
        <w:drawing>
          <wp:inline distT="0" distB="0" distL="0" distR="0" wp14:anchorId="7BE77995" wp14:editId="2A146948">
            <wp:extent cx="5731510" cy="83115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311515"/>
                    </a:xfrm>
                    <a:prstGeom prst="rect">
                      <a:avLst/>
                    </a:prstGeom>
                  </pic:spPr>
                </pic:pic>
              </a:graphicData>
            </a:graphic>
          </wp:inline>
        </w:drawing>
      </w:r>
      <w:r>
        <w:rPr>
          <w:rFonts w:eastAsiaTheme="majorEastAsia" w:cstheme="majorBidi"/>
          <w:b/>
          <w:noProof/>
          <w:szCs w:val="32"/>
        </w:rPr>
        <w:lastRenderedPageBreak/>
        <w:drawing>
          <wp:inline distT="0" distB="0" distL="0" distR="0" wp14:anchorId="74F40E65" wp14:editId="67D72CAF">
            <wp:extent cx="5731510" cy="83115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311515"/>
                    </a:xfrm>
                    <a:prstGeom prst="rect">
                      <a:avLst/>
                    </a:prstGeom>
                  </pic:spPr>
                </pic:pic>
              </a:graphicData>
            </a:graphic>
          </wp:inline>
        </w:drawing>
      </w:r>
    </w:p>
    <w:p w14:paraId="60CA7E79" w14:textId="1350F764" w:rsidR="00CD1F6B" w:rsidRDefault="0060794C">
      <w:pPr>
        <w:spacing w:line="259" w:lineRule="auto"/>
        <w:jc w:val="left"/>
        <w:rPr>
          <w:rFonts w:eastAsiaTheme="majorEastAsia" w:cstheme="majorBidi"/>
          <w:b/>
          <w:szCs w:val="32"/>
        </w:rPr>
      </w:pPr>
      <w:r>
        <w:rPr>
          <w:rFonts w:eastAsiaTheme="majorEastAsia" w:cstheme="majorBidi"/>
          <w:b/>
          <w:szCs w:val="32"/>
        </w:rPr>
        <w:br w:type="page"/>
      </w:r>
    </w:p>
    <w:p w14:paraId="631AB9A6" w14:textId="5BDFCD61" w:rsidR="00CD1F6B" w:rsidRDefault="00CD1F6B">
      <w:pPr>
        <w:spacing w:line="259" w:lineRule="auto"/>
        <w:jc w:val="left"/>
        <w:rPr>
          <w:rFonts w:eastAsiaTheme="majorEastAsia" w:cstheme="majorBidi"/>
          <w:b/>
          <w:szCs w:val="32"/>
        </w:rPr>
      </w:pPr>
      <w:r>
        <w:rPr>
          <w:rFonts w:eastAsiaTheme="majorEastAsia" w:cstheme="majorBidi"/>
          <w:b/>
          <w:noProof/>
          <w:szCs w:val="32"/>
        </w:rPr>
        <w:lastRenderedPageBreak/>
        <w:drawing>
          <wp:inline distT="0" distB="0" distL="0" distR="0" wp14:anchorId="3AFF45F8" wp14:editId="3087A3D2">
            <wp:extent cx="5734050" cy="5734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33D6D93B" w14:textId="77777777" w:rsidR="00CD1F6B" w:rsidRDefault="00CD1F6B">
      <w:pPr>
        <w:spacing w:line="259" w:lineRule="auto"/>
        <w:jc w:val="left"/>
        <w:rPr>
          <w:rFonts w:eastAsiaTheme="majorEastAsia" w:cstheme="majorBidi"/>
          <w:b/>
          <w:szCs w:val="32"/>
        </w:rPr>
      </w:pPr>
      <w:r>
        <w:rPr>
          <w:rFonts w:eastAsiaTheme="majorEastAsia" w:cstheme="majorBidi"/>
          <w:b/>
          <w:szCs w:val="32"/>
        </w:rPr>
        <w:br w:type="page"/>
      </w:r>
    </w:p>
    <w:p w14:paraId="310D075A" w14:textId="0EB6618F" w:rsidR="00E358BA" w:rsidRDefault="00CD1F6B">
      <w:pPr>
        <w:spacing w:line="259" w:lineRule="auto"/>
        <w:jc w:val="left"/>
        <w:rPr>
          <w:rFonts w:eastAsiaTheme="majorEastAsia" w:cstheme="majorBidi"/>
          <w:b/>
          <w:szCs w:val="32"/>
        </w:rPr>
      </w:pPr>
      <w:r>
        <w:rPr>
          <w:rFonts w:eastAsiaTheme="majorEastAsia" w:cstheme="majorBidi"/>
          <w:b/>
          <w:szCs w:val="32"/>
        </w:rPr>
        <w:lastRenderedPageBreak/>
        <w:t>Supplementary Figure 11.</w:t>
      </w:r>
      <w:r w:rsidR="006617ED" w:rsidRPr="006617ED">
        <w:t xml:space="preserve"> </w:t>
      </w:r>
      <w:r w:rsidR="006617ED" w:rsidRPr="006617ED">
        <w:rPr>
          <w:rFonts w:eastAsiaTheme="majorEastAsia" w:cstheme="majorBidi"/>
          <w:b/>
          <w:szCs w:val="32"/>
        </w:rPr>
        <w:t>Visual outline of the image analysis pipeline</w:t>
      </w:r>
    </w:p>
    <w:p w14:paraId="160D42D9" w14:textId="07BCA09A" w:rsidR="00E358BA" w:rsidRDefault="00E358BA">
      <w:pPr>
        <w:spacing w:line="259" w:lineRule="auto"/>
        <w:jc w:val="left"/>
        <w:rPr>
          <w:rFonts w:eastAsiaTheme="majorEastAsia" w:cstheme="majorBidi"/>
          <w:b/>
          <w:szCs w:val="32"/>
        </w:rPr>
      </w:pPr>
      <w:r>
        <w:rPr>
          <w:rFonts w:eastAsiaTheme="majorEastAsia" w:cstheme="majorBidi"/>
          <w:b/>
          <w:noProof/>
          <w:szCs w:val="32"/>
        </w:rPr>
        <w:drawing>
          <wp:inline distT="0" distB="0" distL="0" distR="0" wp14:anchorId="6A69DFED" wp14:editId="499570D7">
            <wp:extent cx="5731510" cy="27914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r>
        <w:rPr>
          <w:rFonts w:eastAsiaTheme="majorEastAsia" w:cstheme="majorBidi"/>
          <w:b/>
          <w:szCs w:val="32"/>
        </w:rPr>
        <w:br w:type="page"/>
      </w:r>
    </w:p>
    <w:p w14:paraId="159762DC" w14:textId="70434FF7" w:rsidR="00185168" w:rsidRPr="00BA04D2" w:rsidRDefault="00185168" w:rsidP="00CD1F6B">
      <w:pPr>
        <w:pStyle w:val="Style11"/>
      </w:pPr>
      <w:bookmarkStart w:id="50" w:name="_Toc217294935"/>
      <w:r w:rsidRPr="00BA04D2">
        <w:lastRenderedPageBreak/>
        <w:t xml:space="preserve">Supplementary </w:t>
      </w:r>
      <w:r w:rsidR="00AF1672">
        <w:t>F</w:t>
      </w:r>
      <w:r w:rsidRPr="00BA04D2">
        <w:t xml:space="preserve">igure </w:t>
      </w:r>
      <w:r w:rsidR="00AF1672">
        <w:t>L</w:t>
      </w:r>
      <w:r w:rsidRPr="00BA04D2">
        <w:t>egends</w:t>
      </w:r>
      <w:bookmarkEnd w:id="50"/>
    </w:p>
    <w:p w14:paraId="6BB8477E" w14:textId="3C5FCBD2" w:rsidR="00185168" w:rsidRPr="00CD1F6B" w:rsidRDefault="00185168" w:rsidP="00CD1F6B">
      <w:pPr>
        <w:spacing w:line="276" w:lineRule="auto"/>
        <w:rPr>
          <w:b/>
          <w:bCs/>
          <w:sz w:val="24"/>
          <w:szCs w:val="28"/>
        </w:rPr>
      </w:pPr>
      <w:bookmarkStart w:id="51" w:name="_Hlk199421649"/>
      <w:r w:rsidRPr="00CD1F6B">
        <w:rPr>
          <w:b/>
          <w:bCs/>
          <w:sz w:val="24"/>
          <w:szCs w:val="28"/>
        </w:rPr>
        <w:t xml:space="preserve">Supplementary Figure 1(A-E). Effects of SLC16A2 knockdown and thyroid hormone </w:t>
      </w:r>
      <w:r w:rsidR="00C3704F" w:rsidRPr="00CD1F6B">
        <w:rPr>
          <w:b/>
          <w:bCs/>
          <w:sz w:val="24"/>
          <w:szCs w:val="28"/>
        </w:rPr>
        <w:t>analogues</w:t>
      </w:r>
      <w:r w:rsidRPr="00CD1F6B">
        <w:rPr>
          <w:b/>
          <w:bCs/>
          <w:sz w:val="24"/>
          <w:szCs w:val="28"/>
        </w:rPr>
        <w:t xml:space="preserve"> on apoptosis and intracellular </w:t>
      </w:r>
      <w:r w:rsidR="00C3704F" w:rsidRPr="00CD1F6B">
        <w:rPr>
          <w:b/>
          <w:bCs/>
          <w:sz w:val="24"/>
          <w:szCs w:val="28"/>
        </w:rPr>
        <w:t>signalling</w:t>
      </w:r>
      <w:r w:rsidRPr="00CD1F6B">
        <w:rPr>
          <w:b/>
          <w:bCs/>
          <w:sz w:val="24"/>
          <w:szCs w:val="28"/>
        </w:rPr>
        <w:t xml:space="preserve"> in </w:t>
      </w:r>
      <w:proofErr w:type="spellStart"/>
      <w:r w:rsidRPr="00CD1F6B">
        <w:rPr>
          <w:b/>
          <w:bCs/>
          <w:sz w:val="24"/>
          <w:szCs w:val="28"/>
        </w:rPr>
        <w:t>hESC</w:t>
      </w:r>
      <w:proofErr w:type="spellEnd"/>
      <w:r w:rsidRPr="00CD1F6B">
        <w:rPr>
          <w:b/>
          <w:bCs/>
          <w:sz w:val="24"/>
          <w:szCs w:val="28"/>
        </w:rPr>
        <w:t xml:space="preserve">-derived </w:t>
      </w:r>
      <w:proofErr w:type="spellStart"/>
      <w:r w:rsidRPr="00CD1F6B">
        <w:rPr>
          <w:b/>
          <w:bCs/>
          <w:sz w:val="24"/>
          <w:szCs w:val="28"/>
        </w:rPr>
        <w:t>oligodendroglial</w:t>
      </w:r>
      <w:proofErr w:type="spellEnd"/>
      <w:r w:rsidRPr="00CD1F6B">
        <w:rPr>
          <w:b/>
          <w:bCs/>
          <w:sz w:val="24"/>
          <w:szCs w:val="28"/>
        </w:rPr>
        <w:t xml:space="preserve"> lineage cells.</w:t>
      </w:r>
    </w:p>
    <w:p w14:paraId="179BA81C" w14:textId="77777777" w:rsidR="00185168" w:rsidRPr="00CD1F6B" w:rsidRDefault="00185168" w:rsidP="00CD1F6B">
      <w:pPr>
        <w:spacing w:line="276" w:lineRule="auto"/>
        <w:rPr>
          <w:sz w:val="24"/>
          <w:szCs w:val="28"/>
        </w:rPr>
      </w:pPr>
      <w:r w:rsidRPr="00CD1F6B">
        <w:rPr>
          <w:b/>
          <w:bCs/>
          <w:sz w:val="24"/>
          <w:szCs w:val="28"/>
        </w:rPr>
        <w:t>(A)</w:t>
      </w:r>
      <w:r w:rsidRPr="00CD1F6B">
        <w:rPr>
          <w:sz w:val="24"/>
          <w:szCs w:val="28"/>
        </w:rPr>
        <w:t xml:space="preserve"> Flow cytometric analysis of annexin V</w:t>
      </w:r>
      <w:r w:rsidRPr="00CD1F6B">
        <w:rPr>
          <w:sz w:val="24"/>
          <w:szCs w:val="28"/>
          <w:vertAlign w:val="superscript"/>
        </w:rPr>
        <w:t>+</w:t>
      </w:r>
      <w:r w:rsidRPr="00CD1F6B">
        <w:rPr>
          <w:sz w:val="24"/>
          <w:szCs w:val="28"/>
        </w:rPr>
        <w:t xml:space="preserve"> cells with and without SLC16A2 knockdown, following 72 h treatment with T3, DITPA, or TRIAC (10 </w:t>
      </w:r>
      <w:proofErr w:type="spellStart"/>
      <w:r w:rsidRPr="00CD1F6B">
        <w:rPr>
          <w:sz w:val="24"/>
          <w:szCs w:val="28"/>
        </w:rPr>
        <w:t>nM</w:t>
      </w:r>
      <w:proofErr w:type="spellEnd"/>
      <w:r w:rsidRPr="00CD1F6B">
        <w:rPr>
          <w:sz w:val="24"/>
          <w:szCs w:val="28"/>
        </w:rPr>
        <w:t>) 72 h post–transduction. Data represent the percentage of annexin V</w:t>
      </w:r>
      <w:r w:rsidRPr="00CD1F6B">
        <w:rPr>
          <w:sz w:val="24"/>
          <w:szCs w:val="28"/>
          <w:vertAlign w:val="superscript"/>
        </w:rPr>
        <w:t xml:space="preserve">+ </w:t>
      </w:r>
      <w:r w:rsidRPr="00CD1F6B">
        <w:rPr>
          <w:sz w:val="24"/>
          <w:szCs w:val="28"/>
        </w:rPr>
        <w:t xml:space="preserve">cells. </w:t>
      </w:r>
      <w:r w:rsidRPr="00CD1F6B">
        <w:rPr>
          <w:b/>
          <w:bCs/>
          <w:sz w:val="24"/>
          <w:szCs w:val="28"/>
        </w:rPr>
        <w:t>(B)</w:t>
      </w:r>
      <w:r w:rsidRPr="00CD1F6B">
        <w:rPr>
          <w:sz w:val="24"/>
          <w:szCs w:val="28"/>
        </w:rPr>
        <w:t xml:space="preserve"> Quantification of annexin V</w:t>
      </w:r>
      <w:r w:rsidRPr="00CD1F6B">
        <w:rPr>
          <w:sz w:val="24"/>
          <w:szCs w:val="28"/>
          <w:vertAlign w:val="superscript"/>
        </w:rPr>
        <w:t>+</w:t>
      </w:r>
      <w:r w:rsidRPr="00CD1F6B">
        <w:rPr>
          <w:sz w:val="24"/>
          <w:szCs w:val="28"/>
        </w:rPr>
        <w:t xml:space="preserve"> and caspase–3</w:t>
      </w:r>
      <w:r w:rsidRPr="00CD1F6B">
        <w:rPr>
          <w:sz w:val="24"/>
          <w:szCs w:val="28"/>
          <w:vertAlign w:val="superscript"/>
        </w:rPr>
        <w:t>+</w:t>
      </w:r>
      <w:r w:rsidRPr="00CD1F6B">
        <w:rPr>
          <w:sz w:val="24"/>
          <w:szCs w:val="28"/>
        </w:rPr>
        <w:t xml:space="preserve"> HES3–sorted OPCs with and without SLC16A2 knockdown, following 72 h treatment with T3, DITPA or TRIAC (10nM), administered 72 h post–transduction. The data include: (I) Percentage of annexin V</w:t>
      </w:r>
      <w:r w:rsidRPr="00CD1F6B">
        <w:rPr>
          <w:sz w:val="24"/>
          <w:szCs w:val="28"/>
          <w:vertAlign w:val="superscript"/>
        </w:rPr>
        <w:t>+</w:t>
      </w:r>
      <w:r w:rsidRPr="00CD1F6B">
        <w:rPr>
          <w:sz w:val="24"/>
          <w:szCs w:val="28"/>
        </w:rPr>
        <w:t xml:space="preserve"> cells, (II) Percentage change (</w:t>
      </w:r>
      <w:bookmarkStart w:id="52" w:name="_Hlk199414338"/>
      <w:r w:rsidRPr="00CD1F6B">
        <w:rPr>
          <w:sz w:val="24"/>
          <w:szCs w:val="28"/>
        </w:rPr>
        <w:t>∆</w:t>
      </w:r>
      <w:bookmarkEnd w:id="52"/>
      <w:r w:rsidRPr="00CD1F6B">
        <w:rPr>
          <w:sz w:val="24"/>
          <w:szCs w:val="28"/>
        </w:rPr>
        <w:t>) in apoptotic cells from baseline compared to non–targeting shRNA, (III) Percentage of caspase–3</w:t>
      </w:r>
      <w:r w:rsidRPr="00CD1F6B">
        <w:rPr>
          <w:sz w:val="24"/>
          <w:szCs w:val="28"/>
          <w:vertAlign w:val="superscript"/>
        </w:rPr>
        <w:t>+</w:t>
      </w:r>
      <w:r w:rsidRPr="00CD1F6B">
        <w:rPr>
          <w:sz w:val="24"/>
          <w:szCs w:val="28"/>
        </w:rPr>
        <w:t xml:space="preserve"> apoptotic cells in the absence of the RGD peptide, and (IV) Percentage of caspase–3</w:t>
      </w:r>
      <w:r w:rsidRPr="00CD1F6B">
        <w:rPr>
          <w:sz w:val="24"/>
          <w:szCs w:val="28"/>
          <w:vertAlign w:val="superscript"/>
        </w:rPr>
        <w:t>+</w:t>
      </w:r>
      <w:r w:rsidRPr="00CD1F6B">
        <w:rPr>
          <w:sz w:val="24"/>
          <w:szCs w:val="28"/>
        </w:rPr>
        <w:t xml:space="preserve"> cells in the presence of the RGD peptide in all treated groups. </w:t>
      </w:r>
      <w:r w:rsidRPr="00CD1F6B">
        <w:rPr>
          <w:b/>
          <w:bCs/>
          <w:sz w:val="24"/>
          <w:szCs w:val="28"/>
        </w:rPr>
        <w:t>(C)</w:t>
      </w:r>
      <w:r w:rsidRPr="00CD1F6B">
        <w:rPr>
          <w:sz w:val="24"/>
          <w:szCs w:val="28"/>
        </w:rPr>
        <w:t xml:space="preserve"> Western blot analysis (10% input) of p–AKT, total AKT (~56 </w:t>
      </w:r>
      <w:proofErr w:type="spellStart"/>
      <w:r w:rsidRPr="00CD1F6B">
        <w:rPr>
          <w:sz w:val="24"/>
          <w:szCs w:val="28"/>
        </w:rPr>
        <w:t>kDa</w:t>
      </w:r>
      <w:proofErr w:type="spellEnd"/>
      <w:r w:rsidRPr="00CD1F6B">
        <w:rPr>
          <w:sz w:val="24"/>
          <w:szCs w:val="28"/>
        </w:rPr>
        <w:t xml:space="preserve">), p–ERK1/2, total ERK1/2 (~41,43 </w:t>
      </w:r>
      <w:proofErr w:type="spellStart"/>
      <w:r w:rsidRPr="00CD1F6B">
        <w:rPr>
          <w:sz w:val="24"/>
          <w:szCs w:val="28"/>
        </w:rPr>
        <w:t>kDa</w:t>
      </w:r>
      <w:proofErr w:type="spellEnd"/>
      <w:r w:rsidRPr="00CD1F6B">
        <w:rPr>
          <w:sz w:val="24"/>
          <w:szCs w:val="28"/>
        </w:rPr>
        <w:t xml:space="preserve">), and actin (~42 </w:t>
      </w:r>
      <w:proofErr w:type="spellStart"/>
      <w:r w:rsidRPr="00CD1F6B">
        <w:rPr>
          <w:sz w:val="24"/>
          <w:szCs w:val="28"/>
        </w:rPr>
        <w:t>kDa</w:t>
      </w:r>
      <w:proofErr w:type="spellEnd"/>
      <w:r w:rsidRPr="00CD1F6B">
        <w:rPr>
          <w:sz w:val="24"/>
          <w:szCs w:val="28"/>
        </w:rPr>
        <w:t xml:space="preserve">, loading control) following 72 h treatment with T3, DITPA or TRIAC treatment (10nM), administered 72 h post–transduction. Densitometric quantification of phosphorylated protein relative to total protein expression </w:t>
      </w:r>
      <w:bookmarkStart w:id="53" w:name="_Hlk189152839"/>
      <w:r w:rsidRPr="00CD1F6B">
        <w:rPr>
          <w:sz w:val="24"/>
          <w:szCs w:val="28"/>
        </w:rPr>
        <w:t>is presented in arbitrary units (AU).</w:t>
      </w:r>
      <w:bookmarkEnd w:id="53"/>
      <w:r w:rsidRPr="00CD1F6B">
        <w:rPr>
          <w:sz w:val="24"/>
          <w:szCs w:val="28"/>
        </w:rPr>
        <w:t xml:space="preserve"> </w:t>
      </w:r>
      <w:r w:rsidRPr="00CD1F6B">
        <w:rPr>
          <w:b/>
          <w:bCs/>
          <w:sz w:val="24"/>
          <w:szCs w:val="28"/>
        </w:rPr>
        <w:t>(D)</w:t>
      </w:r>
      <w:r w:rsidRPr="00CD1F6B">
        <w:rPr>
          <w:sz w:val="24"/>
          <w:szCs w:val="28"/>
        </w:rPr>
        <w:t xml:space="preserve"> Western blot analysis (10% input) of p-AKT, total AKT, p-ERK1/2, total ERK1/2, and actin, with additional qualitative analysis of mTOR (~288 </w:t>
      </w:r>
      <w:proofErr w:type="spellStart"/>
      <w:r w:rsidRPr="00CD1F6B">
        <w:rPr>
          <w:sz w:val="24"/>
          <w:szCs w:val="28"/>
        </w:rPr>
        <w:t>kDa</w:t>
      </w:r>
      <w:proofErr w:type="spellEnd"/>
      <w:r w:rsidRPr="00CD1F6B">
        <w:rPr>
          <w:sz w:val="24"/>
          <w:szCs w:val="28"/>
        </w:rPr>
        <w:t xml:space="preserve">) in HES3–derived </w:t>
      </w:r>
      <w:proofErr w:type="spellStart"/>
      <w:r w:rsidRPr="00CD1F6B">
        <w:rPr>
          <w:sz w:val="24"/>
          <w:szCs w:val="28"/>
        </w:rPr>
        <w:t>oligodendroglial</w:t>
      </w:r>
      <w:proofErr w:type="spellEnd"/>
      <w:r w:rsidRPr="00CD1F6B">
        <w:rPr>
          <w:sz w:val="24"/>
          <w:szCs w:val="28"/>
        </w:rPr>
        <w:t xml:space="preserve"> lineage cell lysates following 72 h treatment with T3, DITPA or TRIAC (10nM), administered 72 h post–transduction in the presence of the RGD peptide. Data represent the percentage </w:t>
      </w:r>
      <w:bookmarkStart w:id="54" w:name="_Hlk189147060"/>
      <w:r w:rsidRPr="00CD1F6B">
        <w:rPr>
          <w:sz w:val="24"/>
          <w:szCs w:val="28"/>
        </w:rPr>
        <w:t>change (∆) in</w:t>
      </w:r>
      <w:bookmarkEnd w:id="54"/>
      <w:r w:rsidRPr="00CD1F6B">
        <w:rPr>
          <w:sz w:val="24"/>
          <w:szCs w:val="28"/>
        </w:rPr>
        <w:t xml:space="preserve"> p-AKT normalized to total AKT. </w:t>
      </w:r>
      <w:r w:rsidRPr="00CD1F6B">
        <w:rPr>
          <w:b/>
          <w:bCs/>
          <w:sz w:val="24"/>
          <w:szCs w:val="28"/>
        </w:rPr>
        <w:t>(E)</w:t>
      </w:r>
      <w:r w:rsidRPr="00CD1F6B">
        <w:rPr>
          <w:sz w:val="24"/>
          <w:szCs w:val="28"/>
        </w:rPr>
        <w:t xml:space="preserve"> Immunoprecipitation of total mTOR from HES3–derived </w:t>
      </w:r>
      <w:proofErr w:type="spellStart"/>
      <w:r w:rsidRPr="00CD1F6B">
        <w:rPr>
          <w:sz w:val="24"/>
          <w:szCs w:val="28"/>
        </w:rPr>
        <w:t>oligodendroglial</w:t>
      </w:r>
      <w:proofErr w:type="spellEnd"/>
      <w:r w:rsidRPr="00CD1F6B">
        <w:rPr>
          <w:sz w:val="24"/>
          <w:szCs w:val="28"/>
        </w:rPr>
        <w:t xml:space="preserve"> lineage cell lysates were performed to assess phosphorylated mTOR (~288 </w:t>
      </w:r>
      <w:proofErr w:type="spellStart"/>
      <w:r w:rsidRPr="00CD1F6B">
        <w:rPr>
          <w:sz w:val="24"/>
          <w:szCs w:val="28"/>
        </w:rPr>
        <w:t>kDa</w:t>
      </w:r>
      <w:proofErr w:type="spellEnd"/>
      <w:r w:rsidRPr="00CD1F6B">
        <w:rPr>
          <w:sz w:val="24"/>
          <w:szCs w:val="28"/>
        </w:rPr>
        <w:t xml:space="preserve">) levels following 72 h treatment with T3, DITPA or TRIAC (10nM), administered 72 h post–transduction in the presence of the RGD peptide. </w:t>
      </w:r>
    </w:p>
    <w:p w14:paraId="498CED0C" w14:textId="77777777" w:rsidR="00185168" w:rsidRPr="00CD1F6B" w:rsidRDefault="00185168" w:rsidP="00CD1F6B">
      <w:pPr>
        <w:spacing w:line="276" w:lineRule="auto"/>
        <w:rPr>
          <w:sz w:val="24"/>
          <w:szCs w:val="28"/>
        </w:rPr>
      </w:pPr>
      <w:r w:rsidRPr="00CD1F6B">
        <w:rPr>
          <w:sz w:val="24"/>
          <w:szCs w:val="28"/>
        </w:rPr>
        <w:t>All data are presented as mean ± SEM (n=9 and 4). Statistical analysis: non–parametric one–way ANOVA with post hoc Dunn’s multiple comparisons test</w:t>
      </w:r>
      <w:bookmarkStart w:id="55" w:name="_Hlk212808235"/>
      <w:r w:rsidRPr="00CD1F6B">
        <w:rPr>
          <w:sz w:val="24"/>
          <w:szCs w:val="28"/>
        </w:rPr>
        <w:t xml:space="preserve"> (*</w:t>
      </w:r>
      <w:r w:rsidRPr="00CD1F6B">
        <w:rPr>
          <w:i/>
          <w:iCs/>
          <w:sz w:val="24"/>
          <w:szCs w:val="28"/>
        </w:rPr>
        <w:t>p</w:t>
      </w:r>
      <w:r w:rsidRPr="00CD1F6B">
        <w:rPr>
          <w:sz w:val="24"/>
          <w:szCs w:val="28"/>
        </w:rPr>
        <w:t>≤ 0</w:t>
      </w:r>
      <w:bookmarkStart w:id="56" w:name="_Hlk212650116"/>
      <w:r w:rsidRPr="00CD1F6B">
        <w:rPr>
          <w:rFonts w:cs="Times New Roman"/>
          <w:color w:val="000000" w:themeColor="text1"/>
          <w:sz w:val="24"/>
          <w:szCs w:val="28"/>
        </w:rPr>
        <w:t>·</w:t>
      </w:r>
      <w:bookmarkEnd w:id="56"/>
      <w:r w:rsidRPr="00CD1F6B">
        <w:rPr>
          <w:sz w:val="24"/>
          <w:szCs w:val="28"/>
        </w:rPr>
        <w:t>05, **</w:t>
      </w:r>
      <w:r w:rsidRPr="00CD1F6B">
        <w:rPr>
          <w:i/>
          <w:iCs/>
          <w:sz w:val="24"/>
          <w:szCs w:val="28"/>
        </w:rPr>
        <w:t xml:space="preserve"> p</w:t>
      </w:r>
      <w:r w:rsidRPr="00CD1F6B">
        <w:rPr>
          <w:sz w:val="24"/>
          <w:szCs w:val="28"/>
        </w:rPr>
        <w:t>≤ 0</w:t>
      </w:r>
      <w:r w:rsidRPr="00CD1F6B">
        <w:rPr>
          <w:rFonts w:cs="Times New Roman"/>
          <w:color w:val="000000" w:themeColor="text1"/>
          <w:sz w:val="24"/>
          <w:szCs w:val="28"/>
        </w:rPr>
        <w:t>·</w:t>
      </w:r>
      <w:r w:rsidRPr="00CD1F6B">
        <w:rPr>
          <w:sz w:val="24"/>
          <w:szCs w:val="28"/>
        </w:rPr>
        <w:t>01, ***</w:t>
      </w:r>
      <w:r w:rsidRPr="00CD1F6B">
        <w:rPr>
          <w:i/>
          <w:iCs/>
          <w:sz w:val="24"/>
          <w:szCs w:val="28"/>
        </w:rPr>
        <w:t xml:space="preserve"> p</w:t>
      </w:r>
      <w:r w:rsidRPr="00CD1F6B">
        <w:rPr>
          <w:sz w:val="24"/>
          <w:szCs w:val="28"/>
        </w:rPr>
        <w:t>≤ 0</w:t>
      </w:r>
      <w:r w:rsidRPr="00CD1F6B">
        <w:rPr>
          <w:rFonts w:cs="Times New Roman"/>
          <w:color w:val="000000" w:themeColor="text1"/>
          <w:sz w:val="24"/>
          <w:szCs w:val="28"/>
        </w:rPr>
        <w:t>·</w:t>
      </w:r>
      <w:r w:rsidRPr="00CD1F6B">
        <w:rPr>
          <w:sz w:val="24"/>
          <w:szCs w:val="28"/>
        </w:rPr>
        <w:t>001, ****</w:t>
      </w:r>
      <w:r w:rsidRPr="00CD1F6B">
        <w:rPr>
          <w:i/>
          <w:iCs/>
          <w:sz w:val="24"/>
          <w:szCs w:val="28"/>
        </w:rPr>
        <w:t xml:space="preserve"> p</w:t>
      </w:r>
      <w:r w:rsidRPr="00CD1F6B">
        <w:rPr>
          <w:sz w:val="24"/>
          <w:szCs w:val="28"/>
        </w:rPr>
        <w:t>≤ 0</w:t>
      </w:r>
      <w:r w:rsidRPr="00CD1F6B">
        <w:rPr>
          <w:rFonts w:cs="Times New Roman"/>
          <w:color w:val="000000" w:themeColor="text1"/>
          <w:sz w:val="24"/>
          <w:szCs w:val="28"/>
        </w:rPr>
        <w:t>·</w:t>
      </w:r>
      <w:r w:rsidRPr="00CD1F6B">
        <w:rPr>
          <w:sz w:val="24"/>
          <w:szCs w:val="28"/>
        </w:rPr>
        <w:t>0001).</w:t>
      </w:r>
      <w:bookmarkEnd w:id="55"/>
    </w:p>
    <w:p w14:paraId="3E6ECC03" w14:textId="77777777" w:rsidR="00185168" w:rsidRPr="00CD1F6B" w:rsidRDefault="00185168" w:rsidP="00CD1F6B">
      <w:pPr>
        <w:spacing w:line="276" w:lineRule="auto"/>
        <w:rPr>
          <w:b/>
          <w:bCs/>
          <w:sz w:val="24"/>
          <w:szCs w:val="28"/>
        </w:rPr>
      </w:pPr>
      <w:bookmarkStart w:id="57" w:name="_Hlk212809182"/>
      <w:bookmarkEnd w:id="51"/>
      <w:r w:rsidRPr="00CD1F6B">
        <w:rPr>
          <w:b/>
          <w:bCs/>
          <w:sz w:val="24"/>
          <w:szCs w:val="28"/>
        </w:rPr>
        <w:t xml:space="preserve">Supplementary Figure </w:t>
      </w:r>
      <w:bookmarkEnd w:id="57"/>
      <w:r w:rsidRPr="00CD1F6B">
        <w:rPr>
          <w:b/>
          <w:bCs/>
          <w:sz w:val="24"/>
          <w:szCs w:val="28"/>
        </w:rPr>
        <w:t xml:space="preserve">1 (F-L). Analysis of OL differentiation, myelination, and </w:t>
      </w:r>
      <w:proofErr w:type="spellStart"/>
      <w:r w:rsidRPr="00CD1F6B">
        <w:rPr>
          <w:b/>
          <w:bCs/>
          <w:sz w:val="24"/>
          <w:szCs w:val="28"/>
        </w:rPr>
        <w:t>signaling</w:t>
      </w:r>
      <w:proofErr w:type="spellEnd"/>
      <w:r w:rsidRPr="00CD1F6B">
        <w:rPr>
          <w:b/>
          <w:bCs/>
          <w:sz w:val="24"/>
          <w:szCs w:val="28"/>
        </w:rPr>
        <w:t xml:space="preserve"> pathways in response to TH </w:t>
      </w:r>
      <w:proofErr w:type="spellStart"/>
      <w:r w:rsidRPr="00CD1F6B">
        <w:rPr>
          <w:b/>
          <w:bCs/>
          <w:sz w:val="24"/>
          <w:szCs w:val="28"/>
        </w:rPr>
        <w:t>analogs</w:t>
      </w:r>
      <w:proofErr w:type="spellEnd"/>
      <w:r w:rsidRPr="00CD1F6B">
        <w:rPr>
          <w:b/>
          <w:bCs/>
          <w:sz w:val="24"/>
          <w:szCs w:val="28"/>
        </w:rPr>
        <w:t xml:space="preserve"> and inhibitors. </w:t>
      </w:r>
    </w:p>
    <w:p w14:paraId="3B956316" w14:textId="2C00DE8E" w:rsidR="00185168" w:rsidRDefault="00185168" w:rsidP="00CD1F6B">
      <w:pPr>
        <w:spacing w:line="276" w:lineRule="auto"/>
        <w:rPr>
          <w:sz w:val="24"/>
          <w:szCs w:val="28"/>
        </w:rPr>
      </w:pPr>
      <w:r w:rsidRPr="00CD1F6B">
        <w:rPr>
          <w:b/>
          <w:bCs/>
          <w:sz w:val="24"/>
          <w:szCs w:val="28"/>
        </w:rPr>
        <w:t>(F-G)</w:t>
      </w:r>
      <w:r w:rsidRPr="00CD1F6B">
        <w:rPr>
          <w:sz w:val="24"/>
          <w:szCs w:val="28"/>
        </w:rPr>
        <w:t xml:space="preserve"> HES3 OPCs as </w:t>
      </w:r>
      <w:proofErr w:type="spellStart"/>
      <w:r w:rsidRPr="00CD1F6B">
        <w:rPr>
          <w:sz w:val="24"/>
          <w:szCs w:val="28"/>
        </w:rPr>
        <w:t>lentivirally</w:t>
      </w:r>
      <w:proofErr w:type="spellEnd"/>
      <w:r w:rsidRPr="00CD1F6B">
        <w:rPr>
          <w:sz w:val="24"/>
          <w:szCs w:val="28"/>
        </w:rPr>
        <w:t xml:space="preserve"> transduced to generate MCT8–deficient cells and sorted with O4⁺ marker, were co cultured with rat ganglion cells. 3D–rendered images of the co–cultures show expression of myelin basic protein (MBP, red) and neurofilament protein 200 (NF200, green) expression, counterstained with DAPI, following treatment with T3 </w:t>
      </w:r>
      <w:r w:rsidRPr="00CD1F6B">
        <w:rPr>
          <w:b/>
          <w:bCs/>
          <w:sz w:val="24"/>
          <w:szCs w:val="28"/>
        </w:rPr>
        <w:t>(F)</w:t>
      </w:r>
      <w:r w:rsidRPr="00CD1F6B">
        <w:rPr>
          <w:sz w:val="24"/>
          <w:szCs w:val="28"/>
        </w:rPr>
        <w:t xml:space="preserve"> or DITPA </w:t>
      </w:r>
      <w:r w:rsidRPr="00CD1F6B">
        <w:rPr>
          <w:b/>
          <w:bCs/>
          <w:sz w:val="24"/>
          <w:szCs w:val="28"/>
        </w:rPr>
        <w:t>(G)</w:t>
      </w:r>
      <w:r w:rsidRPr="00CD1F6B">
        <w:rPr>
          <w:sz w:val="24"/>
          <w:szCs w:val="28"/>
        </w:rPr>
        <w:t xml:space="preserve"> (10 </w:t>
      </w:r>
      <w:proofErr w:type="spellStart"/>
      <w:r w:rsidRPr="00CD1F6B">
        <w:rPr>
          <w:sz w:val="24"/>
          <w:szCs w:val="28"/>
        </w:rPr>
        <w:t>nM</w:t>
      </w:r>
      <w:proofErr w:type="spellEnd"/>
      <w:r w:rsidRPr="00CD1F6B">
        <w:rPr>
          <w:sz w:val="24"/>
          <w:szCs w:val="28"/>
        </w:rPr>
        <w:t xml:space="preserve">) for 72 h. scale bars = 50 </w:t>
      </w:r>
      <w:proofErr w:type="spellStart"/>
      <w:r w:rsidRPr="00CD1F6B">
        <w:rPr>
          <w:sz w:val="24"/>
          <w:szCs w:val="28"/>
        </w:rPr>
        <w:t>μm</w:t>
      </w:r>
      <w:proofErr w:type="spellEnd"/>
      <w:r w:rsidRPr="00CD1F6B">
        <w:rPr>
          <w:sz w:val="24"/>
          <w:szCs w:val="28"/>
        </w:rPr>
        <w:t xml:space="preserve">. </w:t>
      </w:r>
      <w:r w:rsidRPr="00CD1F6B">
        <w:rPr>
          <w:b/>
          <w:bCs/>
          <w:sz w:val="24"/>
          <w:szCs w:val="28"/>
        </w:rPr>
        <w:t>(H)</w:t>
      </w:r>
      <w:r w:rsidRPr="00CD1F6B">
        <w:rPr>
          <w:sz w:val="24"/>
          <w:szCs w:val="28"/>
        </w:rPr>
        <w:t xml:space="preserve"> Quantification of MBP⁺ cells, total axon number per well, and the percentage of myelinated axons following treatment with T3, DITPA, or DITPA+T3. Data are presented as mean ± SEM (n = 9–10). </w:t>
      </w:r>
      <w:r w:rsidRPr="00CD1F6B">
        <w:rPr>
          <w:b/>
          <w:bCs/>
          <w:sz w:val="24"/>
          <w:szCs w:val="28"/>
        </w:rPr>
        <w:t xml:space="preserve">(I) </w:t>
      </w:r>
      <w:r w:rsidRPr="00CD1F6B">
        <w:rPr>
          <w:sz w:val="24"/>
          <w:szCs w:val="28"/>
        </w:rPr>
        <w:t>Schematic illustration of OL differentiation and development, depicting the progression from neural stem cells to myelinating OLs (</w:t>
      </w:r>
      <w:proofErr w:type="spellStart"/>
      <w:r w:rsidRPr="00CD1F6B">
        <w:rPr>
          <w:sz w:val="24"/>
          <w:szCs w:val="28"/>
        </w:rPr>
        <w:t>i</w:t>
      </w:r>
      <w:proofErr w:type="spellEnd"/>
      <w:r w:rsidRPr="00CD1F6B">
        <w:rPr>
          <w:sz w:val="24"/>
          <w:szCs w:val="28"/>
        </w:rPr>
        <w:t xml:space="preserve">). Gene expression analysis shows that treatment with T3 and DITPA (1 and 20 ng/mL) promotes upregulation of notch1 and down regulation of β–catenin, indicating that </w:t>
      </w:r>
      <w:r w:rsidRPr="00CD1F6B">
        <w:rPr>
          <w:sz w:val="24"/>
          <w:szCs w:val="28"/>
        </w:rPr>
        <w:lastRenderedPageBreak/>
        <w:t xml:space="preserve">DITPA modulates gene expression to enhance OPC differentiation (ii). </w:t>
      </w:r>
      <w:r w:rsidRPr="00CD1F6B">
        <w:rPr>
          <w:b/>
          <w:bCs/>
          <w:sz w:val="24"/>
          <w:szCs w:val="28"/>
        </w:rPr>
        <w:t>(J)</w:t>
      </w:r>
      <w:r w:rsidRPr="00CD1F6B">
        <w:rPr>
          <w:sz w:val="24"/>
          <w:szCs w:val="28"/>
        </w:rPr>
        <w:t xml:space="preserve"> Assessment of cell viability in </w:t>
      </w:r>
      <w:proofErr w:type="spellStart"/>
      <w:r w:rsidRPr="00CD1F6B">
        <w:rPr>
          <w:sz w:val="24"/>
          <w:szCs w:val="28"/>
        </w:rPr>
        <w:t>hESC</w:t>
      </w:r>
      <w:proofErr w:type="spellEnd"/>
      <w:r w:rsidRPr="00CD1F6B">
        <w:rPr>
          <w:sz w:val="24"/>
          <w:szCs w:val="28"/>
        </w:rPr>
        <w:t xml:space="preserve">-OPCs at stage V of differentiation using the MTT assay. cells were treated for 48 h with PI3K–mTOR inhibitor PI–103 (0–320 </w:t>
      </w:r>
      <w:proofErr w:type="spellStart"/>
      <w:r w:rsidRPr="00CD1F6B">
        <w:rPr>
          <w:sz w:val="24"/>
          <w:szCs w:val="28"/>
        </w:rPr>
        <w:t>nM</w:t>
      </w:r>
      <w:proofErr w:type="spellEnd"/>
      <w:r w:rsidRPr="00CD1F6B">
        <w:rPr>
          <w:sz w:val="24"/>
          <w:szCs w:val="28"/>
        </w:rPr>
        <w:t xml:space="preserve">) and MAPK pathway inhibitor RDEA119 (0–320 </w:t>
      </w:r>
      <w:proofErr w:type="spellStart"/>
      <w:r w:rsidRPr="00CD1F6B">
        <w:rPr>
          <w:sz w:val="24"/>
          <w:szCs w:val="28"/>
        </w:rPr>
        <w:t>nM</w:t>
      </w:r>
      <w:proofErr w:type="spellEnd"/>
      <w:r w:rsidRPr="00CD1F6B">
        <w:rPr>
          <w:sz w:val="24"/>
          <w:szCs w:val="28"/>
        </w:rPr>
        <w:t>), in the absence and presence of DITPA. Data are presented as percentage change in viable cells across different concentrations</w:t>
      </w:r>
      <w:bookmarkStart w:id="58" w:name="_Hlk212812105"/>
      <w:r w:rsidR="00C3704F">
        <w:rPr>
          <w:sz w:val="24"/>
          <w:szCs w:val="28"/>
        </w:rPr>
        <w:t>.</w:t>
      </w:r>
      <w:r w:rsidRPr="00CD1F6B">
        <w:rPr>
          <w:sz w:val="24"/>
          <w:szCs w:val="28"/>
        </w:rPr>
        <w:t xml:space="preserve"> </w:t>
      </w:r>
      <w:bookmarkEnd w:id="58"/>
      <w:r w:rsidRPr="00CD1F6B">
        <w:rPr>
          <w:b/>
          <w:bCs/>
          <w:sz w:val="24"/>
          <w:szCs w:val="28"/>
        </w:rPr>
        <w:t>(K)</w:t>
      </w:r>
      <w:r w:rsidRPr="00CD1F6B">
        <w:rPr>
          <w:sz w:val="24"/>
          <w:szCs w:val="28"/>
        </w:rPr>
        <w:t xml:space="preserve"> OLs differentiated from the mouse Oli-neu cell line were treated with increasing concentrations (0–1000 </w:t>
      </w:r>
      <w:proofErr w:type="spellStart"/>
      <w:r w:rsidRPr="00CD1F6B">
        <w:rPr>
          <w:sz w:val="24"/>
          <w:szCs w:val="28"/>
        </w:rPr>
        <w:t>nM</w:t>
      </w:r>
      <w:proofErr w:type="spellEnd"/>
      <w:r w:rsidRPr="00CD1F6B">
        <w:rPr>
          <w:sz w:val="24"/>
          <w:szCs w:val="28"/>
        </w:rPr>
        <w:t xml:space="preserve">) of DITPA and benchmarked against LT3, TRIAC, and the known pro–myelinating small molecule lanthionine </w:t>
      </w:r>
      <w:proofErr w:type="spellStart"/>
      <w:r w:rsidRPr="00CD1F6B">
        <w:rPr>
          <w:sz w:val="24"/>
          <w:szCs w:val="28"/>
        </w:rPr>
        <w:t>ketimine</w:t>
      </w:r>
      <w:proofErr w:type="spellEnd"/>
      <w:r w:rsidRPr="00CD1F6B">
        <w:rPr>
          <w:sz w:val="24"/>
          <w:szCs w:val="28"/>
        </w:rPr>
        <w:t xml:space="preserve"> ester (LKE). Flow cytometry was performed to assess cell viability and the expression of OL lineage markers, including PDGFRα (early OPC), BCAS1 (differentiating OLs), MBP (mature myelinating OLs), and integrin αVβ</w:t>
      </w:r>
      <w:r w:rsidR="00C3704F" w:rsidRPr="00CD1F6B">
        <w:rPr>
          <w:sz w:val="24"/>
          <w:szCs w:val="28"/>
        </w:rPr>
        <w:t>3 (</w:t>
      </w:r>
      <w:r w:rsidRPr="00CD1F6B">
        <w:rPr>
          <w:sz w:val="24"/>
          <w:szCs w:val="28"/>
        </w:rPr>
        <w:t xml:space="preserve">thyroid hormone transporter-associated receptor). </w:t>
      </w:r>
      <w:r w:rsidRPr="00CD1F6B">
        <w:rPr>
          <w:b/>
          <w:bCs/>
          <w:sz w:val="24"/>
          <w:szCs w:val="28"/>
        </w:rPr>
        <w:t>(L)</w:t>
      </w:r>
      <w:r w:rsidRPr="00CD1F6B">
        <w:rPr>
          <w:sz w:val="24"/>
          <w:szCs w:val="28"/>
        </w:rPr>
        <w:t xml:space="preserve"> Competitive ELISA was performed to validate the binding affinity of DITPA to αVβ</w:t>
      </w:r>
      <w:r w:rsidR="00C3704F" w:rsidRPr="00CD1F6B">
        <w:rPr>
          <w:sz w:val="24"/>
          <w:szCs w:val="28"/>
        </w:rPr>
        <w:t>3 integrin</w:t>
      </w:r>
      <w:r w:rsidRPr="00CD1F6B">
        <w:rPr>
          <w:sz w:val="24"/>
          <w:szCs w:val="28"/>
        </w:rPr>
        <w:t xml:space="preserve"> both in the absence and presence of </w:t>
      </w:r>
      <w:proofErr w:type="spellStart"/>
      <w:r w:rsidRPr="00CD1F6B">
        <w:rPr>
          <w:sz w:val="24"/>
          <w:szCs w:val="28"/>
        </w:rPr>
        <w:t>Cilengitide</w:t>
      </w:r>
      <w:proofErr w:type="spellEnd"/>
      <w:r w:rsidRPr="00CD1F6B">
        <w:rPr>
          <w:sz w:val="24"/>
          <w:szCs w:val="28"/>
        </w:rPr>
        <w:t>. The results demonstrate that DITPA binds to αVβ</w:t>
      </w:r>
      <w:r w:rsidR="00C3704F" w:rsidRPr="00CD1F6B">
        <w:rPr>
          <w:sz w:val="24"/>
          <w:szCs w:val="28"/>
        </w:rPr>
        <w:t>3 integrin</w:t>
      </w:r>
      <w:r w:rsidRPr="00CD1F6B">
        <w:rPr>
          <w:sz w:val="24"/>
          <w:szCs w:val="28"/>
        </w:rPr>
        <w:t xml:space="preserve">, supporting its potential to initiate non–genomic </w:t>
      </w:r>
      <w:proofErr w:type="spellStart"/>
      <w:r w:rsidRPr="00CD1F6B">
        <w:rPr>
          <w:sz w:val="24"/>
          <w:szCs w:val="28"/>
        </w:rPr>
        <w:t>signaling</w:t>
      </w:r>
      <w:proofErr w:type="spellEnd"/>
      <w:r w:rsidRPr="00CD1F6B">
        <w:rPr>
          <w:sz w:val="24"/>
          <w:szCs w:val="28"/>
        </w:rPr>
        <w:t xml:space="preserve"> in </w:t>
      </w:r>
      <w:proofErr w:type="spellStart"/>
      <w:r w:rsidRPr="00CD1F6B">
        <w:rPr>
          <w:sz w:val="24"/>
          <w:szCs w:val="28"/>
        </w:rPr>
        <w:t>oligodendroglial</w:t>
      </w:r>
      <w:proofErr w:type="spellEnd"/>
      <w:r w:rsidRPr="00CD1F6B">
        <w:rPr>
          <w:sz w:val="24"/>
          <w:szCs w:val="28"/>
        </w:rPr>
        <w:t xml:space="preserve"> lineage cells.</w:t>
      </w:r>
    </w:p>
    <w:p w14:paraId="204AEEA0" w14:textId="75B129F7" w:rsidR="00C3704F" w:rsidRPr="00CD1F6B" w:rsidRDefault="00C3704F" w:rsidP="00CD1F6B">
      <w:pPr>
        <w:spacing w:line="276" w:lineRule="auto"/>
        <w:rPr>
          <w:sz w:val="24"/>
          <w:szCs w:val="28"/>
        </w:rPr>
      </w:pPr>
      <w:r w:rsidRPr="00CD1F6B">
        <w:rPr>
          <w:sz w:val="24"/>
          <w:szCs w:val="28"/>
        </w:rPr>
        <w:t>Statistical analysis was performed using one-way ANOVA with Tukey's post-hoc test; (*p≤ 0·05, ** p≤ 0·01, *** p≤ 0·001, **** p≤ 0</w:t>
      </w:r>
      <w:bookmarkStart w:id="59" w:name="_Hlk212808998"/>
      <w:r w:rsidRPr="00CD1F6B">
        <w:rPr>
          <w:sz w:val="24"/>
          <w:szCs w:val="28"/>
        </w:rPr>
        <w:t>·</w:t>
      </w:r>
      <w:bookmarkEnd w:id="59"/>
      <w:r w:rsidRPr="00CD1F6B">
        <w:rPr>
          <w:sz w:val="24"/>
          <w:szCs w:val="28"/>
        </w:rPr>
        <w:t>0001).</w:t>
      </w:r>
    </w:p>
    <w:p w14:paraId="6D070E38" w14:textId="77777777" w:rsidR="00185168" w:rsidRPr="00CD1F6B" w:rsidRDefault="00185168" w:rsidP="00CD1F6B">
      <w:pPr>
        <w:spacing w:line="276" w:lineRule="auto"/>
        <w:rPr>
          <w:b/>
          <w:bCs/>
          <w:sz w:val="24"/>
          <w:szCs w:val="28"/>
        </w:rPr>
      </w:pPr>
      <w:r w:rsidRPr="00CD1F6B">
        <w:rPr>
          <w:b/>
          <w:bCs/>
          <w:sz w:val="24"/>
          <w:szCs w:val="28"/>
        </w:rPr>
        <w:t xml:space="preserve">Supplementary Figure 2. Representative images of </w:t>
      </w:r>
      <w:proofErr w:type="spellStart"/>
      <w:r w:rsidRPr="00CD1F6B">
        <w:rPr>
          <w:b/>
          <w:bCs/>
          <w:sz w:val="24"/>
          <w:szCs w:val="28"/>
        </w:rPr>
        <w:t>Luxol</w:t>
      </w:r>
      <w:proofErr w:type="spellEnd"/>
      <w:r w:rsidRPr="00CD1F6B">
        <w:rPr>
          <w:b/>
          <w:bCs/>
          <w:sz w:val="24"/>
          <w:szCs w:val="28"/>
        </w:rPr>
        <w:t xml:space="preserve"> Fast Blue and </w:t>
      </w:r>
      <w:proofErr w:type="spellStart"/>
      <w:r w:rsidRPr="00CD1F6B">
        <w:rPr>
          <w:b/>
          <w:bCs/>
          <w:sz w:val="24"/>
          <w:szCs w:val="28"/>
        </w:rPr>
        <w:t>Bielschowsky</w:t>
      </w:r>
      <w:proofErr w:type="spellEnd"/>
      <w:r w:rsidRPr="00CD1F6B">
        <w:rPr>
          <w:b/>
          <w:bCs/>
          <w:sz w:val="24"/>
          <w:szCs w:val="28"/>
        </w:rPr>
        <w:t xml:space="preserve"> staining at day 45 post</w:t>
      </w:r>
      <w:bookmarkStart w:id="60" w:name="_Hlk212815942"/>
      <w:r w:rsidRPr="00CD1F6B">
        <w:rPr>
          <w:b/>
          <w:bCs/>
          <w:sz w:val="24"/>
          <w:szCs w:val="28"/>
        </w:rPr>
        <w:t>–</w:t>
      </w:r>
      <w:bookmarkEnd w:id="60"/>
      <w:r w:rsidRPr="00CD1F6B">
        <w:rPr>
          <w:b/>
          <w:bCs/>
          <w:sz w:val="24"/>
          <w:szCs w:val="28"/>
        </w:rPr>
        <w:t>EAE induction.</w:t>
      </w:r>
    </w:p>
    <w:p w14:paraId="42B96245" w14:textId="0427A07C" w:rsidR="00185168" w:rsidRPr="00CD1F6B" w:rsidRDefault="00185168" w:rsidP="00CD1F6B">
      <w:pPr>
        <w:spacing w:line="276" w:lineRule="auto"/>
        <w:rPr>
          <w:sz w:val="24"/>
          <w:szCs w:val="28"/>
        </w:rPr>
      </w:pPr>
      <w:r w:rsidRPr="00CD1F6B">
        <w:rPr>
          <w:sz w:val="24"/>
          <w:szCs w:val="28"/>
        </w:rPr>
        <w:t xml:space="preserve">Histochemical staining with </w:t>
      </w:r>
      <w:proofErr w:type="spellStart"/>
      <w:r w:rsidRPr="00CD1F6B">
        <w:rPr>
          <w:sz w:val="24"/>
          <w:szCs w:val="28"/>
        </w:rPr>
        <w:t>Luxol</w:t>
      </w:r>
      <w:proofErr w:type="spellEnd"/>
      <w:r w:rsidRPr="00CD1F6B">
        <w:rPr>
          <w:sz w:val="24"/>
          <w:szCs w:val="28"/>
        </w:rPr>
        <w:t xml:space="preserve"> Fast Blue (LFB) and </w:t>
      </w:r>
      <w:proofErr w:type="spellStart"/>
      <w:r w:rsidRPr="00CD1F6B">
        <w:rPr>
          <w:sz w:val="24"/>
          <w:szCs w:val="28"/>
        </w:rPr>
        <w:t>Bielschowsky</w:t>
      </w:r>
      <w:proofErr w:type="spellEnd"/>
      <w:r w:rsidRPr="00CD1F6B">
        <w:rPr>
          <w:sz w:val="24"/>
          <w:szCs w:val="28"/>
        </w:rPr>
        <w:t xml:space="preserve"> silver was performed on longitudinal, and cross-sections of spinal cords collected 45 days post-EAE induction, to assess myelin and axonal integrity. EAE-induced mice were treated daily via oral gavage with either corn oil (vehicle) or thyroid hormone </w:t>
      </w:r>
      <w:r w:rsidR="004460DA" w:rsidRPr="00CD1F6B">
        <w:rPr>
          <w:sz w:val="24"/>
          <w:szCs w:val="28"/>
        </w:rPr>
        <w:t>analogues</w:t>
      </w:r>
      <w:r w:rsidRPr="00CD1F6B">
        <w:rPr>
          <w:sz w:val="24"/>
          <w:szCs w:val="28"/>
        </w:rPr>
        <w:t xml:space="preserve"> for 24 days, beginning at day 21 post-induction (corresponding to the peak disease stage). </w:t>
      </w:r>
      <w:r w:rsidRPr="00CD1F6B">
        <w:rPr>
          <w:b/>
          <w:bCs/>
          <w:sz w:val="24"/>
          <w:szCs w:val="28"/>
        </w:rPr>
        <w:t>(A)</w:t>
      </w:r>
      <w:r w:rsidRPr="00CD1F6B">
        <w:rPr>
          <w:sz w:val="24"/>
          <w:szCs w:val="28"/>
        </w:rPr>
        <w:t xml:space="preserve"> Mice treated with corn oil (vehicle) demonstrate robust demyelination and axon damage. </w:t>
      </w:r>
      <w:r w:rsidRPr="00CD1F6B">
        <w:rPr>
          <w:b/>
          <w:bCs/>
          <w:sz w:val="24"/>
          <w:szCs w:val="28"/>
        </w:rPr>
        <w:t>(B)</w:t>
      </w:r>
      <w:r w:rsidRPr="00CD1F6B">
        <w:rPr>
          <w:sz w:val="24"/>
          <w:szCs w:val="28"/>
        </w:rPr>
        <w:t xml:space="preserve"> Mice treated with LT3 demonstrate demyelination and axon damage. </w:t>
      </w:r>
      <w:r w:rsidRPr="00CD1F6B">
        <w:rPr>
          <w:b/>
          <w:bCs/>
          <w:sz w:val="24"/>
          <w:szCs w:val="28"/>
        </w:rPr>
        <w:t>(C)</w:t>
      </w:r>
      <w:r w:rsidRPr="00CD1F6B">
        <w:rPr>
          <w:sz w:val="24"/>
          <w:szCs w:val="28"/>
        </w:rPr>
        <w:t xml:space="preserve"> Mice treated with TRIAC corn oil vehicle demonstrate demyelination and axon damage. </w:t>
      </w:r>
      <w:r w:rsidRPr="00CD1F6B">
        <w:rPr>
          <w:b/>
          <w:bCs/>
          <w:sz w:val="24"/>
          <w:szCs w:val="28"/>
        </w:rPr>
        <w:t>(D)</w:t>
      </w:r>
      <w:r w:rsidRPr="00CD1F6B">
        <w:rPr>
          <w:sz w:val="24"/>
          <w:szCs w:val="28"/>
        </w:rPr>
        <w:t xml:space="preserve"> Mice treated with DITPA demonstrate minimal demyelination and axon damage.</w:t>
      </w:r>
    </w:p>
    <w:p w14:paraId="5CFBC882" w14:textId="7C2FDF3F" w:rsidR="00185168" w:rsidRPr="00CD1F6B" w:rsidRDefault="00185168" w:rsidP="00CD1F6B">
      <w:pPr>
        <w:spacing w:line="276" w:lineRule="auto"/>
        <w:rPr>
          <w:b/>
          <w:bCs/>
          <w:sz w:val="24"/>
          <w:szCs w:val="28"/>
        </w:rPr>
      </w:pPr>
      <w:r w:rsidRPr="00CD1F6B">
        <w:rPr>
          <w:b/>
          <w:bCs/>
          <w:sz w:val="24"/>
          <w:szCs w:val="28"/>
        </w:rPr>
        <w:t xml:space="preserve">Supplementary Figure 3. Kaplan–Meier survival analysis of EAE–induced mice treated with TH </w:t>
      </w:r>
      <w:r w:rsidR="004460DA" w:rsidRPr="00CD1F6B">
        <w:rPr>
          <w:b/>
          <w:bCs/>
          <w:sz w:val="24"/>
          <w:szCs w:val="28"/>
        </w:rPr>
        <w:t>analogues</w:t>
      </w:r>
      <w:r w:rsidRPr="00CD1F6B">
        <w:rPr>
          <w:b/>
          <w:bCs/>
          <w:sz w:val="24"/>
          <w:szCs w:val="28"/>
        </w:rPr>
        <w:t xml:space="preserve"> compared to controls.</w:t>
      </w:r>
    </w:p>
    <w:p w14:paraId="4247FC17" w14:textId="229626B0" w:rsidR="00185168" w:rsidRPr="00CD1F6B" w:rsidRDefault="00185168" w:rsidP="00CD1F6B">
      <w:pPr>
        <w:spacing w:line="276" w:lineRule="auto"/>
        <w:rPr>
          <w:sz w:val="24"/>
          <w:szCs w:val="28"/>
        </w:rPr>
      </w:pPr>
      <w:r w:rsidRPr="00CD1F6B">
        <w:rPr>
          <w:sz w:val="24"/>
          <w:szCs w:val="28"/>
        </w:rPr>
        <w:t>Kaplan–Meier survival curves depicting the probability of survival (%) (Y–axis) over time in days post–EAE immunization (X</w:t>
      </w:r>
      <w:bookmarkStart w:id="61" w:name="_Hlk212816140"/>
      <w:r w:rsidRPr="00CD1F6B">
        <w:rPr>
          <w:sz w:val="24"/>
          <w:szCs w:val="28"/>
        </w:rPr>
        <w:t>–</w:t>
      </w:r>
      <w:bookmarkEnd w:id="61"/>
      <w:r w:rsidRPr="00CD1F6B">
        <w:rPr>
          <w:sz w:val="24"/>
          <w:szCs w:val="28"/>
        </w:rPr>
        <w:t xml:space="preserve">axis) for mice treated with TH </w:t>
      </w:r>
      <w:r w:rsidR="00C3704F" w:rsidRPr="00CD1F6B">
        <w:rPr>
          <w:sz w:val="24"/>
          <w:szCs w:val="28"/>
        </w:rPr>
        <w:t>analogues</w:t>
      </w:r>
      <w:r w:rsidRPr="00CD1F6B">
        <w:rPr>
          <w:sz w:val="24"/>
          <w:szCs w:val="28"/>
        </w:rPr>
        <w:t xml:space="preserve"> (L–T3, TRIAC, and DITPA) compared to the vehicle control (corn oil) and untreated groups. Survival curve comparisons were performed using the log-rank (Mantel–Cox) test.</w:t>
      </w:r>
    </w:p>
    <w:p w14:paraId="5E9EE887" w14:textId="4D7037F7" w:rsidR="00185168" w:rsidRPr="00CD1F6B" w:rsidRDefault="00185168" w:rsidP="00CD1F6B">
      <w:pPr>
        <w:spacing w:line="276" w:lineRule="auto"/>
        <w:rPr>
          <w:b/>
          <w:bCs/>
          <w:sz w:val="24"/>
          <w:szCs w:val="28"/>
        </w:rPr>
      </w:pPr>
      <w:r w:rsidRPr="00CD1F6B">
        <w:rPr>
          <w:b/>
          <w:bCs/>
          <w:sz w:val="24"/>
          <w:szCs w:val="28"/>
        </w:rPr>
        <w:t xml:space="preserve">Supplementary Figure 4. Longitudinal flow cytometric profiling of peripheral immune cells following EAE induction and TH </w:t>
      </w:r>
      <w:r w:rsidR="00C3704F" w:rsidRPr="00CD1F6B">
        <w:rPr>
          <w:b/>
          <w:bCs/>
          <w:sz w:val="24"/>
          <w:szCs w:val="28"/>
        </w:rPr>
        <w:t>analogue</w:t>
      </w:r>
      <w:r w:rsidRPr="00CD1F6B">
        <w:rPr>
          <w:b/>
          <w:bCs/>
          <w:sz w:val="24"/>
          <w:szCs w:val="28"/>
        </w:rPr>
        <w:t xml:space="preserve"> treatment.</w:t>
      </w:r>
    </w:p>
    <w:p w14:paraId="114B6BA5" w14:textId="77777777" w:rsidR="00185168" w:rsidRPr="00CD1F6B" w:rsidRDefault="00185168" w:rsidP="00CD1F6B">
      <w:pPr>
        <w:spacing w:line="276" w:lineRule="auto"/>
        <w:rPr>
          <w:sz w:val="24"/>
          <w:szCs w:val="28"/>
        </w:rPr>
      </w:pPr>
      <w:r w:rsidRPr="00CD1F6B">
        <w:rPr>
          <w:b/>
          <w:bCs/>
          <w:sz w:val="24"/>
          <w:szCs w:val="28"/>
        </w:rPr>
        <w:t>(A–D)</w:t>
      </w:r>
      <w:r w:rsidRPr="00CD1F6B">
        <w:rPr>
          <w:sz w:val="24"/>
          <w:szCs w:val="28"/>
        </w:rPr>
        <w:t xml:space="preserve"> Flow cytometric analysis was performed to profile blood immune cell populations at key time points following EAE induction in female C57BL/6 mice. Immune cells were identified using surface markers for T cells (CD3e), monocytes (CD11b), dendritic cells (CD11c), B cells (CD19), and myeloid cells (Ly6G/C). Assessments were conducted at </w:t>
      </w:r>
      <w:r w:rsidRPr="00CD1F6B">
        <w:rPr>
          <w:b/>
          <w:bCs/>
          <w:sz w:val="24"/>
          <w:szCs w:val="28"/>
        </w:rPr>
        <w:t>(A)</w:t>
      </w:r>
      <w:r w:rsidRPr="00CD1F6B">
        <w:rPr>
          <w:sz w:val="24"/>
          <w:szCs w:val="28"/>
        </w:rPr>
        <w:t xml:space="preserve"> baseline (pre–EAE induction, n = 15–18 per group), </w:t>
      </w:r>
      <w:r w:rsidRPr="00CD1F6B">
        <w:rPr>
          <w:b/>
          <w:bCs/>
          <w:sz w:val="24"/>
          <w:szCs w:val="28"/>
        </w:rPr>
        <w:t>(B)</w:t>
      </w:r>
      <w:r w:rsidRPr="00CD1F6B">
        <w:rPr>
          <w:sz w:val="24"/>
          <w:szCs w:val="28"/>
        </w:rPr>
        <w:t xml:space="preserve"> day 7 post–EAE induction (pre–onset </w:t>
      </w:r>
      <w:r w:rsidRPr="00CD1F6B">
        <w:rPr>
          <w:sz w:val="24"/>
          <w:szCs w:val="28"/>
        </w:rPr>
        <w:lastRenderedPageBreak/>
        <w:t xml:space="preserve">of disease, n=5–6 per group), </w:t>
      </w:r>
      <w:r w:rsidRPr="00CD1F6B">
        <w:rPr>
          <w:b/>
          <w:bCs/>
          <w:sz w:val="24"/>
          <w:szCs w:val="28"/>
        </w:rPr>
        <w:t>(C)</w:t>
      </w:r>
      <w:r w:rsidRPr="00CD1F6B">
        <w:rPr>
          <w:sz w:val="24"/>
          <w:szCs w:val="28"/>
        </w:rPr>
        <w:t xml:space="preserve"> peak EAE stage (n = 3–7 per group), and </w:t>
      </w:r>
      <w:r w:rsidRPr="00CD1F6B">
        <w:rPr>
          <w:b/>
          <w:bCs/>
          <w:sz w:val="24"/>
          <w:szCs w:val="28"/>
        </w:rPr>
        <w:t>(D)</w:t>
      </w:r>
      <w:r w:rsidRPr="00CD1F6B">
        <w:rPr>
          <w:sz w:val="24"/>
          <w:szCs w:val="28"/>
        </w:rPr>
        <w:t xml:space="preserve"> day 30 (end of the experiment in non–recovered mice, n=3</w:t>
      </w:r>
      <w:bookmarkStart w:id="62" w:name="_Hlk212816352"/>
      <w:r w:rsidRPr="00CD1F6B">
        <w:rPr>
          <w:sz w:val="24"/>
          <w:szCs w:val="28"/>
        </w:rPr>
        <w:t>–</w:t>
      </w:r>
      <w:bookmarkEnd w:id="62"/>
      <w:r w:rsidRPr="00CD1F6B">
        <w:rPr>
          <w:sz w:val="24"/>
          <w:szCs w:val="28"/>
        </w:rPr>
        <w:t xml:space="preserve">6 per group). Immune cell populations were identified using surface markers for T cells (CD3e), monocytes (CD11b), dendritic cells (CD11c), B cells (CD19), and myeloid cells (LY6G/C). </w:t>
      </w:r>
      <w:r w:rsidRPr="00CD1F6B">
        <w:rPr>
          <w:b/>
          <w:bCs/>
          <w:sz w:val="24"/>
          <w:szCs w:val="28"/>
        </w:rPr>
        <w:t>(E)</w:t>
      </w:r>
      <w:r w:rsidRPr="00CD1F6B">
        <w:rPr>
          <w:sz w:val="24"/>
          <w:szCs w:val="28"/>
        </w:rPr>
        <w:t xml:space="preserve"> Immune profiles were assessed in recovered mice following treatment with L–T3 (n=4), TRIAC (n=2), and DITPA (n=8). </w:t>
      </w:r>
      <w:r w:rsidRPr="00CD1F6B">
        <w:rPr>
          <w:b/>
          <w:bCs/>
          <w:sz w:val="24"/>
          <w:szCs w:val="28"/>
        </w:rPr>
        <w:t>(F)</w:t>
      </w:r>
      <w:r w:rsidRPr="00CD1F6B">
        <w:rPr>
          <w:sz w:val="24"/>
          <w:szCs w:val="28"/>
        </w:rPr>
        <w:t xml:space="preserve"> Individual immune cell profiles were evaluated across all time points in mice treated with vehicle control (corn oil), L–T3, TRIAC, and DITPA. Data are presented as mean ± SEM. Statistical analysis was performed using two–way ANOVA Tukey’s post hoc test (*</w:t>
      </w:r>
      <w:r w:rsidRPr="00CD1F6B">
        <w:rPr>
          <w:i/>
          <w:iCs/>
          <w:sz w:val="24"/>
          <w:szCs w:val="28"/>
        </w:rPr>
        <w:t>p</w:t>
      </w:r>
      <w:r w:rsidRPr="00CD1F6B">
        <w:rPr>
          <w:sz w:val="24"/>
          <w:szCs w:val="28"/>
        </w:rPr>
        <w:t xml:space="preserve">≤ 0·05, ** </w:t>
      </w:r>
      <w:r w:rsidRPr="00CD1F6B">
        <w:rPr>
          <w:i/>
          <w:iCs/>
          <w:sz w:val="24"/>
          <w:szCs w:val="28"/>
        </w:rPr>
        <w:t>p</w:t>
      </w:r>
      <w:r w:rsidRPr="00CD1F6B">
        <w:rPr>
          <w:sz w:val="24"/>
          <w:szCs w:val="28"/>
        </w:rPr>
        <w:t xml:space="preserve">≤ 0·01, *** </w:t>
      </w:r>
      <w:r w:rsidRPr="00CD1F6B">
        <w:rPr>
          <w:i/>
          <w:iCs/>
          <w:sz w:val="24"/>
          <w:szCs w:val="28"/>
        </w:rPr>
        <w:t>p</w:t>
      </w:r>
      <w:r w:rsidRPr="00CD1F6B">
        <w:rPr>
          <w:sz w:val="24"/>
          <w:szCs w:val="28"/>
        </w:rPr>
        <w:t xml:space="preserve">≤ 0·001, **** </w:t>
      </w:r>
      <w:r w:rsidRPr="00CD1F6B">
        <w:rPr>
          <w:i/>
          <w:iCs/>
          <w:sz w:val="24"/>
          <w:szCs w:val="28"/>
        </w:rPr>
        <w:t>p</w:t>
      </w:r>
      <w:r w:rsidRPr="00CD1F6B">
        <w:rPr>
          <w:sz w:val="24"/>
          <w:szCs w:val="28"/>
        </w:rPr>
        <w:t>≤ 0·0001).</w:t>
      </w:r>
    </w:p>
    <w:p w14:paraId="156D624D" w14:textId="1E76F268" w:rsidR="00185168" w:rsidRPr="00CD1F6B" w:rsidRDefault="00185168" w:rsidP="00CD1F6B">
      <w:pPr>
        <w:spacing w:line="276" w:lineRule="auto"/>
        <w:rPr>
          <w:b/>
          <w:bCs/>
          <w:sz w:val="24"/>
          <w:szCs w:val="28"/>
        </w:rPr>
      </w:pPr>
      <w:r w:rsidRPr="00CD1F6B">
        <w:rPr>
          <w:b/>
          <w:bCs/>
          <w:sz w:val="24"/>
          <w:szCs w:val="28"/>
        </w:rPr>
        <w:t xml:space="preserve">Supplementary Figure 5. Metabolic, weight, and biomarker monitoring in EAE–induced mice treated with thyroid hormone </w:t>
      </w:r>
      <w:r w:rsidR="004460DA" w:rsidRPr="00CD1F6B">
        <w:rPr>
          <w:b/>
          <w:bCs/>
          <w:sz w:val="24"/>
          <w:szCs w:val="28"/>
        </w:rPr>
        <w:t>analogues</w:t>
      </w:r>
      <w:r w:rsidRPr="00CD1F6B">
        <w:rPr>
          <w:b/>
          <w:bCs/>
          <w:sz w:val="24"/>
          <w:szCs w:val="28"/>
        </w:rPr>
        <w:t xml:space="preserve">. </w:t>
      </w:r>
    </w:p>
    <w:p w14:paraId="64F9421C" w14:textId="77777777" w:rsidR="00C3704F" w:rsidRDefault="00185168" w:rsidP="00CD1F6B">
      <w:pPr>
        <w:spacing w:line="276" w:lineRule="auto"/>
        <w:rPr>
          <w:sz w:val="24"/>
          <w:szCs w:val="28"/>
        </w:rPr>
      </w:pPr>
      <w:r w:rsidRPr="00CD1F6B">
        <w:rPr>
          <w:b/>
          <w:bCs/>
          <w:sz w:val="24"/>
          <w:szCs w:val="28"/>
        </w:rPr>
        <w:t>(A)</w:t>
      </w:r>
      <w:r w:rsidRPr="00CD1F6B">
        <w:rPr>
          <w:sz w:val="24"/>
          <w:szCs w:val="28"/>
        </w:rPr>
        <w:t xml:space="preserve"> Metabolic monitoring of adverse effects from drug treatment was conducted in mice using the Paper Towel Method. Stool assessments were conducted in mice treated with vehicle control (corn oil, n=24), L–T3 (n=24), TRIAC (n=24), and DITPA (n=22) by measuring stool number and consistency over a 60–minute period. Stool grades were defined as Grade 1=Normal, Grade 2=Wet, and Grade3= Watery. </w:t>
      </w:r>
      <w:r w:rsidRPr="00CD1F6B">
        <w:rPr>
          <w:b/>
          <w:bCs/>
          <w:sz w:val="24"/>
          <w:szCs w:val="28"/>
        </w:rPr>
        <w:t>(B)</w:t>
      </w:r>
      <w:r w:rsidRPr="00CD1F6B">
        <w:rPr>
          <w:sz w:val="24"/>
          <w:szCs w:val="28"/>
        </w:rPr>
        <w:t xml:space="preserve"> Body weight was monitored daily in mice following EAE induction with MOG</w:t>
      </w:r>
      <w:r w:rsidRPr="00CD1F6B">
        <w:rPr>
          <w:sz w:val="24"/>
          <w:szCs w:val="28"/>
          <w:vertAlign w:val="subscript"/>
        </w:rPr>
        <w:t>33–55</w:t>
      </w:r>
      <w:r w:rsidRPr="00CD1F6B">
        <w:rPr>
          <w:sz w:val="24"/>
          <w:szCs w:val="28"/>
        </w:rPr>
        <w:t xml:space="preserve">. Both treated and untreated groups were assessed for weight changes. Data are presented as mean ± SEM for the no–drug control (n=11), vehicle control (corn oil, n=24), L–T3 (n=24), TRIAC (n=24), and DITPA (n=22) groups. </w:t>
      </w:r>
      <w:r w:rsidRPr="00CD1F6B">
        <w:rPr>
          <w:b/>
          <w:bCs/>
          <w:sz w:val="24"/>
          <w:szCs w:val="28"/>
        </w:rPr>
        <w:t>(C)</w:t>
      </w:r>
      <w:r w:rsidRPr="00CD1F6B">
        <w:rPr>
          <w:sz w:val="24"/>
          <w:szCs w:val="28"/>
        </w:rPr>
        <w:t xml:space="preserve"> Blood biomarker assessment was conducted in naïve (healthy controls) and treated EAE–induced mice (vehicle control (corn oil), L–T3, TRIAC, and DITPA) on day 30 (end of the experiment). Liver function markers (Aspartate aminotransferase [AST], Alanine aminotransferase [ALT], Alkaline Phosphatase [</w:t>
      </w:r>
      <w:proofErr w:type="spellStart"/>
      <w:r w:rsidRPr="00CD1F6B">
        <w:rPr>
          <w:sz w:val="24"/>
          <w:szCs w:val="28"/>
        </w:rPr>
        <w:t>ALK.phos</w:t>
      </w:r>
      <w:proofErr w:type="spellEnd"/>
      <w:r w:rsidRPr="00CD1F6B">
        <w:rPr>
          <w:sz w:val="24"/>
          <w:szCs w:val="28"/>
        </w:rPr>
        <w:t xml:space="preserve">], albumin, and Gamma-Glutamyl Transferase [GGT]), thyroid hormones (TSH and T4), blood glucose, and lipid profiles (total cholesterol, triglycerides, HDL, LDL) were measured in serum. Data are presented as mean ± SEM (n=2–7 per group). </w:t>
      </w:r>
    </w:p>
    <w:p w14:paraId="2060D0C8" w14:textId="10AD5742" w:rsidR="00185168" w:rsidRPr="00CD1F6B" w:rsidRDefault="00185168" w:rsidP="00CD1F6B">
      <w:pPr>
        <w:spacing w:line="276" w:lineRule="auto"/>
        <w:rPr>
          <w:sz w:val="24"/>
          <w:szCs w:val="28"/>
        </w:rPr>
      </w:pPr>
      <w:r w:rsidRPr="00CD1F6B">
        <w:rPr>
          <w:sz w:val="24"/>
          <w:szCs w:val="28"/>
        </w:rPr>
        <w:t>Statistical analysis was performed using one-way ANOVA with Tukey’s post hoc test (*</w:t>
      </w:r>
      <w:r w:rsidRPr="00CD1F6B">
        <w:rPr>
          <w:i/>
          <w:iCs/>
          <w:sz w:val="24"/>
          <w:szCs w:val="28"/>
        </w:rPr>
        <w:t>p</w:t>
      </w:r>
      <w:r w:rsidRPr="00CD1F6B">
        <w:rPr>
          <w:sz w:val="24"/>
          <w:szCs w:val="28"/>
        </w:rPr>
        <w:t xml:space="preserve">≤ 0·05, ** </w:t>
      </w:r>
      <w:r w:rsidRPr="00CD1F6B">
        <w:rPr>
          <w:i/>
          <w:iCs/>
          <w:sz w:val="24"/>
          <w:szCs w:val="28"/>
        </w:rPr>
        <w:t>p</w:t>
      </w:r>
      <w:r w:rsidRPr="00CD1F6B">
        <w:rPr>
          <w:sz w:val="24"/>
          <w:szCs w:val="28"/>
        </w:rPr>
        <w:t xml:space="preserve">≤ 0·01, *** </w:t>
      </w:r>
      <w:r w:rsidRPr="00CD1F6B">
        <w:rPr>
          <w:i/>
          <w:iCs/>
          <w:sz w:val="24"/>
          <w:szCs w:val="28"/>
        </w:rPr>
        <w:t>p</w:t>
      </w:r>
      <w:r w:rsidRPr="00CD1F6B">
        <w:rPr>
          <w:sz w:val="24"/>
          <w:szCs w:val="28"/>
        </w:rPr>
        <w:t xml:space="preserve">≤ 0·001, **** </w:t>
      </w:r>
      <w:r w:rsidRPr="00CD1F6B">
        <w:rPr>
          <w:i/>
          <w:iCs/>
          <w:sz w:val="24"/>
          <w:szCs w:val="28"/>
        </w:rPr>
        <w:t>p</w:t>
      </w:r>
      <w:r w:rsidRPr="00CD1F6B">
        <w:rPr>
          <w:sz w:val="24"/>
          <w:szCs w:val="28"/>
        </w:rPr>
        <w:t xml:space="preserve">≤ 0·0001). </w:t>
      </w:r>
    </w:p>
    <w:p w14:paraId="3D3653F6" w14:textId="6364386D" w:rsidR="00185168" w:rsidRPr="00CD1F6B" w:rsidRDefault="00185168" w:rsidP="00CD1F6B">
      <w:pPr>
        <w:spacing w:line="276" w:lineRule="auto"/>
        <w:rPr>
          <w:b/>
          <w:bCs/>
          <w:sz w:val="24"/>
          <w:szCs w:val="28"/>
        </w:rPr>
      </w:pPr>
      <w:r w:rsidRPr="00CD1F6B">
        <w:rPr>
          <w:b/>
          <w:bCs/>
          <w:sz w:val="24"/>
          <w:szCs w:val="28"/>
        </w:rPr>
        <w:t xml:space="preserve">Supplementary Figure 6 (A-D). Heatmap visualization of dysregulated metabolites identified through metabolomic analysis of the untreated control group (Naïve) and EAE–induced mice treated with corn oil (vehicle) or TH </w:t>
      </w:r>
      <w:r w:rsidR="004460DA" w:rsidRPr="00CD1F6B">
        <w:rPr>
          <w:b/>
          <w:bCs/>
          <w:sz w:val="24"/>
          <w:szCs w:val="28"/>
        </w:rPr>
        <w:t>analogues</w:t>
      </w:r>
      <w:r w:rsidRPr="00CD1F6B">
        <w:rPr>
          <w:b/>
          <w:bCs/>
          <w:sz w:val="24"/>
          <w:szCs w:val="28"/>
        </w:rPr>
        <w:t xml:space="preserve"> (L–T3, TRIAC, and DITPA). </w:t>
      </w:r>
    </w:p>
    <w:p w14:paraId="683FCCE5" w14:textId="77777777" w:rsidR="00185168" w:rsidRPr="00CD1F6B" w:rsidRDefault="00185168" w:rsidP="00CD1F6B">
      <w:pPr>
        <w:spacing w:line="276" w:lineRule="auto"/>
        <w:rPr>
          <w:sz w:val="24"/>
          <w:szCs w:val="28"/>
        </w:rPr>
      </w:pPr>
      <w:r w:rsidRPr="00CD1F6B">
        <w:rPr>
          <w:b/>
          <w:bCs/>
          <w:sz w:val="24"/>
          <w:szCs w:val="28"/>
        </w:rPr>
        <w:t>(A-C)</w:t>
      </w:r>
      <w:r w:rsidRPr="00CD1F6B">
        <w:rPr>
          <w:sz w:val="24"/>
          <w:szCs w:val="28"/>
        </w:rPr>
        <w:t xml:space="preserve"> Dysregulated metabolites identified from the volcano plot (p&lt; 0·05 and FC &gt; 1·5) were visualized as heatmaps to compare corn oil (n = 3) with Naïve (n=5, A), L–T3 (n=3, B), and TRIAC (n=4, C) groups. </w:t>
      </w:r>
      <w:r w:rsidRPr="00CD1F6B">
        <w:rPr>
          <w:b/>
          <w:bCs/>
          <w:sz w:val="24"/>
          <w:szCs w:val="28"/>
        </w:rPr>
        <w:t>(D)</w:t>
      </w:r>
      <w:r w:rsidRPr="00CD1F6B">
        <w:rPr>
          <w:sz w:val="24"/>
          <w:szCs w:val="28"/>
        </w:rPr>
        <w:t xml:space="preserve"> Additionally, expression patterns of DITPA (n=3) were compared against Naïve, corn oil, L–T3, and TRIAC. Data analysis was performed in R (v4·2·1) using the </w:t>
      </w:r>
      <w:r w:rsidRPr="00CD1F6B">
        <w:rPr>
          <w:i/>
          <w:iCs/>
          <w:sz w:val="24"/>
          <w:szCs w:val="28"/>
        </w:rPr>
        <w:t>Heatmap</w:t>
      </w:r>
      <w:r w:rsidRPr="00CD1F6B">
        <w:rPr>
          <w:sz w:val="24"/>
          <w:szCs w:val="28"/>
        </w:rPr>
        <w:t xml:space="preserve">, </w:t>
      </w:r>
      <w:r w:rsidRPr="00CD1F6B">
        <w:rPr>
          <w:i/>
          <w:iCs/>
          <w:sz w:val="24"/>
          <w:szCs w:val="28"/>
        </w:rPr>
        <w:t>struct</w:t>
      </w:r>
      <w:r w:rsidRPr="00CD1F6B">
        <w:rPr>
          <w:sz w:val="24"/>
          <w:szCs w:val="28"/>
        </w:rPr>
        <w:t xml:space="preserve">, </w:t>
      </w:r>
      <w:proofErr w:type="spellStart"/>
      <w:r w:rsidRPr="00CD1F6B">
        <w:rPr>
          <w:i/>
          <w:iCs/>
          <w:sz w:val="24"/>
          <w:szCs w:val="28"/>
        </w:rPr>
        <w:t>structtoolbox</w:t>
      </w:r>
      <w:proofErr w:type="spellEnd"/>
      <w:r w:rsidRPr="00CD1F6B">
        <w:rPr>
          <w:sz w:val="24"/>
          <w:szCs w:val="28"/>
        </w:rPr>
        <w:t xml:space="preserve">, and </w:t>
      </w:r>
      <w:r w:rsidRPr="00CD1F6B">
        <w:rPr>
          <w:i/>
          <w:iCs/>
          <w:sz w:val="24"/>
          <w:szCs w:val="28"/>
        </w:rPr>
        <w:t>ggplot2</w:t>
      </w:r>
      <w:r w:rsidRPr="00CD1F6B">
        <w:rPr>
          <w:sz w:val="24"/>
          <w:szCs w:val="28"/>
        </w:rPr>
        <w:t xml:space="preserve"> packages. All comparisons were performed on lumbosacral spinal cords, except for DITPA/L–T3, which were analysed in thoracic spinal cords.  </w:t>
      </w:r>
    </w:p>
    <w:p w14:paraId="72A466CC" w14:textId="1EF402CF" w:rsidR="00185168" w:rsidRPr="00CD1F6B" w:rsidRDefault="00185168" w:rsidP="00CD1F6B">
      <w:pPr>
        <w:spacing w:line="276" w:lineRule="auto"/>
        <w:rPr>
          <w:b/>
          <w:bCs/>
          <w:sz w:val="24"/>
          <w:szCs w:val="28"/>
        </w:rPr>
      </w:pPr>
      <w:r w:rsidRPr="00CD1F6B">
        <w:rPr>
          <w:b/>
          <w:bCs/>
          <w:sz w:val="24"/>
          <w:szCs w:val="28"/>
        </w:rPr>
        <w:t xml:space="preserve">Supplementary Figure 6 (E-G). Metabolomic profiling and pathway analysis of EAE–induced mice treated with TH </w:t>
      </w:r>
      <w:r w:rsidR="00824A5E" w:rsidRPr="00CD1F6B">
        <w:rPr>
          <w:b/>
          <w:bCs/>
          <w:sz w:val="24"/>
          <w:szCs w:val="28"/>
        </w:rPr>
        <w:t>analogues</w:t>
      </w:r>
      <w:r w:rsidRPr="00CD1F6B">
        <w:rPr>
          <w:b/>
          <w:bCs/>
          <w:sz w:val="24"/>
          <w:szCs w:val="28"/>
        </w:rPr>
        <w:t>.</w:t>
      </w:r>
    </w:p>
    <w:p w14:paraId="280898BF" w14:textId="5742ADE5" w:rsidR="00185168" w:rsidRPr="00CD1F6B" w:rsidRDefault="00185168" w:rsidP="00CD1F6B">
      <w:pPr>
        <w:spacing w:line="276" w:lineRule="auto"/>
        <w:rPr>
          <w:sz w:val="24"/>
          <w:szCs w:val="28"/>
        </w:rPr>
      </w:pPr>
      <w:r w:rsidRPr="00CD1F6B">
        <w:rPr>
          <w:sz w:val="24"/>
          <w:szCs w:val="28"/>
        </w:rPr>
        <w:lastRenderedPageBreak/>
        <w:t xml:space="preserve">An untargeted metabolomic approach was used to assess the metabolic profiles of untreated control mice (Naïve, n=5) and EAE–induced mice treated with corn oil (vehicle, n=3) or TH </w:t>
      </w:r>
      <w:r w:rsidR="00824A5E" w:rsidRPr="00CD1F6B">
        <w:rPr>
          <w:sz w:val="24"/>
          <w:szCs w:val="28"/>
        </w:rPr>
        <w:t>analogues</w:t>
      </w:r>
      <w:r w:rsidRPr="00CD1F6B">
        <w:rPr>
          <w:sz w:val="24"/>
          <w:szCs w:val="28"/>
        </w:rPr>
        <w:t xml:space="preserve"> (L</w:t>
      </w:r>
      <w:bookmarkStart w:id="63" w:name="_Hlk212817770"/>
      <w:r w:rsidRPr="00CD1F6B">
        <w:rPr>
          <w:sz w:val="24"/>
          <w:szCs w:val="28"/>
        </w:rPr>
        <w:t>–</w:t>
      </w:r>
      <w:bookmarkEnd w:id="63"/>
      <w:r w:rsidRPr="00CD1F6B">
        <w:rPr>
          <w:sz w:val="24"/>
          <w:szCs w:val="28"/>
        </w:rPr>
        <w:t>T3; n=3, TRIAC; n=4). Volcano plots (-log10(</w:t>
      </w:r>
      <w:r w:rsidRPr="00CD1F6B">
        <w:rPr>
          <w:i/>
          <w:iCs/>
          <w:sz w:val="24"/>
          <w:szCs w:val="28"/>
        </w:rPr>
        <w:t>p–</w:t>
      </w:r>
      <w:r w:rsidRPr="00CD1F6B">
        <w:rPr>
          <w:sz w:val="24"/>
          <w:szCs w:val="28"/>
        </w:rPr>
        <w:t xml:space="preserve">values) versus log2(fold change&gt;1·5)) highlight significant differences in metabolite expression, with upregulated metabolites shown in red and downregulated metabolites in blue. Volcano plot analysis was conducted in R (v4·2·1) using </w:t>
      </w:r>
      <w:r w:rsidRPr="00CD1F6B">
        <w:rPr>
          <w:i/>
          <w:iCs/>
          <w:sz w:val="24"/>
          <w:szCs w:val="28"/>
        </w:rPr>
        <w:t>struct</w:t>
      </w:r>
      <w:r w:rsidRPr="00CD1F6B">
        <w:rPr>
          <w:sz w:val="24"/>
          <w:szCs w:val="28"/>
        </w:rPr>
        <w:t xml:space="preserve">, </w:t>
      </w:r>
      <w:proofErr w:type="spellStart"/>
      <w:r w:rsidRPr="00CD1F6B">
        <w:rPr>
          <w:i/>
          <w:iCs/>
          <w:sz w:val="24"/>
          <w:szCs w:val="28"/>
        </w:rPr>
        <w:t>structtoolbox</w:t>
      </w:r>
      <w:proofErr w:type="spellEnd"/>
      <w:r w:rsidRPr="00CD1F6B">
        <w:rPr>
          <w:sz w:val="24"/>
          <w:szCs w:val="28"/>
        </w:rPr>
        <w:t xml:space="preserve">, and </w:t>
      </w:r>
      <w:proofErr w:type="spellStart"/>
      <w:r w:rsidRPr="00CD1F6B">
        <w:rPr>
          <w:i/>
          <w:iCs/>
          <w:sz w:val="24"/>
          <w:szCs w:val="28"/>
        </w:rPr>
        <w:t>ggplot</w:t>
      </w:r>
      <w:proofErr w:type="spellEnd"/>
      <w:r w:rsidRPr="00CD1F6B">
        <w:rPr>
          <w:sz w:val="24"/>
          <w:szCs w:val="28"/>
        </w:rPr>
        <w:t xml:space="preserve"> packages. Pathway and enrichment analyses of dysregulated metabolites were conducted using </w:t>
      </w:r>
      <w:proofErr w:type="spellStart"/>
      <w:r w:rsidRPr="00CD1F6B">
        <w:rPr>
          <w:sz w:val="24"/>
          <w:szCs w:val="28"/>
        </w:rPr>
        <w:t>MetaboAnalyst</w:t>
      </w:r>
      <w:proofErr w:type="spellEnd"/>
      <w:r w:rsidRPr="00CD1F6B">
        <w:rPr>
          <w:sz w:val="24"/>
          <w:szCs w:val="28"/>
        </w:rPr>
        <w:t xml:space="preserve"> 6.0 with KEGG IDs and the Mus musculus sapiens pathway library. Pathway impact (circle size) represents the combined results of centrality and enrichment analysis, while </w:t>
      </w:r>
      <w:r w:rsidR="00824A5E" w:rsidRPr="00CD1F6B">
        <w:rPr>
          <w:sz w:val="24"/>
          <w:szCs w:val="28"/>
        </w:rPr>
        <w:t>colour</w:t>
      </w:r>
      <w:r w:rsidRPr="00CD1F6B">
        <w:rPr>
          <w:sz w:val="24"/>
          <w:szCs w:val="28"/>
        </w:rPr>
        <w:t xml:space="preserve"> intensity (red to yellow) indicates statistical significance, with red representing the highest significance. Results are presented for corn oil/Naïve </w:t>
      </w:r>
      <w:r w:rsidRPr="00CD1F6B">
        <w:rPr>
          <w:b/>
          <w:bCs/>
          <w:sz w:val="24"/>
          <w:szCs w:val="28"/>
        </w:rPr>
        <w:t>(E)</w:t>
      </w:r>
      <w:r w:rsidRPr="00CD1F6B">
        <w:rPr>
          <w:sz w:val="24"/>
          <w:szCs w:val="28"/>
        </w:rPr>
        <w:t xml:space="preserve">, L–T3/Corn oil </w:t>
      </w:r>
      <w:r w:rsidRPr="00CD1F6B">
        <w:rPr>
          <w:b/>
          <w:bCs/>
          <w:sz w:val="24"/>
          <w:szCs w:val="28"/>
        </w:rPr>
        <w:t>(F)</w:t>
      </w:r>
      <w:r w:rsidRPr="00CD1F6B">
        <w:rPr>
          <w:sz w:val="24"/>
          <w:szCs w:val="28"/>
        </w:rPr>
        <w:t xml:space="preserve">, TRIAC/Corn oil </w:t>
      </w:r>
      <w:r w:rsidRPr="00CD1F6B">
        <w:rPr>
          <w:b/>
          <w:bCs/>
          <w:sz w:val="24"/>
          <w:szCs w:val="28"/>
        </w:rPr>
        <w:t>(G).</w:t>
      </w:r>
    </w:p>
    <w:p w14:paraId="6CD89BF2" w14:textId="726C6991" w:rsidR="00185168" w:rsidRPr="00CD1F6B" w:rsidRDefault="00185168" w:rsidP="00CD1F6B">
      <w:pPr>
        <w:spacing w:line="276" w:lineRule="auto"/>
        <w:rPr>
          <w:b/>
          <w:bCs/>
          <w:sz w:val="24"/>
          <w:szCs w:val="28"/>
        </w:rPr>
      </w:pPr>
      <w:r w:rsidRPr="00CD1F6B">
        <w:rPr>
          <w:b/>
          <w:bCs/>
          <w:sz w:val="24"/>
          <w:szCs w:val="28"/>
        </w:rPr>
        <w:t xml:space="preserve">Supplementary Figure 6 (H-K). Metabolomic profiles following DITPA administration compared to control and daily administration of TH </w:t>
      </w:r>
      <w:r w:rsidR="00824A5E" w:rsidRPr="00CD1F6B">
        <w:rPr>
          <w:b/>
          <w:bCs/>
          <w:sz w:val="24"/>
          <w:szCs w:val="28"/>
        </w:rPr>
        <w:t>analogues</w:t>
      </w:r>
      <w:r w:rsidRPr="00CD1F6B">
        <w:rPr>
          <w:b/>
          <w:bCs/>
          <w:sz w:val="24"/>
          <w:szCs w:val="28"/>
        </w:rPr>
        <w:t xml:space="preserve"> (L–T3 and TRIAC).</w:t>
      </w:r>
    </w:p>
    <w:p w14:paraId="4CE37478" w14:textId="33A27843" w:rsidR="00185168" w:rsidRPr="00CD1F6B" w:rsidRDefault="00185168" w:rsidP="00CD1F6B">
      <w:pPr>
        <w:spacing w:line="276" w:lineRule="auto"/>
        <w:rPr>
          <w:sz w:val="24"/>
          <w:szCs w:val="28"/>
        </w:rPr>
      </w:pPr>
      <w:r w:rsidRPr="00CD1F6B">
        <w:rPr>
          <w:sz w:val="24"/>
          <w:szCs w:val="28"/>
        </w:rPr>
        <w:t xml:space="preserve">An untargeted metabolomic approach was employed to compare the metabolic profiles of DITPA–treated mice (n=3) with untreated control mice (Naïve) (n=5, H), EAE–induced mice treated with corn oil (vehicle) (n=3, I), and EAE–induced mice treated with another thyroid hormone </w:t>
      </w:r>
      <w:r w:rsidR="00824A5E" w:rsidRPr="00CD1F6B">
        <w:rPr>
          <w:sz w:val="24"/>
          <w:szCs w:val="28"/>
        </w:rPr>
        <w:t>analogues</w:t>
      </w:r>
      <w:r w:rsidRPr="00CD1F6B">
        <w:rPr>
          <w:sz w:val="24"/>
          <w:szCs w:val="28"/>
        </w:rPr>
        <w:t>, including L–T3 (n=3, J) and TRIAC (n=4, K). Principal Component Analysis (PCA) was performed to visualize multivariate variance between groups, while univariate analyses, including t-tests (p &lt; 0·05) and volcano plots (-log10(</w:t>
      </w:r>
      <w:r w:rsidRPr="00CD1F6B">
        <w:rPr>
          <w:i/>
          <w:iCs/>
          <w:sz w:val="24"/>
          <w:szCs w:val="28"/>
        </w:rPr>
        <w:t>p–</w:t>
      </w:r>
      <w:r w:rsidRPr="00CD1F6B">
        <w:rPr>
          <w:sz w:val="24"/>
          <w:szCs w:val="28"/>
        </w:rPr>
        <w:t xml:space="preserve">values) versus log2(fold change&gt;1·5), identified significant differences in metabolite expression. </w:t>
      </w:r>
    </w:p>
    <w:p w14:paraId="4CF80C9D" w14:textId="743DC8E2" w:rsidR="00185168" w:rsidRPr="00CD1F6B" w:rsidRDefault="00185168" w:rsidP="00CD1F6B">
      <w:pPr>
        <w:spacing w:line="276" w:lineRule="auto"/>
        <w:rPr>
          <w:sz w:val="24"/>
          <w:szCs w:val="28"/>
        </w:rPr>
      </w:pPr>
      <w:r w:rsidRPr="00CD1F6B">
        <w:rPr>
          <w:sz w:val="24"/>
          <w:szCs w:val="28"/>
        </w:rPr>
        <w:t xml:space="preserve">Data analysis was carried out in R (v4·2·1) using </w:t>
      </w:r>
      <w:r w:rsidRPr="00CD1F6B">
        <w:rPr>
          <w:i/>
          <w:iCs/>
          <w:sz w:val="24"/>
          <w:szCs w:val="28"/>
        </w:rPr>
        <w:t>struct</w:t>
      </w:r>
      <w:r w:rsidRPr="00CD1F6B">
        <w:rPr>
          <w:sz w:val="24"/>
          <w:szCs w:val="28"/>
        </w:rPr>
        <w:t xml:space="preserve">, </w:t>
      </w:r>
      <w:proofErr w:type="spellStart"/>
      <w:r w:rsidRPr="00CD1F6B">
        <w:rPr>
          <w:i/>
          <w:iCs/>
          <w:sz w:val="24"/>
          <w:szCs w:val="28"/>
        </w:rPr>
        <w:t>structtoolbox</w:t>
      </w:r>
      <w:proofErr w:type="spellEnd"/>
      <w:r w:rsidRPr="00CD1F6B">
        <w:rPr>
          <w:sz w:val="24"/>
          <w:szCs w:val="28"/>
        </w:rPr>
        <w:t xml:space="preserve">, and </w:t>
      </w:r>
      <w:proofErr w:type="spellStart"/>
      <w:r w:rsidRPr="00CD1F6B">
        <w:rPr>
          <w:i/>
          <w:iCs/>
          <w:sz w:val="24"/>
          <w:szCs w:val="28"/>
        </w:rPr>
        <w:t>ggplot</w:t>
      </w:r>
      <w:proofErr w:type="spellEnd"/>
      <w:r w:rsidRPr="00CD1F6B">
        <w:rPr>
          <w:sz w:val="24"/>
          <w:szCs w:val="28"/>
        </w:rPr>
        <w:t xml:space="preserve"> packages. Pathway and enrichment analyses of dysregulated metabolites were performed using </w:t>
      </w:r>
      <w:proofErr w:type="spellStart"/>
      <w:r w:rsidRPr="00CD1F6B">
        <w:rPr>
          <w:sz w:val="24"/>
          <w:szCs w:val="28"/>
        </w:rPr>
        <w:t>MetaboAnalyst</w:t>
      </w:r>
      <w:proofErr w:type="spellEnd"/>
      <w:r w:rsidRPr="00CD1F6B">
        <w:rPr>
          <w:sz w:val="24"/>
          <w:szCs w:val="28"/>
        </w:rPr>
        <w:t xml:space="preserve"> 6.0, employing KEGG IDs and the Mus musculus sapiens pathway library to identify significantly enriched metabolic pathways. Pathway impact (circle size) represents the combined results of centrality and enrichment analysis, while </w:t>
      </w:r>
      <w:r w:rsidR="00824A5E" w:rsidRPr="00CD1F6B">
        <w:rPr>
          <w:sz w:val="24"/>
          <w:szCs w:val="28"/>
        </w:rPr>
        <w:t>colour</w:t>
      </w:r>
      <w:r w:rsidRPr="00CD1F6B">
        <w:rPr>
          <w:sz w:val="24"/>
          <w:szCs w:val="28"/>
        </w:rPr>
        <w:t xml:space="preserve"> intensity (red to yellow) denotes statistical significance, with red indicating the highest significance.</w:t>
      </w:r>
    </w:p>
    <w:p w14:paraId="6308C7E3" w14:textId="77777777" w:rsidR="00185168" w:rsidRPr="00CD1F6B" w:rsidRDefault="00185168" w:rsidP="00CD1F6B">
      <w:pPr>
        <w:spacing w:line="276" w:lineRule="auto"/>
        <w:rPr>
          <w:b/>
          <w:bCs/>
          <w:sz w:val="24"/>
          <w:szCs w:val="28"/>
        </w:rPr>
      </w:pPr>
      <w:r w:rsidRPr="00CD1F6B">
        <w:rPr>
          <w:b/>
          <w:bCs/>
          <w:sz w:val="24"/>
          <w:szCs w:val="28"/>
        </w:rPr>
        <w:t>Supplementary Figure 7 (A-B). Metabolite alterations and pathway associations in LSSC of EAE–induced mice treated with Corn oil versus Naïve controls</w:t>
      </w:r>
    </w:p>
    <w:p w14:paraId="62E93C09" w14:textId="3EF16E56" w:rsidR="00185168" w:rsidRPr="00CD1F6B" w:rsidRDefault="00185168" w:rsidP="00CD1F6B">
      <w:pPr>
        <w:spacing w:line="276" w:lineRule="auto"/>
        <w:rPr>
          <w:sz w:val="24"/>
          <w:szCs w:val="28"/>
        </w:rPr>
      </w:pPr>
      <w:r w:rsidRPr="00CD1F6B">
        <w:rPr>
          <w:sz w:val="24"/>
          <w:szCs w:val="28"/>
        </w:rPr>
        <w:t xml:space="preserve">Violin plots illustrate the distribution and density of abundance values for metabolites that were significantly altered in LSSC between EAE–induced mice treated with corn oil (n=3) and Naïve as controls (n=5), mapped to their associated metabolic pathways. Significantly dysregulated metabolites were identified through volcano plot analysis using </w:t>
      </w:r>
      <w:bookmarkStart w:id="64" w:name="_Hlk212816855"/>
      <w:r w:rsidRPr="00CD1F6B">
        <w:rPr>
          <w:sz w:val="24"/>
          <w:szCs w:val="28"/>
        </w:rPr>
        <w:t xml:space="preserve">p value &lt; 0·05 and FC &gt; 1·5. </w:t>
      </w:r>
      <w:bookmarkEnd w:id="64"/>
      <w:r w:rsidRPr="00CD1F6B">
        <w:rPr>
          <w:sz w:val="24"/>
          <w:szCs w:val="28"/>
        </w:rPr>
        <w:t xml:space="preserve">In each plot, the violin outline represents the kernel density estimate, and the embedded boxplot denotes the interquartile range and median. Plots were generated in R (v4·2·1) using the ggplot2 package. The pathway enrichment network in panel A displays enriched metabolic pathways, with circle size indicating pathway impact and </w:t>
      </w:r>
      <w:r w:rsidR="00824A5E" w:rsidRPr="00CD1F6B">
        <w:rPr>
          <w:sz w:val="24"/>
          <w:szCs w:val="28"/>
        </w:rPr>
        <w:t>colour</w:t>
      </w:r>
      <w:r w:rsidRPr="00CD1F6B">
        <w:rPr>
          <w:sz w:val="24"/>
          <w:szCs w:val="28"/>
        </w:rPr>
        <w:t xml:space="preserve"> intensity (yellow to red) representing statistical significance, where deeper red corresponds to higher significance.</w:t>
      </w:r>
    </w:p>
    <w:p w14:paraId="28B106AE" w14:textId="77777777" w:rsidR="00185168" w:rsidRPr="00CD1F6B" w:rsidRDefault="00185168" w:rsidP="00CD1F6B">
      <w:pPr>
        <w:spacing w:line="276" w:lineRule="auto"/>
        <w:rPr>
          <w:b/>
          <w:bCs/>
          <w:sz w:val="24"/>
          <w:szCs w:val="28"/>
        </w:rPr>
      </w:pPr>
      <w:r w:rsidRPr="00CD1F6B">
        <w:rPr>
          <w:b/>
          <w:bCs/>
          <w:sz w:val="24"/>
          <w:szCs w:val="28"/>
        </w:rPr>
        <w:t>Figure 7 (C). Significantly altered metabolites and pathway enrichment in LSSC of EAE–induced mice treated with Corn oil versus Naïve controls</w:t>
      </w:r>
    </w:p>
    <w:p w14:paraId="2A59F9C9" w14:textId="2F8704EB" w:rsidR="00185168" w:rsidRPr="00CD1F6B" w:rsidRDefault="00185168" w:rsidP="00CD1F6B">
      <w:pPr>
        <w:spacing w:line="276" w:lineRule="auto"/>
        <w:rPr>
          <w:sz w:val="24"/>
          <w:szCs w:val="28"/>
        </w:rPr>
      </w:pPr>
      <w:r w:rsidRPr="00CD1F6B">
        <w:rPr>
          <w:sz w:val="24"/>
          <w:szCs w:val="28"/>
        </w:rPr>
        <w:lastRenderedPageBreak/>
        <w:t xml:space="preserve">Violin plots illustrate the distribution and density of abundance values for metabolites that were significantly altered in LSSC between EAE–induced mice treated with corn oil (n=3) and Naïve as controls (n=5), mapped to their associated metabolic pathways. Significantly dysregulated metabolites were identified through volcano plot analysis using </w:t>
      </w:r>
      <w:r w:rsidRPr="00CD1F6B">
        <w:rPr>
          <w:i/>
          <w:iCs/>
          <w:sz w:val="24"/>
          <w:szCs w:val="28"/>
        </w:rPr>
        <w:t>p</w:t>
      </w:r>
      <w:r w:rsidRPr="00CD1F6B">
        <w:rPr>
          <w:sz w:val="24"/>
          <w:szCs w:val="28"/>
        </w:rPr>
        <w:t xml:space="preserve">&lt;0·05 and FC &gt; 1·5. In each plot, the violin outline represents the kernel density estimate, and the embedded boxplot denotes the interquartile range and median. Plots were generated in R (v4·2·1) using the ggplot2 package. The pathway enrichment network in panel A displays enriched metabolic pathways, with circle size indicating pathway impact and </w:t>
      </w:r>
      <w:r w:rsidR="00824A5E" w:rsidRPr="00CD1F6B">
        <w:rPr>
          <w:sz w:val="24"/>
          <w:szCs w:val="28"/>
        </w:rPr>
        <w:t>colour</w:t>
      </w:r>
      <w:r w:rsidRPr="00CD1F6B">
        <w:rPr>
          <w:sz w:val="24"/>
          <w:szCs w:val="28"/>
        </w:rPr>
        <w:t xml:space="preserve"> intensity (yellow to red) representing statistical significance, where deeper red corresponds to higher significance.</w:t>
      </w:r>
    </w:p>
    <w:p w14:paraId="58D04CD0" w14:textId="69D47DA4" w:rsidR="00185168" w:rsidRPr="00CD1F6B" w:rsidRDefault="00185168" w:rsidP="00CD1F6B">
      <w:pPr>
        <w:spacing w:line="276" w:lineRule="auto"/>
        <w:rPr>
          <w:b/>
          <w:bCs/>
          <w:sz w:val="24"/>
          <w:szCs w:val="28"/>
        </w:rPr>
      </w:pPr>
      <w:r w:rsidRPr="00CD1F6B">
        <w:rPr>
          <w:b/>
          <w:bCs/>
          <w:sz w:val="24"/>
          <w:szCs w:val="28"/>
        </w:rPr>
        <w:t>Supplementary Figure 8</w:t>
      </w:r>
      <w:r w:rsidR="00824A5E">
        <w:rPr>
          <w:b/>
          <w:bCs/>
          <w:sz w:val="24"/>
          <w:szCs w:val="28"/>
        </w:rPr>
        <w:t xml:space="preserve"> </w:t>
      </w:r>
      <w:r w:rsidRPr="00CD1F6B">
        <w:rPr>
          <w:b/>
          <w:bCs/>
          <w:sz w:val="24"/>
          <w:szCs w:val="28"/>
        </w:rPr>
        <w:t xml:space="preserve">(A-B). Significantly altered metabolites in EAE-induced mice treated with LT3, or TRIAC compared to Corn oil </w:t>
      </w:r>
    </w:p>
    <w:p w14:paraId="4A1FBBA0" w14:textId="77777777" w:rsidR="00185168" w:rsidRPr="00CD1F6B" w:rsidRDefault="00185168" w:rsidP="00CD1F6B">
      <w:pPr>
        <w:spacing w:line="276" w:lineRule="auto"/>
        <w:rPr>
          <w:sz w:val="24"/>
          <w:szCs w:val="28"/>
        </w:rPr>
      </w:pPr>
      <w:r w:rsidRPr="00CD1F6B">
        <w:rPr>
          <w:sz w:val="24"/>
          <w:szCs w:val="28"/>
        </w:rPr>
        <w:t xml:space="preserve">Violin plots illustrate the distribution and density of abundance values for metabolites that were significantly altered in LSSC between EAE-induced mice treated with LT3 (n = 3), TRIAC (n = 4), and corn oil as vehicle controls (n = 3), mapped to their associated metabolic pathways. Significantly dysregulated metabolites were identified through volcano plot analysis using </w:t>
      </w:r>
      <w:r w:rsidRPr="00CD1F6B">
        <w:rPr>
          <w:i/>
          <w:iCs/>
          <w:sz w:val="24"/>
          <w:szCs w:val="28"/>
        </w:rPr>
        <w:t>p</w:t>
      </w:r>
      <w:r w:rsidRPr="00CD1F6B">
        <w:rPr>
          <w:sz w:val="24"/>
          <w:szCs w:val="28"/>
        </w:rPr>
        <w:t>&lt;0·05 and FC &gt; 1·5. In each plot, the violin outline represents the kernel density estimate, and the embedded boxplot denotes the interquartile range and median. Plots were generated in R (v4·2·1) using the ggplot2 package.</w:t>
      </w:r>
    </w:p>
    <w:p w14:paraId="3E6DD0D4" w14:textId="77777777" w:rsidR="00185168" w:rsidRPr="00CD1F6B" w:rsidRDefault="00185168" w:rsidP="00CD1F6B">
      <w:pPr>
        <w:spacing w:line="276" w:lineRule="auto"/>
        <w:rPr>
          <w:sz w:val="24"/>
          <w:szCs w:val="28"/>
        </w:rPr>
      </w:pPr>
    </w:p>
    <w:p w14:paraId="15F1177B" w14:textId="77777777" w:rsidR="00185168" w:rsidRPr="00CD1F6B" w:rsidRDefault="00185168" w:rsidP="00CD1F6B">
      <w:pPr>
        <w:spacing w:line="276" w:lineRule="auto"/>
        <w:rPr>
          <w:rFonts w:cs="Times New Roman"/>
          <w:b/>
          <w:bCs/>
          <w:sz w:val="24"/>
          <w:szCs w:val="28"/>
          <w:lang w:val="en-US"/>
        </w:rPr>
      </w:pPr>
      <w:r w:rsidRPr="00CD1F6B">
        <w:rPr>
          <w:rFonts w:cs="Times New Roman"/>
          <w:b/>
          <w:bCs/>
          <w:sz w:val="24"/>
          <w:szCs w:val="28"/>
          <w:lang w:val="en-US"/>
        </w:rPr>
        <w:t>Supplementary Figure 9 (A-B). Significantly altered metabolites in EAE–induced mice treated with DITPA compared with TRIAC, and with LT3</w:t>
      </w:r>
    </w:p>
    <w:p w14:paraId="5D1E8194" w14:textId="77777777" w:rsidR="00185168" w:rsidRPr="00CD1F6B" w:rsidRDefault="00185168" w:rsidP="00CD1F6B">
      <w:pPr>
        <w:spacing w:line="276" w:lineRule="auto"/>
        <w:rPr>
          <w:rFonts w:cs="Times New Roman"/>
          <w:sz w:val="24"/>
          <w:szCs w:val="28"/>
          <w:lang w:val="en-US"/>
        </w:rPr>
      </w:pPr>
      <w:r w:rsidRPr="00CD1F6B">
        <w:rPr>
          <w:rFonts w:cs="Times New Roman"/>
          <w:sz w:val="24"/>
          <w:szCs w:val="28"/>
          <w:lang w:val="en-US"/>
        </w:rPr>
        <w:t xml:space="preserve">Violin plots illustrate the distribution and density of abundance values for metabolites that were significantly altered in (A) LSSC between EAE–induced mice treated with DITPA (n=3) </w:t>
      </w:r>
      <w:bookmarkStart w:id="65" w:name="_Hlk212810223"/>
      <w:r w:rsidRPr="00CD1F6B">
        <w:rPr>
          <w:rFonts w:cs="Times New Roman"/>
          <w:sz w:val="24"/>
          <w:szCs w:val="28"/>
          <w:lang w:val="en-US"/>
        </w:rPr>
        <w:t xml:space="preserve">compared with </w:t>
      </w:r>
      <w:bookmarkEnd w:id="65"/>
      <w:r w:rsidRPr="00CD1F6B">
        <w:rPr>
          <w:rFonts w:cs="Times New Roman"/>
          <w:sz w:val="24"/>
          <w:szCs w:val="28"/>
          <w:lang w:val="en-US"/>
        </w:rPr>
        <w:t>TRIAC (n=4) and in TSC (B) EAE–induced mice treated with DITPA (n=3)</w:t>
      </w:r>
      <w:r w:rsidRPr="00CD1F6B">
        <w:rPr>
          <w:sz w:val="24"/>
          <w:szCs w:val="28"/>
        </w:rPr>
        <w:t xml:space="preserve"> </w:t>
      </w:r>
      <w:r w:rsidRPr="00CD1F6B">
        <w:rPr>
          <w:rFonts w:cs="Times New Roman"/>
          <w:sz w:val="24"/>
          <w:szCs w:val="28"/>
          <w:lang w:val="en-US"/>
        </w:rPr>
        <w:t xml:space="preserve">compared with LT3 (n=3) mapped to their associated metabolic pathways. Significantly dysregulated metabolites were identified through volcano plot analysis </w:t>
      </w:r>
      <w:r w:rsidRPr="00CD1F6B">
        <w:rPr>
          <w:sz w:val="24"/>
          <w:szCs w:val="28"/>
        </w:rPr>
        <w:t xml:space="preserve">using </w:t>
      </w:r>
      <w:r w:rsidRPr="00CD1F6B">
        <w:rPr>
          <w:i/>
          <w:iCs/>
          <w:sz w:val="24"/>
          <w:szCs w:val="28"/>
        </w:rPr>
        <w:t>p</w:t>
      </w:r>
      <w:r w:rsidRPr="00CD1F6B">
        <w:rPr>
          <w:sz w:val="24"/>
          <w:szCs w:val="28"/>
        </w:rPr>
        <w:t xml:space="preserve">&lt;0·05 and FC &gt; 1·5. </w:t>
      </w:r>
      <w:r w:rsidRPr="00CD1F6B">
        <w:rPr>
          <w:rFonts w:cs="Times New Roman"/>
          <w:sz w:val="24"/>
          <w:szCs w:val="28"/>
          <w:lang w:val="en-US"/>
        </w:rPr>
        <w:t xml:space="preserve">In each plot, the violin outline represents the kernel density estimate, and the embedded boxplot denotes the interquartile range and median. Plots were generated in </w:t>
      </w:r>
      <w:r w:rsidRPr="00CD1F6B">
        <w:rPr>
          <w:sz w:val="24"/>
          <w:szCs w:val="28"/>
        </w:rPr>
        <w:t xml:space="preserve">R (v4·2·1) </w:t>
      </w:r>
      <w:r w:rsidRPr="00CD1F6B">
        <w:rPr>
          <w:rFonts w:cs="Times New Roman"/>
          <w:sz w:val="24"/>
          <w:szCs w:val="28"/>
          <w:lang w:val="en-US"/>
        </w:rPr>
        <w:t xml:space="preserve">using the ggplot2 package. </w:t>
      </w:r>
    </w:p>
    <w:p w14:paraId="765DF7EF" w14:textId="77777777" w:rsidR="00185168" w:rsidRPr="00CD1F6B" w:rsidRDefault="00185168" w:rsidP="00CD1F6B">
      <w:pPr>
        <w:spacing w:line="276" w:lineRule="auto"/>
        <w:rPr>
          <w:rFonts w:cs="Times New Roman"/>
          <w:b/>
          <w:bCs/>
          <w:sz w:val="24"/>
          <w:szCs w:val="28"/>
          <w:lang w:val="en-US"/>
        </w:rPr>
      </w:pPr>
      <w:r w:rsidRPr="00CD1F6B">
        <w:rPr>
          <w:rFonts w:cs="Times New Roman"/>
          <w:b/>
          <w:bCs/>
          <w:sz w:val="24"/>
          <w:szCs w:val="28"/>
          <w:lang w:val="en-US"/>
        </w:rPr>
        <w:t>Supplementary Figure 9 C. Significantly altered metabolites in EAE–induced mice treated with DITPA compared LT3 (TSC).</w:t>
      </w:r>
    </w:p>
    <w:p w14:paraId="0DFD7E9E" w14:textId="77777777" w:rsidR="00185168" w:rsidRPr="00CD1F6B" w:rsidRDefault="00185168" w:rsidP="00CD1F6B">
      <w:pPr>
        <w:spacing w:line="276" w:lineRule="auto"/>
        <w:rPr>
          <w:rFonts w:cs="Times New Roman"/>
          <w:sz w:val="24"/>
          <w:szCs w:val="28"/>
          <w:lang w:val="en-US"/>
        </w:rPr>
      </w:pPr>
      <w:r w:rsidRPr="00CD1F6B">
        <w:rPr>
          <w:rFonts w:cs="Times New Roman"/>
          <w:sz w:val="24"/>
          <w:szCs w:val="28"/>
          <w:lang w:val="en-US"/>
        </w:rPr>
        <w:t>Violin plots illustrate the distribution and density of abundance values for metabolites that were significantly altered in EAE–induced mice treated with DITPA (n=3)</w:t>
      </w:r>
      <w:r w:rsidRPr="00CD1F6B">
        <w:rPr>
          <w:sz w:val="24"/>
          <w:szCs w:val="28"/>
        </w:rPr>
        <w:t xml:space="preserve"> </w:t>
      </w:r>
      <w:r w:rsidRPr="00CD1F6B">
        <w:rPr>
          <w:rFonts w:cs="Times New Roman"/>
          <w:sz w:val="24"/>
          <w:szCs w:val="28"/>
          <w:lang w:val="en-US"/>
        </w:rPr>
        <w:t xml:space="preserve">compared with LT3 (n=3) mapped to their associated metabolic pathways. Significantly dysregulated metabolites were identified through volcano plot analysis </w:t>
      </w:r>
      <w:r w:rsidRPr="00CD1F6B">
        <w:rPr>
          <w:sz w:val="24"/>
          <w:szCs w:val="28"/>
        </w:rPr>
        <w:t xml:space="preserve">using </w:t>
      </w:r>
      <w:r w:rsidRPr="00CD1F6B">
        <w:rPr>
          <w:i/>
          <w:iCs/>
          <w:sz w:val="24"/>
          <w:szCs w:val="28"/>
        </w:rPr>
        <w:t>p</w:t>
      </w:r>
      <w:r w:rsidRPr="00CD1F6B">
        <w:rPr>
          <w:sz w:val="24"/>
          <w:szCs w:val="28"/>
        </w:rPr>
        <w:t xml:space="preserve">&lt;0·05 and FC &gt; 1·5. </w:t>
      </w:r>
      <w:r w:rsidRPr="00CD1F6B">
        <w:rPr>
          <w:rFonts w:cs="Times New Roman"/>
          <w:sz w:val="24"/>
          <w:szCs w:val="28"/>
          <w:lang w:val="en-US"/>
        </w:rPr>
        <w:t xml:space="preserve">In each plot, the violin outline represents the kernel density estimate, and the embedded boxplot denotes the interquartile range and median. Plots were generated in </w:t>
      </w:r>
      <w:r w:rsidRPr="00CD1F6B">
        <w:rPr>
          <w:sz w:val="24"/>
          <w:szCs w:val="28"/>
        </w:rPr>
        <w:t xml:space="preserve">R (v4·2·1) </w:t>
      </w:r>
      <w:r w:rsidRPr="00CD1F6B">
        <w:rPr>
          <w:rFonts w:cs="Times New Roman"/>
          <w:sz w:val="24"/>
          <w:szCs w:val="28"/>
          <w:lang w:val="en-US"/>
        </w:rPr>
        <w:t xml:space="preserve">using the ggplot2 package. </w:t>
      </w:r>
    </w:p>
    <w:p w14:paraId="50EF315D" w14:textId="77777777" w:rsidR="00185168" w:rsidRPr="00CD1F6B" w:rsidRDefault="00185168" w:rsidP="00CD1F6B">
      <w:pPr>
        <w:spacing w:line="276" w:lineRule="auto"/>
        <w:rPr>
          <w:rFonts w:cs="Times New Roman"/>
          <w:b/>
          <w:bCs/>
          <w:sz w:val="24"/>
          <w:szCs w:val="28"/>
          <w:lang w:val="en-US"/>
        </w:rPr>
      </w:pPr>
      <w:r w:rsidRPr="00CD1F6B">
        <w:rPr>
          <w:rFonts w:cs="Times New Roman"/>
          <w:b/>
          <w:bCs/>
          <w:sz w:val="24"/>
          <w:szCs w:val="28"/>
          <w:lang w:val="en-US"/>
        </w:rPr>
        <w:t xml:space="preserve">Supplementary Figure 10. T2-Weighted coronal MRI images of lumbosacral spinal cord in EAE–induced mice treated with TH analogs, acquired using </w:t>
      </w:r>
      <w:proofErr w:type="spellStart"/>
      <w:r w:rsidRPr="00CD1F6B">
        <w:rPr>
          <w:rFonts w:cs="Times New Roman"/>
          <w:b/>
          <w:bCs/>
          <w:sz w:val="24"/>
          <w:szCs w:val="28"/>
          <w:lang w:val="en-US"/>
        </w:rPr>
        <w:t>MRtrix</w:t>
      </w:r>
      <w:proofErr w:type="spellEnd"/>
      <w:r w:rsidRPr="00CD1F6B">
        <w:rPr>
          <w:rFonts w:cs="Times New Roman"/>
          <w:b/>
          <w:bCs/>
          <w:sz w:val="24"/>
          <w:szCs w:val="28"/>
          <w:lang w:val="en-US"/>
        </w:rPr>
        <w:t xml:space="preserve"> Software.</w:t>
      </w:r>
    </w:p>
    <w:p w14:paraId="03459EF2" w14:textId="77777777" w:rsidR="00185168" w:rsidRPr="00CD1F6B" w:rsidRDefault="00185168" w:rsidP="00CD1F6B">
      <w:pPr>
        <w:spacing w:line="276" w:lineRule="auto"/>
        <w:rPr>
          <w:rFonts w:cs="Times New Roman"/>
          <w:sz w:val="24"/>
          <w:szCs w:val="28"/>
          <w:lang w:val="en-US"/>
        </w:rPr>
      </w:pPr>
      <w:r w:rsidRPr="00CD1F6B">
        <w:rPr>
          <w:rFonts w:cs="Times New Roman"/>
          <w:sz w:val="24"/>
          <w:szCs w:val="28"/>
          <w:lang w:val="en-US"/>
        </w:rPr>
        <w:lastRenderedPageBreak/>
        <w:t>T2–weighted coronal MRI images of lumbosacral spinal cord sections—including rostral, mid–lumbar, and caudal regions in EAE–induced mice treated with DITPA, TRIAC, L</w:t>
      </w:r>
      <w:bookmarkStart w:id="66" w:name="_Hlk212812928"/>
      <w:r w:rsidRPr="00CD1F6B">
        <w:rPr>
          <w:rFonts w:cs="Times New Roman"/>
          <w:sz w:val="24"/>
          <w:szCs w:val="28"/>
          <w:lang w:val="en-US"/>
        </w:rPr>
        <w:t>–</w:t>
      </w:r>
      <w:bookmarkEnd w:id="66"/>
      <w:r w:rsidRPr="00CD1F6B">
        <w:rPr>
          <w:rFonts w:cs="Times New Roman"/>
          <w:sz w:val="24"/>
          <w:szCs w:val="28"/>
          <w:lang w:val="en-US"/>
        </w:rPr>
        <w:t xml:space="preserve">T3, or vehicle (corn oil), acquired using </w:t>
      </w:r>
      <w:proofErr w:type="spellStart"/>
      <w:r w:rsidRPr="00CD1F6B">
        <w:rPr>
          <w:rFonts w:cs="Times New Roman"/>
          <w:sz w:val="24"/>
          <w:szCs w:val="28"/>
          <w:lang w:val="en-US"/>
        </w:rPr>
        <w:t>MRtrix</w:t>
      </w:r>
      <w:proofErr w:type="spellEnd"/>
      <w:r w:rsidRPr="00CD1F6B">
        <w:rPr>
          <w:rFonts w:cs="Times New Roman"/>
          <w:sz w:val="24"/>
          <w:szCs w:val="28"/>
          <w:lang w:val="en-US"/>
        </w:rPr>
        <w:t xml:space="preserve"> software. </w:t>
      </w:r>
    </w:p>
    <w:p w14:paraId="20EF5B72" w14:textId="775839AD" w:rsidR="00185168" w:rsidRPr="006617ED" w:rsidRDefault="006617ED" w:rsidP="00CD1F6B">
      <w:pPr>
        <w:spacing w:line="276" w:lineRule="auto"/>
        <w:rPr>
          <w:rFonts w:cs="Times New Roman"/>
          <w:b/>
          <w:bCs/>
          <w:sz w:val="24"/>
          <w:szCs w:val="28"/>
          <w:lang w:val="en-US"/>
        </w:rPr>
      </w:pPr>
      <w:r w:rsidRPr="006617ED">
        <w:rPr>
          <w:rFonts w:cs="Times New Roman"/>
          <w:b/>
          <w:bCs/>
          <w:sz w:val="24"/>
          <w:szCs w:val="28"/>
          <w:lang w:val="en-US"/>
        </w:rPr>
        <w:t xml:space="preserve">Supplementary Figure 11. </w:t>
      </w:r>
      <w:r>
        <w:rPr>
          <w:rFonts w:cs="Times New Roman"/>
          <w:b/>
          <w:bCs/>
          <w:sz w:val="24"/>
          <w:szCs w:val="28"/>
          <w:lang w:val="en-US"/>
        </w:rPr>
        <w:t>V</w:t>
      </w:r>
      <w:r w:rsidRPr="006617ED">
        <w:rPr>
          <w:rFonts w:cs="Times New Roman"/>
          <w:b/>
          <w:bCs/>
          <w:sz w:val="24"/>
          <w:szCs w:val="28"/>
          <w:lang w:val="en-US"/>
        </w:rPr>
        <w:t>isual outline of the image analysis pipeline</w:t>
      </w:r>
      <w:r>
        <w:rPr>
          <w:rFonts w:cs="Times New Roman"/>
          <w:b/>
          <w:bCs/>
          <w:sz w:val="24"/>
          <w:szCs w:val="28"/>
          <w:lang w:val="en-US"/>
        </w:rPr>
        <w:t>.</w:t>
      </w:r>
    </w:p>
    <w:p w14:paraId="7CD4F713" w14:textId="77777777" w:rsidR="003F47CF" w:rsidRPr="00BA04D2" w:rsidRDefault="00185168" w:rsidP="00CD1F6B">
      <w:pPr>
        <w:pStyle w:val="Style11"/>
      </w:pPr>
      <w:r w:rsidRPr="00BA04D2">
        <w:br w:type="page"/>
      </w:r>
      <w:bookmarkStart w:id="67" w:name="_Toc217294936"/>
      <w:r w:rsidR="003F47CF">
        <w:lastRenderedPageBreak/>
        <w:t xml:space="preserve">Supplementary </w:t>
      </w:r>
      <w:r w:rsidR="003F47CF" w:rsidRPr="00BA04D2">
        <w:t>Tables.</w:t>
      </w:r>
      <w:bookmarkEnd w:id="67"/>
    </w:p>
    <w:p w14:paraId="11179528" w14:textId="19661D9A" w:rsidR="003F47CF" w:rsidRPr="00BA04D2" w:rsidRDefault="003F47CF" w:rsidP="003F47CF">
      <w:pPr>
        <w:pStyle w:val="Style2"/>
      </w:pPr>
      <w:bookmarkStart w:id="68" w:name="_Toc217293615"/>
      <w:bookmarkStart w:id="69" w:name="_Toc217294937"/>
      <w:r w:rsidRPr="00BA04D2">
        <w:t>Supplementary Table 1. Dysregulated metabolites in DITPA/</w:t>
      </w:r>
      <w:r w:rsidR="004460DA" w:rsidRPr="00BA04D2">
        <w:t>Corn oil</w:t>
      </w:r>
      <w:r w:rsidRPr="00BA04D2">
        <w:t xml:space="preserve"> (LSSC)</w:t>
      </w:r>
      <w:bookmarkEnd w:id="68"/>
      <w:bookmarkEnd w:id="69"/>
    </w:p>
    <w:tbl>
      <w:tblPr>
        <w:tblW w:w="8925" w:type="dxa"/>
        <w:tblLook w:val="04A0" w:firstRow="1" w:lastRow="0" w:firstColumn="1" w:lastColumn="0" w:noHBand="0" w:noVBand="1"/>
      </w:tblPr>
      <w:tblGrid>
        <w:gridCol w:w="4074"/>
        <w:gridCol w:w="854"/>
        <w:gridCol w:w="1297"/>
        <w:gridCol w:w="1012"/>
        <w:gridCol w:w="1688"/>
      </w:tblGrid>
      <w:tr w:rsidR="003F47CF" w:rsidRPr="00AB4148" w14:paraId="7E03DDB3" w14:textId="77777777" w:rsidTr="000F7A14">
        <w:trPr>
          <w:trHeight w:val="290"/>
        </w:trPr>
        <w:tc>
          <w:tcPr>
            <w:tcW w:w="3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1DFBE" w14:textId="415B2CF4" w:rsidR="003F47CF" w:rsidRPr="00AB4148" w:rsidRDefault="003F47CF" w:rsidP="000F7A14">
            <w:pPr>
              <w:spacing w:after="0"/>
              <w:jc w:val="center"/>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Dysregulated metabolites (DITPA/</w:t>
            </w:r>
            <w:r w:rsidR="004460DA" w:rsidRPr="00AB4148">
              <w:rPr>
                <w:rFonts w:eastAsia="Times New Roman" w:cs="Times New Roman"/>
                <w:b/>
                <w:bCs/>
                <w:color w:val="000000"/>
                <w:sz w:val="16"/>
                <w:szCs w:val="16"/>
                <w:lang w:eastAsia="en-AU"/>
              </w:rPr>
              <w:t>Corn oil</w:t>
            </w:r>
            <w:r w:rsidRPr="00AB4148">
              <w:rPr>
                <w:rFonts w:eastAsia="Times New Roman" w:cs="Times New Roman"/>
                <w:b/>
                <w:bCs/>
                <w:color w:val="000000"/>
                <w:sz w:val="16"/>
                <w:szCs w:val="16"/>
                <w:lang w:eastAsia="en-AU"/>
              </w:rPr>
              <w:t>)</w:t>
            </w:r>
          </w:p>
          <w:p w14:paraId="38B16F6A" w14:textId="77777777" w:rsidR="003F47CF" w:rsidRPr="00AB4148" w:rsidRDefault="003F47CF" w:rsidP="000F7A14">
            <w:pPr>
              <w:spacing w:after="0"/>
              <w:jc w:val="center"/>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(LSSC)</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A0C04DC" w14:textId="77777777" w:rsidR="003F47CF" w:rsidRPr="00AB4148" w:rsidRDefault="003F47CF" w:rsidP="000F7A14">
            <w:pPr>
              <w:spacing w:after="0"/>
              <w:jc w:val="left"/>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KEGG</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0A232D1D" w14:textId="77777777" w:rsidR="003F47CF" w:rsidRPr="00AB4148" w:rsidRDefault="003F47CF" w:rsidP="000F7A14">
            <w:pPr>
              <w:spacing w:after="0"/>
              <w:jc w:val="left"/>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Fold Change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866610" w14:textId="77777777" w:rsidR="003F47CF" w:rsidRPr="00AB4148" w:rsidRDefault="003F47CF" w:rsidP="000F7A14">
            <w:pPr>
              <w:spacing w:after="0"/>
              <w:jc w:val="left"/>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p-value</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790633F3" w14:textId="77777777" w:rsidR="003F47CF" w:rsidRPr="00AB4148" w:rsidRDefault="003F47CF" w:rsidP="000F7A14">
            <w:pPr>
              <w:spacing w:after="0"/>
              <w:jc w:val="left"/>
              <w:rPr>
                <w:rFonts w:eastAsia="Times New Roman" w:cs="Times New Roman"/>
                <w:b/>
                <w:bCs/>
                <w:color w:val="000000"/>
                <w:sz w:val="16"/>
                <w:szCs w:val="16"/>
                <w:lang w:eastAsia="en-AU"/>
              </w:rPr>
            </w:pPr>
            <w:r w:rsidRPr="00AB4148">
              <w:rPr>
                <w:rFonts w:eastAsia="Times New Roman" w:cs="Times New Roman"/>
                <w:b/>
                <w:bCs/>
                <w:color w:val="000000"/>
                <w:sz w:val="16"/>
                <w:szCs w:val="16"/>
                <w:lang w:eastAsia="en-AU"/>
              </w:rPr>
              <w:t>Regulation status</w:t>
            </w:r>
          </w:p>
        </w:tc>
      </w:tr>
      <w:tr w:rsidR="003F47CF" w:rsidRPr="00AB4148" w14:paraId="1679C855"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FFCCCC"/>
            <w:noWrap/>
            <w:vAlign w:val="center"/>
            <w:hideMark/>
          </w:tcPr>
          <w:p w14:paraId="755D067F"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3-Demethylubiquinol-9</w:t>
            </w:r>
          </w:p>
        </w:tc>
        <w:tc>
          <w:tcPr>
            <w:tcW w:w="810" w:type="dxa"/>
            <w:tcBorders>
              <w:top w:val="nil"/>
              <w:left w:val="nil"/>
              <w:bottom w:val="single" w:sz="4" w:space="0" w:color="auto"/>
              <w:right w:val="single" w:sz="4" w:space="0" w:color="auto"/>
            </w:tcBorders>
            <w:shd w:val="clear" w:color="auto" w:fill="FFCCCC"/>
            <w:noWrap/>
            <w:vAlign w:val="center"/>
            <w:hideMark/>
          </w:tcPr>
          <w:p w14:paraId="0CCF3AB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NA</w:t>
            </w:r>
          </w:p>
        </w:tc>
        <w:tc>
          <w:tcPr>
            <w:tcW w:w="1230" w:type="dxa"/>
            <w:tcBorders>
              <w:top w:val="nil"/>
              <w:left w:val="nil"/>
              <w:bottom w:val="single" w:sz="4" w:space="0" w:color="auto"/>
              <w:right w:val="single" w:sz="4" w:space="0" w:color="auto"/>
            </w:tcBorders>
            <w:shd w:val="clear" w:color="auto" w:fill="FFCCCC"/>
            <w:noWrap/>
            <w:vAlign w:val="center"/>
            <w:hideMark/>
          </w:tcPr>
          <w:p w14:paraId="050B31DB"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1·60</w:t>
            </w:r>
          </w:p>
        </w:tc>
        <w:tc>
          <w:tcPr>
            <w:tcW w:w="960" w:type="dxa"/>
            <w:tcBorders>
              <w:top w:val="nil"/>
              <w:left w:val="nil"/>
              <w:bottom w:val="single" w:sz="4" w:space="0" w:color="auto"/>
              <w:right w:val="single" w:sz="4" w:space="0" w:color="auto"/>
            </w:tcBorders>
            <w:shd w:val="clear" w:color="auto" w:fill="FFCCCC"/>
            <w:noWrap/>
            <w:vAlign w:val="center"/>
            <w:hideMark/>
          </w:tcPr>
          <w:p w14:paraId="19844FB7"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0·04</w:t>
            </w:r>
          </w:p>
        </w:tc>
        <w:tc>
          <w:tcPr>
            <w:tcW w:w="1601" w:type="dxa"/>
            <w:tcBorders>
              <w:top w:val="nil"/>
              <w:left w:val="nil"/>
              <w:bottom w:val="single" w:sz="4" w:space="0" w:color="auto"/>
              <w:right w:val="single" w:sz="4" w:space="0" w:color="auto"/>
            </w:tcBorders>
            <w:shd w:val="clear" w:color="auto" w:fill="FFCCCC"/>
            <w:noWrap/>
            <w:vAlign w:val="center"/>
            <w:hideMark/>
          </w:tcPr>
          <w:p w14:paraId="03F2D8F4"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Upregulated</w:t>
            </w:r>
          </w:p>
        </w:tc>
      </w:tr>
      <w:tr w:rsidR="003F47CF" w:rsidRPr="00AB4148" w14:paraId="4BD07885"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907277D" w14:textId="77777777" w:rsidR="003F47CF" w:rsidRPr="00AB4148" w:rsidRDefault="003F47CF" w:rsidP="000F7A14">
            <w:pPr>
              <w:spacing w:after="0"/>
              <w:jc w:val="left"/>
              <w:rPr>
                <w:rFonts w:eastAsia="Times New Roman" w:cs="Times New Roman"/>
                <w:color w:val="000000"/>
                <w:sz w:val="16"/>
                <w:szCs w:val="16"/>
                <w:lang w:eastAsia="en-AU"/>
              </w:rPr>
            </w:pPr>
            <w:proofErr w:type="spellStart"/>
            <w:r w:rsidRPr="00AB4148">
              <w:rPr>
                <w:rFonts w:eastAsia="Times New Roman" w:cs="Times New Roman"/>
                <w:color w:val="000000"/>
                <w:sz w:val="16"/>
                <w:szCs w:val="16"/>
                <w:lang w:eastAsia="en-AU"/>
              </w:rPr>
              <w:t>Homostachydrine</w:t>
            </w:r>
            <w:proofErr w:type="spellEnd"/>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0282D29C"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C08283</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6FD6693C"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0·60</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0F901658"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0·01</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25B5D59C"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39C11FE8"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7AC5EA9" w14:textId="77777777" w:rsidR="003F47CF" w:rsidRPr="00AB4148" w:rsidRDefault="003F47CF" w:rsidP="000F7A14">
            <w:pPr>
              <w:spacing w:after="0"/>
              <w:jc w:val="left"/>
              <w:rPr>
                <w:rFonts w:eastAsia="Times New Roman" w:cs="Times New Roman"/>
                <w:color w:val="000000"/>
                <w:sz w:val="16"/>
                <w:szCs w:val="16"/>
                <w:lang w:eastAsia="en-AU"/>
              </w:rPr>
            </w:pPr>
            <w:proofErr w:type="spellStart"/>
            <w:r w:rsidRPr="00AB4148">
              <w:rPr>
                <w:rFonts w:eastAsia="Times New Roman" w:cs="Times New Roman"/>
                <w:color w:val="000000"/>
                <w:sz w:val="16"/>
                <w:szCs w:val="16"/>
                <w:lang w:eastAsia="en-AU"/>
              </w:rPr>
              <w:t>Araliacerebroside</w:t>
            </w:r>
            <w:proofErr w:type="spellEnd"/>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4AB832C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NA</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17814E78"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0·39</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56AC1853"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0·01</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232E13F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7B05D6DC"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0F1E91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Asp/Asp/Asp/Pro/Gln</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1B86E63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NA</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213B09A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0·42</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70ED0EB2"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0·02</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5159BF1F"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0877857E"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A10A485"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Methionine sulfoxide</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5B8439B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C02989</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7AA5F7B1"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0·37</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4C1C2A93"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0·02</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6F9A2B2E"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3A8B6DBF"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C48D6F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w:t>
            </w:r>
            <w:proofErr w:type="spellStart"/>
            <w:r w:rsidRPr="00AB4148">
              <w:rPr>
                <w:rFonts w:eastAsia="Times New Roman" w:cs="Times New Roman"/>
                <w:color w:val="000000"/>
                <w:sz w:val="16"/>
                <w:szCs w:val="16"/>
                <w:lang w:eastAsia="en-AU"/>
              </w:rPr>
              <w:t>Desosamine</w:t>
            </w:r>
            <w:proofErr w:type="spellEnd"/>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416B914E"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NA</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56B23394"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0·48</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0D71913B"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0·03</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58DD3D74"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605EA6D4"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1FE13BA" w14:textId="77777777" w:rsidR="003F47CF" w:rsidRPr="00AB4148" w:rsidRDefault="003F47CF" w:rsidP="000F7A14">
            <w:pPr>
              <w:spacing w:after="0"/>
              <w:jc w:val="left"/>
              <w:rPr>
                <w:rFonts w:eastAsia="Times New Roman" w:cs="Times New Roman"/>
                <w:color w:val="000000"/>
                <w:sz w:val="16"/>
                <w:szCs w:val="16"/>
                <w:lang w:eastAsia="en-AU"/>
              </w:rPr>
            </w:pPr>
            <w:proofErr w:type="spellStart"/>
            <w:r w:rsidRPr="00AB4148">
              <w:rPr>
                <w:rFonts w:eastAsia="Times New Roman" w:cs="Times New Roman"/>
                <w:color w:val="000000"/>
                <w:sz w:val="16"/>
                <w:szCs w:val="16"/>
                <w:lang w:eastAsia="en-AU"/>
              </w:rPr>
              <w:t>Orotic</w:t>
            </w:r>
            <w:proofErr w:type="spellEnd"/>
            <w:r w:rsidRPr="00AB4148">
              <w:rPr>
                <w:rFonts w:eastAsia="Times New Roman" w:cs="Times New Roman"/>
                <w:color w:val="000000"/>
                <w:sz w:val="16"/>
                <w:szCs w:val="16"/>
                <w:lang w:eastAsia="en-AU"/>
              </w:rPr>
              <w:t xml:space="preserve"> acid</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5B478A27"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C00295</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628BF439"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0·53</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2E252AC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0·04</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62E7596D"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0B53E81F"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A32F30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alpha-D-Glucose 1,6-bisphosphate</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FA1149F"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C01231</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61A11EDB"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0·39</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7D29A493"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0·04</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419BA69F"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71629220"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CFCB63E"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 xml:space="preserve">Histidine </w:t>
            </w:r>
            <w:proofErr w:type="spellStart"/>
            <w:r w:rsidRPr="00AB4148">
              <w:rPr>
                <w:rFonts w:eastAsia="Times New Roman" w:cs="Times New Roman"/>
                <w:color w:val="000000"/>
                <w:sz w:val="16"/>
                <w:szCs w:val="16"/>
                <w:lang w:eastAsia="en-AU"/>
              </w:rPr>
              <w:t>trimethylbetaine</w:t>
            </w:r>
            <w:proofErr w:type="spellEnd"/>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5E83F3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C05575</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69CE00E3"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0·44</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1F04F17D"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0·055</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1BB106E7"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27023FAB"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D8CB708"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5'-Phosphoribosyl-N-formylglycinamide</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4A568CD7"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C04376</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7565F35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0·64</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6335254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0·056</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08E3D22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314879CF"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C51559F" w14:textId="77777777" w:rsidR="003F47CF" w:rsidRPr="00AB4148" w:rsidRDefault="003F47CF" w:rsidP="000F7A14">
            <w:pPr>
              <w:spacing w:after="0"/>
              <w:jc w:val="left"/>
              <w:rPr>
                <w:rFonts w:eastAsia="Times New Roman" w:cs="Times New Roman"/>
                <w:color w:val="000000"/>
                <w:sz w:val="16"/>
                <w:szCs w:val="16"/>
                <w:lang w:eastAsia="en-AU"/>
              </w:rPr>
            </w:pPr>
            <w:proofErr w:type="spellStart"/>
            <w:r w:rsidRPr="00AB4148">
              <w:rPr>
                <w:rFonts w:eastAsia="Times New Roman" w:cs="Times New Roman"/>
                <w:color w:val="000000"/>
                <w:sz w:val="16"/>
                <w:szCs w:val="16"/>
                <w:lang w:eastAsia="en-AU"/>
              </w:rPr>
              <w:t>Phosphoribosylformimino</w:t>
            </w:r>
            <w:proofErr w:type="spellEnd"/>
            <w:r w:rsidRPr="00AB4148">
              <w:rPr>
                <w:rFonts w:eastAsia="Times New Roman" w:cs="Times New Roman"/>
                <w:color w:val="000000"/>
                <w:sz w:val="16"/>
                <w:szCs w:val="16"/>
                <w:lang w:eastAsia="en-AU"/>
              </w:rPr>
              <w:t>-AICA-phosphate</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74E67B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C04896</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15ED9EBD"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0·41</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57EF889C"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0·056</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1B589B3F"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r w:rsidR="003F47CF" w:rsidRPr="00AB4148" w14:paraId="1A7B1D44" w14:textId="77777777" w:rsidTr="000F7A14">
        <w:trPr>
          <w:trHeight w:val="290"/>
        </w:trPr>
        <w:tc>
          <w:tcPr>
            <w:tcW w:w="386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475BD56"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Thymine</w:t>
            </w:r>
          </w:p>
        </w:tc>
        <w:tc>
          <w:tcPr>
            <w:tcW w:w="810" w:type="dxa"/>
            <w:tcBorders>
              <w:top w:val="nil"/>
              <w:left w:val="nil"/>
              <w:bottom w:val="single" w:sz="4" w:space="0" w:color="auto"/>
              <w:right w:val="single" w:sz="4" w:space="0" w:color="auto"/>
            </w:tcBorders>
            <w:shd w:val="clear" w:color="auto" w:fill="D9E2F3" w:themeFill="accent1" w:themeFillTint="33"/>
            <w:noWrap/>
            <w:vAlign w:val="center"/>
            <w:hideMark/>
          </w:tcPr>
          <w:p w14:paraId="73ED5C7D"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C00178</w:t>
            </w:r>
          </w:p>
        </w:tc>
        <w:tc>
          <w:tcPr>
            <w:tcW w:w="1230" w:type="dxa"/>
            <w:tcBorders>
              <w:top w:val="nil"/>
              <w:left w:val="nil"/>
              <w:bottom w:val="single" w:sz="4" w:space="0" w:color="auto"/>
              <w:right w:val="single" w:sz="4" w:space="0" w:color="auto"/>
            </w:tcBorders>
            <w:shd w:val="clear" w:color="auto" w:fill="D9E2F3" w:themeFill="accent1" w:themeFillTint="33"/>
            <w:noWrap/>
            <w:vAlign w:val="center"/>
            <w:hideMark/>
          </w:tcPr>
          <w:p w14:paraId="740215DA"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0·53</w:t>
            </w:r>
          </w:p>
        </w:tc>
        <w:tc>
          <w:tcPr>
            <w:tcW w:w="960" w:type="dxa"/>
            <w:tcBorders>
              <w:top w:val="nil"/>
              <w:left w:val="nil"/>
              <w:bottom w:val="single" w:sz="4" w:space="0" w:color="auto"/>
              <w:right w:val="single" w:sz="4" w:space="0" w:color="auto"/>
            </w:tcBorders>
            <w:shd w:val="clear" w:color="auto" w:fill="D9E2F3" w:themeFill="accent1" w:themeFillTint="33"/>
            <w:noWrap/>
            <w:vAlign w:val="center"/>
            <w:hideMark/>
          </w:tcPr>
          <w:p w14:paraId="0F0D4283"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0·058</w:t>
            </w:r>
          </w:p>
        </w:tc>
        <w:tc>
          <w:tcPr>
            <w:tcW w:w="1601" w:type="dxa"/>
            <w:tcBorders>
              <w:top w:val="nil"/>
              <w:left w:val="nil"/>
              <w:bottom w:val="single" w:sz="4" w:space="0" w:color="auto"/>
              <w:right w:val="single" w:sz="4" w:space="0" w:color="auto"/>
            </w:tcBorders>
            <w:shd w:val="clear" w:color="auto" w:fill="D9E2F3" w:themeFill="accent1" w:themeFillTint="33"/>
            <w:noWrap/>
            <w:vAlign w:val="center"/>
            <w:hideMark/>
          </w:tcPr>
          <w:p w14:paraId="0ABD47E0" w14:textId="77777777" w:rsidR="003F47CF" w:rsidRPr="00AB4148" w:rsidRDefault="003F47CF" w:rsidP="000F7A14">
            <w:pPr>
              <w:spacing w:after="0"/>
              <w:jc w:val="left"/>
              <w:rPr>
                <w:rFonts w:eastAsia="Times New Roman" w:cs="Times New Roman"/>
                <w:color w:val="000000"/>
                <w:sz w:val="16"/>
                <w:szCs w:val="16"/>
                <w:lang w:eastAsia="en-AU"/>
              </w:rPr>
            </w:pPr>
            <w:r w:rsidRPr="00AB4148">
              <w:rPr>
                <w:rFonts w:eastAsia="Times New Roman" w:cs="Times New Roman"/>
                <w:color w:val="000000"/>
                <w:sz w:val="16"/>
                <w:szCs w:val="16"/>
                <w:lang w:eastAsia="en-AU"/>
              </w:rPr>
              <w:t>Downregulated</w:t>
            </w:r>
          </w:p>
        </w:tc>
      </w:tr>
    </w:tbl>
    <w:p w14:paraId="001E78B9" w14:textId="77777777" w:rsidR="003F47CF" w:rsidRPr="00BA04D2" w:rsidRDefault="003F47CF" w:rsidP="003F47CF">
      <w:r w:rsidRPr="00BA04D2">
        <w:br w:type="page"/>
      </w:r>
    </w:p>
    <w:p w14:paraId="2C09FB78" w14:textId="77777777" w:rsidR="003F47CF" w:rsidRPr="00BA04D2" w:rsidRDefault="003F47CF" w:rsidP="003F47CF">
      <w:pPr>
        <w:pStyle w:val="Style2"/>
      </w:pPr>
      <w:bookmarkStart w:id="70" w:name="_Toc217293616"/>
      <w:bookmarkStart w:id="71" w:name="_Toc217294938"/>
      <w:r w:rsidRPr="00BA04D2">
        <w:lastRenderedPageBreak/>
        <w:t>Supplementary Table 2. Pathway analysis- DITPA/Corn oil (LSSC).</w:t>
      </w:r>
      <w:bookmarkEnd w:id="70"/>
      <w:bookmarkEnd w:id="71"/>
    </w:p>
    <w:tbl>
      <w:tblPr>
        <w:tblStyle w:val="GridTable6Colorful-Accent5"/>
        <w:tblpPr w:leftFromText="180" w:rightFromText="180" w:vertAnchor="text" w:horzAnchor="margin" w:tblpY="93"/>
        <w:tblW w:w="8925" w:type="dxa"/>
        <w:tblLook w:val="04A0" w:firstRow="1" w:lastRow="0" w:firstColumn="1" w:lastColumn="0" w:noHBand="0" w:noVBand="1"/>
      </w:tblPr>
      <w:tblGrid>
        <w:gridCol w:w="4030"/>
        <w:gridCol w:w="979"/>
        <w:gridCol w:w="979"/>
        <w:gridCol w:w="979"/>
        <w:gridCol w:w="979"/>
        <w:gridCol w:w="979"/>
      </w:tblGrid>
      <w:tr w:rsidR="003F47CF" w:rsidRPr="00BA04D2" w14:paraId="2C51218E"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30" w:type="dxa"/>
            <w:shd w:val="clear" w:color="auto" w:fill="4472C4" w:themeFill="accent1"/>
            <w:noWrap/>
            <w:vAlign w:val="center"/>
            <w:hideMark/>
          </w:tcPr>
          <w:p w14:paraId="1600EF28" w14:textId="77777777" w:rsidR="003F47CF" w:rsidRPr="00BA04D2" w:rsidRDefault="003F47CF" w:rsidP="000F7A14">
            <w:pPr>
              <w:spacing w:before="0"/>
              <w:jc w:val="left"/>
              <w:rPr>
                <w:rFonts w:eastAsia="Times New Roman" w:cs="Times New Roman"/>
                <w:i w:val="0"/>
                <w:color w:val="000000"/>
                <w:sz w:val="16"/>
                <w:szCs w:val="16"/>
                <w:lang w:eastAsia="en-AU"/>
              </w:rPr>
            </w:pPr>
            <w:bookmarkStart w:id="72" w:name="_Hlk212824417"/>
            <w:r w:rsidRPr="00BA04D2">
              <w:rPr>
                <w:rFonts w:eastAsia="Times New Roman" w:cs="Times New Roman"/>
                <w:i w:val="0"/>
                <w:color w:val="000000"/>
                <w:sz w:val="16"/>
                <w:szCs w:val="16"/>
                <w:lang w:eastAsia="en-AU"/>
              </w:rPr>
              <w:t> Pathway analysis- DITPA/Corn oil (LSSC)</w:t>
            </w:r>
          </w:p>
        </w:tc>
        <w:tc>
          <w:tcPr>
            <w:tcW w:w="979" w:type="dxa"/>
            <w:shd w:val="clear" w:color="auto" w:fill="4472C4" w:themeFill="accent1"/>
            <w:noWrap/>
            <w:vAlign w:val="center"/>
            <w:hideMark/>
          </w:tcPr>
          <w:p w14:paraId="3CE39B1D"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979" w:type="dxa"/>
            <w:shd w:val="clear" w:color="auto" w:fill="4472C4" w:themeFill="accent1"/>
            <w:noWrap/>
            <w:vAlign w:val="center"/>
            <w:hideMark/>
          </w:tcPr>
          <w:p w14:paraId="02C26940"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979" w:type="dxa"/>
            <w:shd w:val="clear" w:color="auto" w:fill="4472C4" w:themeFill="accent1"/>
            <w:noWrap/>
            <w:vAlign w:val="center"/>
            <w:hideMark/>
          </w:tcPr>
          <w:p w14:paraId="774C7B30"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979" w:type="dxa"/>
            <w:shd w:val="clear" w:color="auto" w:fill="4472C4" w:themeFill="accent1"/>
            <w:noWrap/>
            <w:vAlign w:val="center"/>
            <w:hideMark/>
          </w:tcPr>
          <w:p w14:paraId="4C1ED07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979" w:type="dxa"/>
            <w:shd w:val="clear" w:color="auto" w:fill="4472C4" w:themeFill="accent1"/>
            <w:noWrap/>
            <w:vAlign w:val="center"/>
            <w:hideMark/>
          </w:tcPr>
          <w:p w14:paraId="552FF830"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4A927226"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30" w:type="dxa"/>
            <w:noWrap/>
            <w:vAlign w:val="center"/>
            <w:hideMark/>
          </w:tcPr>
          <w:p w14:paraId="3F810F71"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Pyrimidine metabolism</w:t>
            </w:r>
          </w:p>
        </w:tc>
        <w:tc>
          <w:tcPr>
            <w:tcW w:w="979" w:type="dxa"/>
            <w:noWrap/>
            <w:vAlign w:val="center"/>
            <w:hideMark/>
          </w:tcPr>
          <w:p w14:paraId="553A272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979" w:type="dxa"/>
            <w:noWrap/>
            <w:vAlign w:val="center"/>
            <w:hideMark/>
          </w:tcPr>
          <w:p w14:paraId="32FC2F5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w:t>
            </w:r>
          </w:p>
        </w:tc>
        <w:tc>
          <w:tcPr>
            <w:tcW w:w="979" w:type="dxa"/>
            <w:noWrap/>
            <w:vAlign w:val="center"/>
            <w:hideMark/>
          </w:tcPr>
          <w:p w14:paraId="0FB0532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79" w:type="dxa"/>
            <w:noWrap/>
            <w:vAlign w:val="center"/>
            <w:hideMark/>
          </w:tcPr>
          <w:p w14:paraId="7A73BEE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0·004</w:t>
            </w:r>
          </w:p>
        </w:tc>
        <w:tc>
          <w:tcPr>
            <w:tcW w:w="979" w:type="dxa"/>
            <w:noWrap/>
            <w:vAlign w:val="center"/>
            <w:hideMark/>
          </w:tcPr>
          <w:p w14:paraId="456EE6A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r>
      <w:tr w:rsidR="003F47CF" w:rsidRPr="00BA04D2" w14:paraId="0DD47EA2"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30" w:type="dxa"/>
            <w:noWrap/>
            <w:vAlign w:val="center"/>
            <w:hideMark/>
          </w:tcPr>
          <w:p w14:paraId="6F31F677"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Starch and sucrose metabolism</w:t>
            </w:r>
          </w:p>
        </w:tc>
        <w:tc>
          <w:tcPr>
            <w:tcW w:w="979" w:type="dxa"/>
            <w:noWrap/>
            <w:vAlign w:val="center"/>
            <w:hideMark/>
          </w:tcPr>
          <w:p w14:paraId="6AC92B3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15</w:t>
            </w:r>
          </w:p>
        </w:tc>
        <w:tc>
          <w:tcPr>
            <w:tcW w:w="979" w:type="dxa"/>
            <w:noWrap/>
            <w:vAlign w:val="center"/>
            <w:hideMark/>
          </w:tcPr>
          <w:p w14:paraId="428AC94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c>
          <w:tcPr>
            <w:tcW w:w="979" w:type="dxa"/>
            <w:noWrap/>
            <w:vAlign w:val="center"/>
            <w:hideMark/>
          </w:tcPr>
          <w:p w14:paraId="615941F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9" w:type="dxa"/>
            <w:noWrap/>
            <w:vAlign w:val="center"/>
            <w:hideMark/>
          </w:tcPr>
          <w:p w14:paraId="3845C83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c>
          <w:tcPr>
            <w:tcW w:w="979" w:type="dxa"/>
            <w:noWrap/>
            <w:vAlign w:val="center"/>
            <w:hideMark/>
          </w:tcPr>
          <w:p w14:paraId="681F24D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1EF372E7"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30" w:type="dxa"/>
            <w:noWrap/>
            <w:vAlign w:val="center"/>
            <w:hideMark/>
          </w:tcPr>
          <w:p w14:paraId="2C0AC75F"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979" w:type="dxa"/>
            <w:noWrap/>
            <w:vAlign w:val="center"/>
            <w:hideMark/>
          </w:tcPr>
          <w:p w14:paraId="348F5C0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979" w:type="dxa"/>
            <w:noWrap/>
            <w:vAlign w:val="center"/>
            <w:hideMark/>
          </w:tcPr>
          <w:p w14:paraId="7ACA748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w:t>
            </w:r>
          </w:p>
        </w:tc>
        <w:tc>
          <w:tcPr>
            <w:tcW w:w="979" w:type="dxa"/>
            <w:noWrap/>
            <w:vAlign w:val="center"/>
            <w:hideMark/>
          </w:tcPr>
          <w:p w14:paraId="43E6104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9" w:type="dxa"/>
            <w:noWrap/>
            <w:vAlign w:val="center"/>
            <w:hideMark/>
          </w:tcPr>
          <w:p w14:paraId="6C0C341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979" w:type="dxa"/>
            <w:noWrap/>
            <w:vAlign w:val="center"/>
            <w:hideMark/>
          </w:tcPr>
          <w:p w14:paraId="2B3803B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r>
      <w:bookmarkEnd w:id="72"/>
    </w:tbl>
    <w:p w14:paraId="7C8BBF36" w14:textId="77777777" w:rsidR="003F47CF" w:rsidRPr="00BA04D2" w:rsidRDefault="003F47CF" w:rsidP="003F47CF"/>
    <w:p w14:paraId="18337CC5" w14:textId="77777777" w:rsidR="003F47CF" w:rsidRPr="00BA04D2" w:rsidRDefault="003F47CF" w:rsidP="003F47CF">
      <w:r w:rsidRPr="00BA04D2">
        <w:br w:type="page"/>
      </w:r>
    </w:p>
    <w:p w14:paraId="0A4658AD" w14:textId="77777777" w:rsidR="003F47CF" w:rsidRPr="00BA04D2" w:rsidRDefault="003F47CF" w:rsidP="003F47CF">
      <w:pPr>
        <w:pStyle w:val="Style2"/>
      </w:pPr>
      <w:bookmarkStart w:id="73" w:name="_Toc217293617"/>
      <w:bookmarkStart w:id="74" w:name="_Toc217294939"/>
      <w:r w:rsidRPr="00BA04D2">
        <w:lastRenderedPageBreak/>
        <w:t>Supplementary Table 3. Dysregulated metabolites in DITPA/Naïve (LSSC).</w:t>
      </w:r>
      <w:bookmarkEnd w:id="73"/>
      <w:bookmarkEnd w:id="74"/>
    </w:p>
    <w:tbl>
      <w:tblPr>
        <w:tblW w:w="8931" w:type="dxa"/>
        <w:tblInd w:w="-5" w:type="dxa"/>
        <w:tblLook w:val="04A0" w:firstRow="1" w:lastRow="0" w:firstColumn="1" w:lastColumn="0" w:noHBand="0" w:noVBand="1"/>
      </w:tblPr>
      <w:tblGrid>
        <w:gridCol w:w="4253"/>
        <w:gridCol w:w="723"/>
        <w:gridCol w:w="1275"/>
        <w:gridCol w:w="993"/>
        <w:gridCol w:w="1701"/>
      </w:tblGrid>
      <w:tr w:rsidR="003F47CF" w:rsidRPr="00BA04D2" w14:paraId="7B8D3628" w14:textId="77777777" w:rsidTr="000F7A14">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4A6C9"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Dysregulated metabolites (DITPA/Naïve)</w:t>
            </w:r>
          </w:p>
          <w:p w14:paraId="5E3F40DD"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(LSSC)</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BA841F1"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0F6845B"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C406DAD"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EBC5EC9"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4E1C635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7363A7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w:t>
            </w:r>
            <w:proofErr w:type="spellStart"/>
            <w:r w:rsidRPr="00BA04D2">
              <w:rPr>
                <w:rFonts w:eastAsia="Times New Roman" w:cs="Times New Roman"/>
                <w:color w:val="000000"/>
                <w:sz w:val="16"/>
                <w:szCs w:val="16"/>
                <w:lang w:eastAsia="en-AU"/>
              </w:rPr>
              <w:t>eicosatetraenoyl</w:t>
            </w:r>
            <w:proofErr w:type="spellEnd"/>
            <w:r w:rsidRPr="00BA04D2">
              <w:rPr>
                <w:rFonts w:eastAsia="Times New Roman" w:cs="Times New Roman"/>
                <w:color w:val="000000"/>
                <w:sz w:val="16"/>
                <w:szCs w:val="16"/>
                <w:lang w:eastAsia="en-AU"/>
              </w:rPr>
              <w:t>)-sn-glycero-3-phospho-(1'-sn-glycerol)</w:t>
            </w:r>
          </w:p>
        </w:tc>
        <w:tc>
          <w:tcPr>
            <w:tcW w:w="709" w:type="dxa"/>
            <w:tcBorders>
              <w:top w:val="nil"/>
              <w:left w:val="nil"/>
              <w:bottom w:val="single" w:sz="4" w:space="0" w:color="auto"/>
              <w:right w:val="single" w:sz="4" w:space="0" w:color="auto"/>
            </w:tcBorders>
            <w:shd w:val="clear" w:color="auto" w:fill="FFCCCC"/>
            <w:noWrap/>
            <w:vAlign w:val="center"/>
            <w:hideMark/>
          </w:tcPr>
          <w:p w14:paraId="5118D7A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11704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1·54</w:t>
            </w:r>
          </w:p>
        </w:tc>
        <w:tc>
          <w:tcPr>
            <w:tcW w:w="993" w:type="dxa"/>
            <w:tcBorders>
              <w:top w:val="nil"/>
              <w:left w:val="nil"/>
              <w:bottom w:val="single" w:sz="4" w:space="0" w:color="auto"/>
              <w:right w:val="single" w:sz="4" w:space="0" w:color="auto"/>
            </w:tcBorders>
            <w:shd w:val="clear" w:color="auto" w:fill="FFCCCC"/>
            <w:noWrap/>
            <w:vAlign w:val="center"/>
            <w:hideMark/>
          </w:tcPr>
          <w:p w14:paraId="2B23F1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2·75E-04</w:t>
            </w:r>
          </w:p>
        </w:tc>
        <w:tc>
          <w:tcPr>
            <w:tcW w:w="1701" w:type="dxa"/>
            <w:tcBorders>
              <w:top w:val="nil"/>
              <w:left w:val="nil"/>
              <w:bottom w:val="single" w:sz="4" w:space="0" w:color="auto"/>
              <w:right w:val="single" w:sz="4" w:space="0" w:color="auto"/>
            </w:tcBorders>
            <w:shd w:val="clear" w:color="auto" w:fill="FFCCCC"/>
            <w:noWrap/>
            <w:vAlign w:val="center"/>
            <w:hideMark/>
          </w:tcPr>
          <w:p w14:paraId="1D0118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6AAD8F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321BC6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w:t>
            </w:r>
            <w:proofErr w:type="spellStart"/>
            <w:r w:rsidRPr="00BA04D2">
              <w:rPr>
                <w:rFonts w:eastAsia="Times New Roman" w:cs="Times New Roman"/>
                <w:color w:val="000000"/>
                <w:sz w:val="16"/>
                <w:szCs w:val="16"/>
                <w:lang w:eastAsia="en-AU"/>
              </w:rPr>
              <w:t>Desosamine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6EA6FAF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6F6DB0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2·66</w:t>
            </w:r>
          </w:p>
        </w:tc>
        <w:tc>
          <w:tcPr>
            <w:tcW w:w="993" w:type="dxa"/>
            <w:tcBorders>
              <w:top w:val="nil"/>
              <w:left w:val="nil"/>
              <w:bottom w:val="single" w:sz="4" w:space="0" w:color="auto"/>
              <w:right w:val="single" w:sz="4" w:space="0" w:color="auto"/>
            </w:tcBorders>
            <w:shd w:val="clear" w:color="auto" w:fill="FFCCCC"/>
            <w:noWrap/>
            <w:vAlign w:val="center"/>
            <w:hideMark/>
          </w:tcPr>
          <w:p w14:paraId="173D7AC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6·86E-04</w:t>
            </w:r>
          </w:p>
        </w:tc>
        <w:tc>
          <w:tcPr>
            <w:tcW w:w="1701" w:type="dxa"/>
            <w:tcBorders>
              <w:top w:val="nil"/>
              <w:left w:val="nil"/>
              <w:bottom w:val="single" w:sz="4" w:space="0" w:color="auto"/>
              <w:right w:val="single" w:sz="4" w:space="0" w:color="auto"/>
            </w:tcBorders>
            <w:shd w:val="clear" w:color="auto" w:fill="FFCCCC"/>
            <w:noWrap/>
            <w:vAlign w:val="center"/>
            <w:hideMark/>
          </w:tcPr>
          <w:p w14:paraId="2C9BF8F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DEEE880"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1351A5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N5-Acetyl-N5-hydroxy-L-ornithine</w:t>
            </w:r>
          </w:p>
        </w:tc>
        <w:tc>
          <w:tcPr>
            <w:tcW w:w="709" w:type="dxa"/>
            <w:tcBorders>
              <w:top w:val="nil"/>
              <w:left w:val="nil"/>
              <w:bottom w:val="single" w:sz="4" w:space="0" w:color="auto"/>
              <w:right w:val="single" w:sz="4" w:space="0" w:color="auto"/>
            </w:tcBorders>
            <w:shd w:val="clear" w:color="auto" w:fill="FFCCCC"/>
            <w:noWrap/>
            <w:vAlign w:val="center"/>
            <w:hideMark/>
          </w:tcPr>
          <w:p w14:paraId="3E3824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0AD46A0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2·28</w:t>
            </w:r>
          </w:p>
        </w:tc>
        <w:tc>
          <w:tcPr>
            <w:tcW w:w="993" w:type="dxa"/>
            <w:tcBorders>
              <w:top w:val="nil"/>
              <w:left w:val="nil"/>
              <w:bottom w:val="single" w:sz="4" w:space="0" w:color="auto"/>
              <w:right w:val="single" w:sz="4" w:space="0" w:color="auto"/>
            </w:tcBorders>
            <w:shd w:val="clear" w:color="auto" w:fill="FFCCCC"/>
            <w:noWrap/>
            <w:vAlign w:val="center"/>
            <w:hideMark/>
          </w:tcPr>
          <w:p w14:paraId="11F329F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1·03E-03</w:t>
            </w:r>
          </w:p>
        </w:tc>
        <w:tc>
          <w:tcPr>
            <w:tcW w:w="1701" w:type="dxa"/>
            <w:tcBorders>
              <w:top w:val="nil"/>
              <w:left w:val="nil"/>
              <w:bottom w:val="single" w:sz="4" w:space="0" w:color="auto"/>
              <w:right w:val="single" w:sz="4" w:space="0" w:color="auto"/>
            </w:tcBorders>
            <w:shd w:val="clear" w:color="auto" w:fill="FFCCCC"/>
            <w:noWrap/>
            <w:vAlign w:val="center"/>
            <w:hideMark/>
          </w:tcPr>
          <w:p w14:paraId="389CAE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BAF3DE1"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015A57C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2-Amino-4-methyl-5-hydroxyethylthiazole</w:t>
            </w:r>
          </w:p>
        </w:tc>
        <w:tc>
          <w:tcPr>
            <w:tcW w:w="709" w:type="dxa"/>
            <w:tcBorders>
              <w:top w:val="nil"/>
              <w:left w:val="nil"/>
              <w:bottom w:val="single" w:sz="4" w:space="0" w:color="auto"/>
              <w:right w:val="single" w:sz="4" w:space="0" w:color="auto"/>
            </w:tcBorders>
            <w:shd w:val="clear" w:color="auto" w:fill="FFCCCC"/>
            <w:noWrap/>
            <w:vAlign w:val="center"/>
            <w:hideMark/>
          </w:tcPr>
          <w:p w14:paraId="01E57EA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5C378F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1·63</w:t>
            </w:r>
          </w:p>
        </w:tc>
        <w:tc>
          <w:tcPr>
            <w:tcW w:w="993" w:type="dxa"/>
            <w:tcBorders>
              <w:top w:val="nil"/>
              <w:left w:val="nil"/>
              <w:bottom w:val="single" w:sz="4" w:space="0" w:color="auto"/>
              <w:right w:val="single" w:sz="4" w:space="0" w:color="auto"/>
            </w:tcBorders>
            <w:shd w:val="clear" w:color="auto" w:fill="FFCCCC"/>
            <w:noWrap/>
            <w:vAlign w:val="center"/>
            <w:hideMark/>
          </w:tcPr>
          <w:p w14:paraId="5A79A8A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5·31E-03</w:t>
            </w:r>
          </w:p>
        </w:tc>
        <w:tc>
          <w:tcPr>
            <w:tcW w:w="1701" w:type="dxa"/>
            <w:tcBorders>
              <w:top w:val="nil"/>
              <w:left w:val="nil"/>
              <w:bottom w:val="single" w:sz="4" w:space="0" w:color="auto"/>
              <w:right w:val="single" w:sz="4" w:space="0" w:color="auto"/>
            </w:tcBorders>
            <w:shd w:val="clear" w:color="auto" w:fill="FFCCCC"/>
            <w:noWrap/>
            <w:vAlign w:val="center"/>
            <w:hideMark/>
          </w:tcPr>
          <w:p w14:paraId="0847F5D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C7C9A61"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1CE5B57C"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Prolinylglycine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33701A3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6EAB2E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2·63</w:t>
            </w:r>
          </w:p>
        </w:tc>
        <w:tc>
          <w:tcPr>
            <w:tcW w:w="993" w:type="dxa"/>
            <w:tcBorders>
              <w:top w:val="nil"/>
              <w:left w:val="nil"/>
              <w:bottom w:val="single" w:sz="4" w:space="0" w:color="auto"/>
              <w:right w:val="single" w:sz="4" w:space="0" w:color="auto"/>
            </w:tcBorders>
            <w:shd w:val="clear" w:color="auto" w:fill="FFCCCC"/>
            <w:noWrap/>
            <w:vAlign w:val="center"/>
            <w:hideMark/>
          </w:tcPr>
          <w:p w14:paraId="382432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6·06E-03</w:t>
            </w:r>
          </w:p>
        </w:tc>
        <w:tc>
          <w:tcPr>
            <w:tcW w:w="1701" w:type="dxa"/>
            <w:tcBorders>
              <w:top w:val="nil"/>
              <w:left w:val="nil"/>
              <w:bottom w:val="single" w:sz="4" w:space="0" w:color="auto"/>
              <w:right w:val="single" w:sz="4" w:space="0" w:color="auto"/>
            </w:tcBorders>
            <w:shd w:val="clear" w:color="auto" w:fill="FFCCCC"/>
            <w:noWrap/>
            <w:vAlign w:val="center"/>
            <w:hideMark/>
          </w:tcPr>
          <w:p w14:paraId="5FB9F8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C8CC489"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533B763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Xanthine</w:t>
            </w:r>
          </w:p>
        </w:tc>
        <w:tc>
          <w:tcPr>
            <w:tcW w:w="709" w:type="dxa"/>
            <w:tcBorders>
              <w:top w:val="nil"/>
              <w:left w:val="nil"/>
              <w:bottom w:val="single" w:sz="4" w:space="0" w:color="auto"/>
              <w:right w:val="single" w:sz="4" w:space="0" w:color="auto"/>
            </w:tcBorders>
            <w:shd w:val="clear" w:color="auto" w:fill="FFCCCC"/>
            <w:noWrap/>
            <w:vAlign w:val="center"/>
            <w:hideMark/>
          </w:tcPr>
          <w:p w14:paraId="2B3238D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C00385</w:t>
            </w:r>
          </w:p>
        </w:tc>
        <w:tc>
          <w:tcPr>
            <w:tcW w:w="1275" w:type="dxa"/>
            <w:tcBorders>
              <w:top w:val="nil"/>
              <w:left w:val="nil"/>
              <w:bottom w:val="single" w:sz="4" w:space="0" w:color="auto"/>
              <w:right w:val="single" w:sz="4" w:space="0" w:color="auto"/>
            </w:tcBorders>
            <w:shd w:val="clear" w:color="auto" w:fill="FFCCCC"/>
            <w:noWrap/>
            <w:vAlign w:val="center"/>
            <w:hideMark/>
          </w:tcPr>
          <w:p w14:paraId="40BBD1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1·51</w:t>
            </w:r>
          </w:p>
        </w:tc>
        <w:tc>
          <w:tcPr>
            <w:tcW w:w="993" w:type="dxa"/>
            <w:tcBorders>
              <w:top w:val="nil"/>
              <w:left w:val="nil"/>
              <w:bottom w:val="single" w:sz="4" w:space="0" w:color="auto"/>
              <w:right w:val="single" w:sz="4" w:space="0" w:color="auto"/>
            </w:tcBorders>
            <w:shd w:val="clear" w:color="auto" w:fill="FFCCCC"/>
            <w:noWrap/>
            <w:vAlign w:val="center"/>
            <w:hideMark/>
          </w:tcPr>
          <w:p w14:paraId="005268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9·52E-03</w:t>
            </w:r>
          </w:p>
        </w:tc>
        <w:tc>
          <w:tcPr>
            <w:tcW w:w="1701" w:type="dxa"/>
            <w:tcBorders>
              <w:top w:val="nil"/>
              <w:left w:val="nil"/>
              <w:bottom w:val="single" w:sz="4" w:space="0" w:color="auto"/>
              <w:right w:val="single" w:sz="4" w:space="0" w:color="auto"/>
            </w:tcBorders>
            <w:shd w:val="clear" w:color="auto" w:fill="FFCCCC"/>
            <w:noWrap/>
            <w:vAlign w:val="center"/>
            <w:hideMark/>
          </w:tcPr>
          <w:p w14:paraId="747FF9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5BB32FE"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6F5CACD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alpha-</w:t>
            </w:r>
            <w:proofErr w:type="spellStart"/>
            <w:r w:rsidRPr="00BA04D2">
              <w:rPr>
                <w:rFonts w:eastAsia="Times New Roman" w:cs="Times New Roman"/>
                <w:color w:val="000000"/>
                <w:sz w:val="16"/>
                <w:szCs w:val="16"/>
                <w:lang w:eastAsia="en-AU"/>
              </w:rPr>
              <w:t>Dimorphecolic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FFCCCC"/>
            <w:noWrap/>
            <w:vAlign w:val="center"/>
            <w:hideMark/>
          </w:tcPr>
          <w:p w14:paraId="515F6B5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C14767</w:t>
            </w:r>
          </w:p>
        </w:tc>
        <w:tc>
          <w:tcPr>
            <w:tcW w:w="1275" w:type="dxa"/>
            <w:tcBorders>
              <w:top w:val="nil"/>
              <w:left w:val="nil"/>
              <w:bottom w:val="single" w:sz="4" w:space="0" w:color="auto"/>
              <w:right w:val="single" w:sz="4" w:space="0" w:color="auto"/>
            </w:tcBorders>
            <w:shd w:val="clear" w:color="auto" w:fill="FFCCCC"/>
            <w:noWrap/>
            <w:vAlign w:val="center"/>
            <w:hideMark/>
          </w:tcPr>
          <w:p w14:paraId="54A54A6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1·95</w:t>
            </w:r>
          </w:p>
        </w:tc>
        <w:tc>
          <w:tcPr>
            <w:tcW w:w="993" w:type="dxa"/>
            <w:tcBorders>
              <w:top w:val="nil"/>
              <w:left w:val="nil"/>
              <w:bottom w:val="single" w:sz="4" w:space="0" w:color="auto"/>
              <w:right w:val="single" w:sz="4" w:space="0" w:color="auto"/>
            </w:tcBorders>
            <w:shd w:val="clear" w:color="auto" w:fill="FFCCCC"/>
            <w:noWrap/>
            <w:vAlign w:val="center"/>
            <w:hideMark/>
          </w:tcPr>
          <w:p w14:paraId="6424704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1·13E-02</w:t>
            </w:r>
          </w:p>
        </w:tc>
        <w:tc>
          <w:tcPr>
            <w:tcW w:w="1701" w:type="dxa"/>
            <w:tcBorders>
              <w:top w:val="nil"/>
              <w:left w:val="nil"/>
              <w:bottom w:val="single" w:sz="4" w:space="0" w:color="auto"/>
              <w:right w:val="single" w:sz="4" w:space="0" w:color="auto"/>
            </w:tcBorders>
            <w:shd w:val="clear" w:color="auto" w:fill="FFCCCC"/>
            <w:noWrap/>
            <w:vAlign w:val="center"/>
            <w:hideMark/>
          </w:tcPr>
          <w:p w14:paraId="64F3BD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3CB0851"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29A02EA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Glycyl-Arginine</w:t>
            </w:r>
          </w:p>
        </w:tc>
        <w:tc>
          <w:tcPr>
            <w:tcW w:w="709" w:type="dxa"/>
            <w:tcBorders>
              <w:top w:val="nil"/>
              <w:left w:val="nil"/>
              <w:bottom w:val="single" w:sz="4" w:space="0" w:color="auto"/>
              <w:right w:val="single" w:sz="4" w:space="0" w:color="auto"/>
            </w:tcBorders>
            <w:shd w:val="clear" w:color="auto" w:fill="FFCCCC"/>
            <w:noWrap/>
            <w:vAlign w:val="center"/>
            <w:hideMark/>
          </w:tcPr>
          <w:p w14:paraId="012A00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3620DC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1·65</w:t>
            </w:r>
          </w:p>
        </w:tc>
        <w:tc>
          <w:tcPr>
            <w:tcW w:w="993" w:type="dxa"/>
            <w:tcBorders>
              <w:top w:val="nil"/>
              <w:left w:val="nil"/>
              <w:bottom w:val="single" w:sz="4" w:space="0" w:color="auto"/>
              <w:right w:val="single" w:sz="4" w:space="0" w:color="auto"/>
            </w:tcBorders>
            <w:shd w:val="clear" w:color="auto" w:fill="FFCCCC"/>
            <w:noWrap/>
            <w:vAlign w:val="center"/>
            <w:hideMark/>
          </w:tcPr>
          <w:p w14:paraId="23B899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1·27E-02</w:t>
            </w:r>
          </w:p>
        </w:tc>
        <w:tc>
          <w:tcPr>
            <w:tcW w:w="1701" w:type="dxa"/>
            <w:tcBorders>
              <w:top w:val="nil"/>
              <w:left w:val="nil"/>
              <w:bottom w:val="single" w:sz="4" w:space="0" w:color="auto"/>
              <w:right w:val="single" w:sz="4" w:space="0" w:color="auto"/>
            </w:tcBorders>
            <w:shd w:val="clear" w:color="auto" w:fill="FFCCCC"/>
            <w:noWrap/>
            <w:vAlign w:val="center"/>
            <w:hideMark/>
          </w:tcPr>
          <w:p w14:paraId="7BF291A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CC53CFB"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3F0AD2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beta-Aspartyl-L-threonine</w:t>
            </w:r>
          </w:p>
        </w:tc>
        <w:tc>
          <w:tcPr>
            <w:tcW w:w="709" w:type="dxa"/>
            <w:tcBorders>
              <w:top w:val="nil"/>
              <w:left w:val="nil"/>
              <w:bottom w:val="single" w:sz="4" w:space="0" w:color="auto"/>
              <w:right w:val="single" w:sz="4" w:space="0" w:color="auto"/>
            </w:tcBorders>
            <w:shd w:val="clear" w:color="auto" w:fill="FFCCCC"/>
            <w:noWrap/>
            <w:vAlign w:val="center"/>
            <w:hideMark/>
          </w:tcPr>
          <w:p w14:paraId="1D2A547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BF7DF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1·64</w:t>
            </w:r>
          </w:p>
        </w:tc>
        <w:tc>
          <w:tcPr>
            <w:tcW w:w="993" w:type="dxa"/>
            <w:tcBorders>
              <w:top w:val="nil"/>
              <w:left w:val="nil"/>
              <w:bottom w:val="single" w:sz="4" w:space="0" w:color="auto"/>
              <w:right w:val="single" w:sz="4" w:space="0" w:color="auto"/>
            </w:tcBorders>
            <w:shd w:val="clear" w:color="auto" w:fill="FFCCCC"/>
            <w:noWrap/>
            <w:vAlign w:val="center"/>
            <w:hideMark/>
          </w:tcPr>
          <w:p w14:paraId="6F3CA2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1·32E-02</w:t>
            </w:r>
          </w:p>
        </w:tc>
        <w:tc>
          <w:tcPr>
            <w:tcW w:w="1701" w:type="dxa"/>
            <w:tcBorders>
              <w:top w:val="nil"/>
              <w:left w:val="nil"/>
              <w:bottom w:val="single" w:sz="4" w:space="0" w:color="auto"/>
              <w:right w:val="single" w:sz="4" w:space="0" w:color="auto"/>
            </w:tcBorders>
            <w:shd w:val="clear" w:color="auto" w:fill="FFCCCC"/>
            <w:noWrap/>
            <w:vAlign w:val="center"/>
            <w:hideMark/>
          </w:tcPr>
          <w:p w14:paraId="042078C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8CADFD9"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65C164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4-Oxoproline</w:t>
            </w:r>
          </w:p>
        </w:tc>
        <w:tc>
          <w:tcPr>
            <w:tcW w:w="709" w:type="dxa"/>
            <w:tcBorders>
              <w:top w:val="nil"/>
              <w:left w:val="nil"/>
              <w:bottom w:val="single" w:sz="4" w:space="0" w:color="auto"/>
              <w:right w:val="single" w:sz="4" w:space="0" w:color="auto"/>
            </w:tcBorders>
            <w:shd w:val="clear" w:color="auto" w:fill="FFCCCC"/>
            <w:noWrap/>
            <w:vAlign w:val="center"/>
            <w:hideMark/>
          </w:tcPr>
          <w:p w14:paraId="472E75B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C01877</w:t>
            </w:r>
          </w:p>
        </w:tc>
        <w:tc>
          <w:tcPr>
            <w:tcW w:w="1275" w:type="dxa"/>
            <w:tcBorders>
              <w:top w:val="nil"/>
              <w:left w:val="nil"/>
              <w:bottom w:val="single" w:sz="4" w:space="0" w:color="auto"/>
              <w:right w:val="single" w:sz="4" w:space="0" w:color="auto"/>
            </w:tcBorders>
            <w:shd w:val="clear" w:color="auto" w:fill="FFCCCC"/>
            <w:noWrap/>
            <w:vAlign w:val="center"/>
            <w:hideMark/>
          </w:tcPr>
          <w:p w14:paraId="5C6697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1·74</w:t>
            </w:r>
          </w:p>
        </w:tc>
        <w:tc>
          <w:tcPr>
            <w:tcW w:w="993" w:type="dxa"/>
            <w:tcBorders>
              <w:top w:val="nil"/>
              <w:left w:val="nil"/>
              <w:bottom w:val="single" w:sz="4" w:space="0" w:color="auto"/>
              <w:right w:val="single" w:sz="4" w:space="0" w:color="auto"/>
            </w:tcBorders>
            <w:shd w:val="clear" w:color="auto" w:fill="FFCCCC"/>
            <w:noWrap/>
            <w:vAlign w:val="center"/>
            <w:hideMark/>
          </w:tcPr>
          <w:p w14:paraId="66DDD8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1·46E-02</w:t>
            </w:r>
          </w:p>
        </w:tc>
        <w:tc>
          <w:tcPr>
            <w:tcW w:w="1701" w:type="dxa"/>
            <w:tcBorders>
              <w:top w:val="nil"/>
              <w:left w:val="nil"/>
              <w:bottom w:val="single" w:sz="4" w:space="0" w:color="auto"/>
              <w:right w:val="single" w:sz="4" w:space="0" w:color="auto"/>
            </w:tcBorders>
            <w:shd w:val="clear" w:color="auto" w:fill="FFCCCC"/>
            <w:noWrap/>
            <w:vAlign w:val="center"/>
            <w:hideMark/>
          </w:tcPr>
          <w:p w14:paraId="67C0C17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82FBEC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49FA7E1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Pentaethylene</w:t>
            </w:r>
            <w:proofErr w:type="spellEnd"/>
            <w:r w:rsidRPr="00BA04D2">
              <w:rPr>
                <w:rFonts w:eastAsia="Times New Roman" w:cs="Times New Roman"/>
                <w:color w:val="000000"/>
                <w:sz w:val="16"/>
                <w:szCs w:val="16"/>
                <w:lang w:eastAsia="en-AU"/>
              </w:rPr>
              <w:t xml:space="preserve"> glycol</w:t>
            </w:r>
          </w:p>
        </w:tc>
        <w:tc>
          <w:tcPr>
            <w:tcW w:w="709" w:type="dxa"/>
            <w:tcBorders>
              <w:top w:val="nil"/>
              <w:left w:val="nil"/>
              <w:bottom w:val="single" w:sz="4" w:space="0" w:color="auto"/>
              <w:right w:val="single" w:sz="4" w:space="0" w:color="auto"/>
            </w:tcBorders>
            <w:shd w:val="clear" w:color="auto" w:fill="FFCCCC"/>
            <w:noWrap/>
            <w:vAlign w:val="center"/>
            <w:hideMark/>
          </w:tcPr>
          <w:p w14:paraId="29C344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319FD7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1·71</w:t>
            </w:r>
          </w:p>
        </w:tc>
        <w:tc>
          <w:tcPr>
            <w:tcW w:w="993" w:type="dxa"/>
            <w:tcBorders>
              <w:top w:val="nil"/>
              <w:left w:val="nil"/>
              <w:bottom w:val="single" w:sz="4" w:space="0" w:color="auto"/>
              <w:right w:val="single" w:sz="4" w:space="0" w:color="auto"/>
            </w:tcBorders>
            <w:shd w:val="clear" w:color="auto" w:fill="FFCCCC"/>
            <w:noWrap/>
            <w:vAlign w:val="center"/>
            <w:hideMark/>
          </w:tcPr>
          <w:p w14:paraId="571E40C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2·05E-02</w:t>
            </w:r>
          </w:p>
        </w:tc>
        <w:tc>
          <w:tcPr>
            <w:tcW w:w="1701" w:type="dxa"/>
            <w:tcBorders>
              <w:top w:val="nil"/>
              <w:left w:val="nil"/>
              <w:bottom w:val="single" w:sz="4" w:space="0" w:color="auto"/>
              <w:right w:val="single" w:sz="4" w:space="0" w:color="auto"/>
            </w:tcBorders>
            <w:shd w:val="clear" w:color="auto" w:fill="FFCCCC"/>
            <w:noWrap/>
            <w:vAlign w:val="center"/>
            <w:hideMark/>
          </w:tcPr>
          <w:p w14:paraId="3EA918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D6E1875"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5AB6CC95"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Glutamylarginine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31D346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13F86F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2·98</w:t>
            </w:r>
          </w:p>
        </w:tc>
        <w:tc>
          <w:tcPr>
            <w:tcW w:w="993" w:type="dxa"/>
            <w:tcBorders>
              <w:top w:val="nil"/>
              <w:left w:val="nil"/>
              <w:bottom w:val="single" w:sz="4" w:space="0" w:color="auto"/>
              <w:right w:val="single" w:sz="4" w:space="0" w:color="auto"/>
            </w:tcBorders>
            <w:shd w:val="clear" w:color="auto" w:fill="FFCCCC"/>
            <w:noWrap/>
            <w:vAlign w:val="center"/>
            <w:hideMark/>
          </w:tcPr>
          <w:p w14:paraId="4D29DD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2·52E-02</w:t>
            </w:r>
          </w:p>
        </w:tc>
        <w:tc>
          <w:tcPr>
            <w:tcW w:w="1701" w:type="dxa"/>
            <w:tcBorders>
              <w:top w:val="nil"/>
              <w:left w:val="nil"/>
              <w:bottom w:val="single" w:sz="4" w:space="0" w:color="auto"/>
              <w:right w:val="single" w:sz="4" w:space="0" w:color="auto"/>
            </w:tcBorders>
            <w:shd w:val="clear" w:color="auto" w:fill="FFCCCC"/>
            <w:noWrap/>
            <w:vAlign w:val="center"/>
            <w:hideMark/>
          </w:tcPr>
          <w:p w14:paraId="5A3063B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5225943"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53AD04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Selenocysteine</w:t>
            </w:r>
          </w:p>
        </w:tc>
        <w:tc>
          <w:tcPr>
            <w:tcW w:w="709" w:type="dxa"/>
            <w:tcBorders>
              <w:top w:val="nil"/>
              <w:left w:val="nil"/>
              <w:bottom w:val="single" w:sz="4" w:space="0" w:color="auto"/>
              <w:right w:val="single" w:sz="4" w:space="0" w:color="auto"/>
            </w:tcBorders>
            <w:shd w:val="clear" w:color="auto" w:fill="FFCCCC"/>
            <w:noWrap/>
            <w:vAlign w:val="center"/>
            <w:hideMark/>
          </w:tcPr>
          <w:p w14:paraId="2F82BA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C05688</w:t>
            </w:r>
          </w:p>
        </w:tc>
        <w:tc>
          <w:tcPr>
            <w:tcW w:w="1275" w:type="dxa"/>
            <w:tcBorders>
              <w:top w:val="nil"/>
              <w:left w:val="nil"/>
              <w:bottom w:val="single" w:sz="4" w:space="0" w:color="auto"/>
              <w:right w:val="single" w:sz="4" w:space="0" w:color="auto"/>
            </w:tcBorders>
            <w:shd w:val="clear" w:color="auto" w:fill="FFCCCC"/>
            <w:noWrap/>
            <w:vAlign w:val="center"/>
            <w:hideMark/>
          </w:tcPr>
          <w:p w14:paraId="45285A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1·61</w:t>
            </w:r>
          </w:p>
        </w:tc>
        <w:tc>
          <w:tcPr>
            <w:tcW w:w="993" w:type="dxa"/>
            <w:tcBorders>
              <w:top w:val="nil"/>
              <w:left w:val="nil"/>
              <w:bottom w:val="single" w:sz="4" w:space="0" w:color="auto"/>
              <w:right w:val="single" w:sz="4" w:space="0" w:color="auto"/>
            </w:tcBorders>
            <w:shd w:val="clear" w:color="auto" w:fill="FFCCCC"/>
            <w:noWrap/>
            <w:vAlign w:val="center"/>
            <w:hideMark/>
          </w:tcPr>
          <w:p w14:paraId="382273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2·62E-02</w:t>
            </w:r>
          </w:p>
        </w:tc>
        <w:tc>
          <w:tcPr>
            <w:tcW w:w="1701" w:type="dxa"/>
            <w:tcBorders>
              <w:top w:val="nil"/>
              <w:left w:val="nil"/>
              <w:bottom w:val="single" w:sz="4" w:space="0" w:color="auto"/>
              <w:right w:val="single" w:sz="4" w:space="0" w:color="auto"/>
            </w:tcBorders>
            <w:shd w:val="clear" w:color="auto" w:fill="FFCCCC"/>
            <w:noWrap/>
            <w:vAlign w:val="center"/>
            <w:hideMark/>
          </w:tcPr>
          <w:p w14:paraId="1CA65BF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1620F4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01C72CF8"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Candicinolide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5114E0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28F3FB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w:t>
            </w:r>
          </w:p>
        </w:tc>
        <w:tc>
          <w:tcPr>
            <w:tcW w:w="993" w:type="dxa"/>
            <w:tcBorders>
              <w:top w:val="nil"/>
              <w:left w:val="nil"/>
              <w:bottom w:val="single" w:sz="4" w:space="0" w:color="auto"/>
              <w:right w:val="single" w:sz="4" w:space="0" w:color="auto"/>
            </w:tcBorders>
            <w:shd w:val="clear" w:color="auto" w:fill="FFCCCC"/>
            <w:noWrap/>
            <w:vAlign w:val="center"/>
            <w:hideMark/>
          </w:tcPr>
          <w:p w14:paraId="33104F7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2·80E-02</w:t>
            </w:r>
          </w:p>
        </w:tc>
        <w:tc>
          <w:tcPr>
            <w:tcW w:w="1701" w:type="dxa"/>
            <w:tcBorders>
              <w:top w:val="nil"/>
              <w:left w:val="nil"/>
              <w:bottom w:val="single" w:sz="4" w:space="0" w:color="auto"/>
              <w:right w:val="single" w:sz="4" w:space="0" w:color="auto"/>
            </w:tcBorders>
            <w:shd w:val="clear" w:color="auto" w:fill="FFCCCC"/>
            <w:noWrap/>
            <w:vAlign w:val="center"/>
            <w:hideMark/>
          </w:tcPr>
          <w:p w14:paraId="13C4D66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D82556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29F0D2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8-Methylmenaquinone-8</w:t>
            </w:r>
          </w:p>
        </w:tc>
        <w:tc>
          <w:tcPr>
            <w:tcW w:w="709" w:type="dxa"/>
            <w:tcBorders>
              <w:top w:val="nil"/>
              <w:left w:val="nil"/>
              <w:bottom w:val="single" w:sz="4" w:space="0" w:color="auto"/>
              <w:right w:val="single" w:sz="4" w:space="0" w:color="auto"/>
            </w:tcBorders>
            <w:shd w:val="clear" w:color="auto" w:fill="FFCCCC"/>
            <w:noWrap/>
            <w:vAlign w:val="center"/>
            <w:hideMark/>
          </w:tcPr>
          <w:p w14:paraId="16D43C0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670E811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1·51</w:t>
            </w:r>
          </w:p>
        </w:tc>
        <w:tc>
          <w:tcPr>
            <w:tcW w:w="993" w:type="dxa"/>
            <w:tcBorders>
              <w:top w:val="nil"/>
              <w:left w:val="nil"/>
              <w:bottom w:val="single" w:sz="4" w:space="0" w:color="auto"/>
              <w:right w:val="single" w:sz="4" w:space="0" w:color="auto"/>
            </w:tcBorders>
            <w:shd w:val="clear" w:color="auto" w:fill="FFCCCC"/>
            <w:noWrap/>
            <w:vAlign w:val="center"/>
            <w:hideMark/>
          </w:tcPr>
          <w:p w14:paraId="327B0A3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3·07E-02</w:t>
            </w:r>
          </w:p>
        </w:tc>
        <w:tc>
          <w:tcPr>
            <w:tcW w:w="1701" w:type="dxa"/>
            <w:tcBorders>
              <w:top w:val="nil"/>
              <w:left w:val="nil"/>
              <w:bottom w:val="single" w:sz="4" w:space="0" w:color="auto"/>
              <w:right w:val="single" w:sz="4" w:space="0" w:color="auto"/>
            </w:tcBorders>
            <w:shd w:val="clear" w:color="auto" w:fill="FFCCCC"/>
            <w:noWrap/>
            <w:vAlign w:val="center"/>
            <w:hideMark/>
          </w:tcPr>
          <w:p w14:paraId="35439A4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90ED90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0C1358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beta-Alanyl-L-arginine</w:t>
            </w:r>
          </w:p>
        </w:tc>
        <w:tc>
          <w:tcPr>
            <w:tcW w:w="709" w:type="dxa"/>
            <w:tcBorders>
              <w:top w:val="nil"/>
              <w:left w:val="nil"/>
              <w:bottom w:val="single" w:sz="4" w:space="0" w:color="auto"/>
              <w:right w:val="single" w:sz="4" w:space="0" w:color="auto"/>
            </w:tcBorders>
            <w:shd w:val="clear" w:color="auto" w:fill="FFCCCC"/>
            <w:noWrap/>
            <w:vAlign w:val="center"/>
            <w:hideMark/>
          </w:tcPr>
          <w:p w14:paraId="5D4207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C05340</w:t>
            </w:r>
          </w:p>
        </w:tc>
        <w:tc>
          <w:tcPr>
            <w:tcW w:w="1275" w:type="dxa"/>
            <w:tcBorders>
              <w:top w:val="nil"/>
              <w:left w:val="nil"/>
              <w:bottom w:val="single" w:sz="4" w:space="0" w:color="auto"/>
              <w:right w:val="single" w:sz="4" w:space="0" w:color="auto"/>
            </w:tcBorders>
            <w:shd w:val="clear" w:color="auto" w:fill="FFCCCC"/>
            <w:noWrap/>
            <w:vAlign w:val="center"/>
            <w:hideMark/>
          </w:tcPr>
          <w:p w14:paraId="492052C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3·83</w:t>
            </w:r>
          </w:p>
        </w:tc>
        <w:tc>
          <w:tcPr>
            <w:tcW w:w="993" w:type="dxa"/>
            <w:tcBorders>
              <w:top w:val="nil"/>
              <w:left w:val="nil"/>
              <w:bottom w:val="single" w:sz="4" w:space="0" w:color="auto"/>
              <w:right w:val="single" w:sz="4" w:space="0" w:color="auto"/>
            </w:tcBorders>
            <w:shd w:val="clear" w:color="auto" w:fill="FFCCCC"/>
            <w:noWrap/>
            <w:vAlign w:val="center"/>
            <w:hideMark/>
          </w:tcPr>
          <w:p w14:paraId="78152C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3·82E-02</w:t>
            </w:r>
          </w:p>
        </w:tc>
        <w:tc>
          <w:tcPr>
            <w:tcW w:w="1701" w:type="dxa"/>
            <w:tcBorders>
              <w:top w:val="nil"/>
              <w:left w:val="nil"/>
              <w:bottom w:val="single" w:sz="4" w:space="0" w:color="auto"/>
              <w:right w:val="single" w:sz="4" w:space="0" w:color="auto"/>
            </w:tcBorders>
            <w:shd w:val="clear" w:color="auto" w:fill="FFCCCC"/>
            <w:noWrap/>
            <w:vAlign w:val="center"/>
            <w:hideMark/>
          </w:tcPr>
          <w:p w14:paraId="5F64CC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B1F16C8" w14:textId="77777777" w:rsidTr="000F7A14">
        <w:trPr>
          <w:trHeight w:val="27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09A7E89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PA (18:1/16:0)</w:t>
            </w:r>
          </w:p>
        </w:tc>
        <w:tc>
          <w:tcPr>
            <w:tcW w:w="709" w:type="dxa"/>
            <w:tcBorders>
              <w:top w:val="nil"/>
              <w:left w:val="nil"/>
              <w:bottom w:val="single" w:sz="4" w:space="0" w:color="auto"/>
              <w:right w:val="single" w:sz="4" w:space="0" w:color="auto"/>
            </w:tcBorders>
            <w:shd w:val="clear" w:color="auto" w:fill="FFCCCC"/>
            <w:noWrap/>
            <w:vAlign w:val="center"/>
            <w:hideMark/>
          </w:tcPr>
          <w:p w14:paraId="09937C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A0B78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1·82</w:t>
            </w:r>
          </w:p>
        </w:tc>
        <w:tc>
          <w:tcPr>
            <w:tcW w:w="993" w:type="dxa"/>
            <w:tcBorders>
              <w:top w:val="nil"/>
              <w:left w:val="nil"/>
              <w:bottom w:val="single" w:sz="4" w:space="0" w:color="auto"/>
              <w:right w:val="single" w:sz="4" w:space="0" w:color="auto"/>
            </w:tcBorders>
            <w:shd w:val="clear" w:color="auto" w:fill="FFCCCC"/>
            <w:noWrap/>
            <w:vAlign w:val="center"/>
            <w:hideMark/>
          </w:tcPr>
          <w:p w14:paraId="25162A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3·99E-02</w:t>
            </w:r>
          </w:p>
        </w:tc>
        <w:tc>
          <w:tcPr>
            <w:tcW w:w="1701" w:type="dxa"/>
            <w:tcBorders>
              <w:top w:val="nil"/>
              <w:left w:val="nil"/>
              <w:bottom w:val="single" w:sz="4" w:space="0" w:color="auto"/>
              <w:right w:val="single" w:sz="4" w:space="0" w:color="auto"/>
            </w:tcBorders>
            <w:shd w:val="clear" w:color="auto" w:fill="FFCCCC"/>
            <w:noWrap/>
            <w:vAlign w:val="center"/>
            <w:hideMark/>
          </w:tcPr>
          <w:p w14:paraId="5E5B2EC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83EC955"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22B9EC3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Dihydro-4-mercapto-3(2H)-furanone</w:t>
            </w:r>
          </w:p>
        </w:tc>
        <w:tc>
          <w:tcPr>
            <w:tcW w:w="709" w:type="dxa"/>
            <w:tcBorders>
              <w:top w:val="nil"/>
              <w:left w:val="nil"/>
              <w:bottom w:val="single" w:sz="4" w:space="0" w:color="auto"/>
              <w:right w:val="single" w:sz="4" w:space="0" w:color="auto"/>
            </w:tcBorders>
            <w:shd w:val="clear" w:color="auto" w:fill="FFCCCC"/>
            <w:noWrap/>
            <w:vAlign w:val="center"/>
            <w:hideMark/>
          </w:tcPr>
          <w:p w14:paraId="51A7FA0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342FEF0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1·66</w:t>
            </w:r>
          </w:p>
        </w:tc>
        <w:tc>
          <w:tcPr>
            <w:tcW w:w="993" w:type="dxa"/>
            <w:tcBorders>
              <w:top w:val="nil"/>
              <w:left w:val="nil"/>
              <w:bottom w:val="single" w:sz="4" w:space="0" w:color="auto"/>
              <w:right w:val="single" w:sz="4" w:space="0" w:color="auto"/>
            </w:tcBorders>
            <w:shd w:val="clear" w:color="auto" w:fill="FFCCCC"/>
            <w:noWrap/>
            <w:vAlign w:val="center"/>
            <w:hideMark/>
          </w:tcPr>
          <w:p w14:paraId="2DF0DAF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4·19E-02</w:t>
            </w:r>
          </w:p>
        </w:tc>
        <w:tc>
          <w:tcPr>
            <w:tcW w:w="1701" w:type="dxa"/>
            <w:tcBorders>
              <w:top w:val="nil"/>
              <w:left w:val="nil"/>
              <w:bottom w:val="single" w:sz="4" w:space="0" w:color="auto"/>
              <w:right w:val="single" w:sz="4" w:space="0" w:color="auto"/>
            </w:tcBorders>
            <w:shd w:val="clear" w:color="auto" w:fill="FFCCCC"/>
            <w:noWrap/>
            <w:vAlign w:val="center"/>
            <w:hideMark/>
          </w:tcPr>
          <w:p w14:paraId="0C0E36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387B30D"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3BBE90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Ala/Ala/Ser</w:t>
            </w:r>
          </w:p>
        </w:tc>
        <w:tc>
          <w:tcPr>
            <w:tcW w:w="709" w:type="dxa"/>
            <w:tcBorders>
              <w:top w:val="nil"/>
              <w:left w:val="nil"/>
              <w:bottom w:val="single" w:sz="4" w:space="0" w:color="auto"/>
              <w:right w:val="single" w:sz="4" w:space="0" w:color="auto"/>
            </w:tcBorders>
            <w:shd w:val="clear" w:color="auto" w:fill="FFCCCC"/>
            <w:noWrap/>
            <w:vAlign w:val="center"/>
            <w:hideMark/>
          </w:tcPr>
          <w:p w14:paraId="18C2268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6B4CDA6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1·82</w:t>
            </w:r>
          </w:p>
        </w:tc>
        <w:tc>
          <w:tcPr>
            <w:tcW w:w="993" w:type="dxa"/>
            <w:tcBorders>
              <w:top w:val="nil"/>
              <w:left w:val="nil"/>
              <w:bottom w:val="single" w:sz="4" w:space="0" w:color="auto"/>
              <w:right w:val="single" w:sz="4" w:space="0" w:color="auto"/>
            </w:tcBorders>
            <w:shd w:val="clear" w:color="auto" w:fill="FFCCCC"/>
            <w:noWrap/>
            <w:vAlign w:val="center"/>
            <w:hideMark/>
          </w:tcPr>
          <w:p w14:paraId="7E63F8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4·61E-02</w:t>
            </w:r>
          </w:p>
        </w:tc>
        <w:tc>
          <w:tcPr>
            <w:tcW w:w="1701" w:type="dxa"/>
            <w:tcBorders>
              <w:top w:val="nil"/>
              <w:left w:val="nil"/>
              <w:bottom w:val="single" w:sz="4" w:space="0" w:color="auto"/>
              <w:right w:val="single" w:sz="4" w:space="0" w:color="auto"/>
            </w:tcBorders>
            <w:shd w:val="clear" w:color="auto" w:fill="FFCCCC"/>
            <w:noWrap/>
            <w:vAlign w:val="center"/>
            <w:hideMark/>
          </w:tcPr>
          <w:p w14:paraId="5C3CCC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6B4786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27ECB046"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Trp</w:t>
            </w:r>
            <w:proofErr w:type="spellEnd"/>
            <w:r w:rsidRPr="00BA04D2">
              <w:rPr>
                <w:rFonts w:eastAsia="Times New Roman" w:cs="Times New Roman"/>
                <w:color w:val="000000"/>
                <w:sz w:val="16"/>
                <w:szCs w:val="16"/>
                <w:lang w:eastAsia="en-AU"/>
              </w:rPr>
              <w:t>/Asp/Asp</w:t>
            </w:r>
          </w:p>
        </w:tc>
        <w:tc>
          <w:tcPr>
            <w:tcW w:w="709" w:type="dxa"/>
            <w:tcBorders>
              <w:top w:val="nil"/>
              <w:left w:val="nil"/>
              <w:bottom w:val="single" w:sz="4" w:space="0" w:color="auto"/>
              <w:right w:val="single" w:sz="4" w:space="0" w:color="auto"/>
            </w:tcBorders>
            <w:shd w:val="clear" w:color="auto" w:fill="FFCCCC"/>
            <w:noWrap/>
            <w:vAlign w:val="center"/>
            <w:hideMark/>
          </w:tcPr>
          <w:p w14:paraId="3E3329E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BDB26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w:t>
            </w:r>
          </w:p>
        </w:tc>
        <w:tc>
          <w:tcPr>
            <w:tcW w:w="993" w:type="dxa"/>
            <w:tcBorders>
              <w:top w:val="nil"/>
              <w:left w:val="nil"/>
              <w:bottom w:val="single" w:sz="4" w:space="0" w:color="auto"/>
              <w:right w:val="single" w:sz="4" w:space="0" w:color="auto"/>
            </w:tcBorders>
            <w:shd w:val="clear" w:color="auto" w:fill="FFCCCC"/>
            <w:noWrap/>
            <w:vAlign w:val="center"/>
            <w:hideMark/>
          </w:tcPr>
          <w:p w14:paraId="315E4D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4·64E-02</w:t>
            </w:r>
          </w:p>
        </w:tc>
        <w:tc>
          <w:tcPr>
            <w:tcW w:w="1701" w:type="dxa"/>
            <w:tcBorders>
              <w:top w:val="nil"/>
              <w:left w:val="nil"/>
              <w:bottom w:val="single" w:sz="4" w:space="0" w:color="auto"/>
              <w:right w:val="single" w:sz="4" w:space="0" w:color="auto"/>
            </w:tcBorders>
            <w:shd w:val="clear" w:color="auto" w:fill="FFCCCC"/>
            <w:noWrap/>
            <w:vAlign w:val="center"/>
            <w:hideMark/>
          </w:tcPr>
          <w:p w14:paraId="09DFB87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9A9BABB"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347B288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gamma-Glutamyl-L-putrescine</w:t>
            </w:r>
          </w:p>
        </w:tc>
        <w:tc>
          <w:tcPr>
            <w:tcW w:w="709" w:type="dxa"/>
            <w:tcBorders>
              <w:top w:val="nil"/>
              <w:left w:val="nil"/>
              <w:bottom w:val="single" w:sz="4" w:space="0" w:color="auto"/>
              <w:right w:val="single" w:sz="4" w:space="0" w:color="auto"/>
            </w:tcBorders>
            <w:shd w:val="clear" w:color="auto" w:fill="FFCCCC"/>
            <w:noWrap/>
            <w:vAlign w:val="center"/>
            <w:hideMark/>
          </w:tcPr>
          <w:p w14:paraId="73CFD1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C15699</w:t>
            </w:r>
          </w:p>
        </w:tc>
        <w:tc>
          <w:tcPr>
            <w:tcW w:w="1275" w:type="dxa"/>
            <w:tcBorders>
              <w:top w:val="nil"/>
              <w:left w:val="nil"/>
              <w:bottom w:val="single" w:sz="4" w:space="0" w:color="auto"/>
              <w:right w:val="single" w:sz="4" w:space="0" w:color="auto"/>
            </w:tcBorders>
            <w:shd w:val="clear" w:color="auto" w:fill="FFCCCC"/>
            <w:noWrap/>
            <w:vAlign w:val="center"/>
            <w:hideMark/>
          </w:tcPr>
          <w:p w14:paraId="06A287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2·84</w:t>
            </w:r>
          </w:p>
        </w:tc>
        <w:tc>
          <w:tcPr>
            <w:tcW w:w="993" w:type="dxa"/>
            <w:tcBorders>
              <w:top w:val="nil"/>
              <w:left w:val="nil"/>
              <w:bottom w:val="single" w:sz="4" w:space="0" w:color="auto"/>
              <w:right w:val="single" w:sz="4" w:space="0" w:color="auto"/>
            </w:tcBorders>
            <w:shd w:val="clear" w:color="auto" w:fill="FFCCCC"/>
            <w:noWrap/>
            <w:vAlign w:val="center"/>
            <w:hideMark/>
          </w:tcPr>
          <w:p w14:paraId="2429EE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4·80E-02</w:t>
            </w:r>
          </w:p>
        </w:tc>
        <w:tc>
          <w:tcPr>
            <w:tcW w:w="1701" w:type="dxa"/>
            <w:tcBorders>
              <w:top w:val="nil"/>
              <w:left w:val="nil"/>
              <w:bottom w:val="single" w:sz="4" w:space="0" w:color="auto"/>
              <w:right w:val="single" w:sz="4" w:space="0" w:color="auto"/>
            </w:tcBorders>
            <w:shd w:val="clear" w:color="auto" w:fill="FFCCCC"/>
            <w:noWrap/>
            <w:vAlign w:val="center"/>
            <w:hideMark/>
          </w:tcPr>
          <w:p w14:paraId="779EFF0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BDC2BBC"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6F6D6B0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Cystine</w:t>
            </w:r>
          </w:p>
        </w:tc>
        <w:tc>
          <w:tcPr>
            <w:tcW w:w="709" w:type="dxa"/>
            <w:tcBorders>
              <w:top w:val="nil"/>
              <w:left w:val="nil"/>
              <w:bottom w:val="single" w:sz="4" w:space="0" w:color="auto"/>
              <w:right w:val="single" w:sz="4" w:space="0" w:color="auto"/>
            </w:tcBorders>
            <w:shd w:val="clear" w:color="auto" w:fill="FFCCCC"/>
            <w:noWrap/>
            <w:vAlign w:val="center"/>
            <w:hideMark/>
          </w:tcPr>
          <w:p w14:paraId="53AFD63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C00491</w:t>
            </w:r>
          </w:p>
        </w:tc>
        <w:tc>
          <w:tcPr>
            <w:tcW w:w="1275" w:type="dxa"/>
            <w:tcBorders>
              <w:top w:val="nil"/>
              <w:left w:val="nil"/>
              <w:bottom w:val="single" w:sz="4" w:space="0" w:color="auto"/>
              <w:right w:val="single" w:sz="4" w:space="0" w:color="auto"/>
            </w:tcBorders>
            <w:shd w:val="clear" w:color="auto" w:fill="FFCCCC"/>
            <w:noWrap/>
            <w:vAlign w:val="center"/>
            <w:hideMark/>
          </w:tcPr>
          <w:p w14:paraId="1BBAD52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1·65</w:t>
            </w:r>
          </w:p>
        </w:tc>
        <w:tc>
          <w:tcPr>
            <w:tcW w:w="993" w:type="dxa"/>
            <w:tcBorders>
              <w:top w:val="nil"/>
              <w:left w:val="nil"/>
              <w:bottom w:val="single" w:sz="4" w:space="0" w:color="auto"/>
              <w:right w:val="single" w:sz="4" w:space="0" w:color="auto"/>
            </w:tcBorders>
            <w:shd w:val="clear" w:color="auto" w:fill="FFCCCC"/>
            <w:noWrap/>
            <w:vAlign w:val="center"/>
            <w:hideMark/>
          </w:tcPr>
          <w:p w14:paraId="6990F2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4·92E-02</w:t>
            </w:r>
          </w:p>
        </w:tc>
        <w:tc>
          <w:tcPr>
            <w:tcW w:w="1701" w:type="dxa"/>
            <w:tcBorders>
              <w:top w:val="nil"/>
              <w:left w:val="nil"/>
              <w:bottom w:val="single" w:sz="4" w:space="0" w:color="auto"/>
              <w:right w:val="single" w:sz="4" w:space="0" w:color="auto"/>
            </w:tcBorders>
            <w:shd w:val="clear" w:color="auto" w:fill="FFCCCC"/>
            <w:noWrap/>
            <w:vAlign w:val="center"/>
            <w:hideMark/>
          </w:tcPr>
          <w:p w14:paraId="78A924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AAEEA4E"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188676A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Asp/Pro/Ser/Ser</w:t>
            </w:r>
          </w:p>
        </w:tc>
        <w:tc>
          <w:tcPr>
            <w:tcW w:w="709" w:type="dxa"/>
            <w:tcBorders>
              <w:top w:val="nil"/>
              <w:left w:val="nil"/>
              <w:bottom w:val="single" w:sz="4" w:space="0" w:color="auto"/>
              <w:right w:val="single" w:sz="4" w:space="0" w:color="auto"/>
            </w:tcBorders>
            <w:shd w:val="clear" w:color="auto" w:fill="FFCCCC"/>
            <w:noWrap/>
            <w:vAlign w:val="center"/>
            <w:hideMark/>
          </w:tcPr>
          <w:p w14:paraId="7983D1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510B982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1·67</w:t>
            </w:r>
          </w:p>
        </w:tc>
        <w:tc>
          <w:tcPr>
            <w:tcW w:w="993" w:type="dxa"/>
            <w:tcBorders>
              <w:top w:val="nil"/>
              <w:left w:val="nil"/>
              <w:bottom w:val="single" w:sz="4" w:space="0" w:color="auto"/>
              <w:right w:val="single" w:sz="4" w:space="0" w:color="auto"/>
            </w:tcBorders>
            <w:shd w:val="clear" w:color="auto" w:fill="FFCCCC"/>
            <w:noWrap/>
            <w:vAlign w:val="center"/>
            <w:hideMark/>
          </w:tcPr>
          <w:p w14:paraId="44D88F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430B7C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2F70FA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135F891B"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Dephospho</w:t>
            </w:r>
            <w:proofErr w:type="spellEnd"/>
            <w:r w:rsidRPr="00BA04D2">
              <w:rPr>
                <w:rFonts w:eastAsia="Times New Roman" w:cs="Times New Roman"/>
                <w:color w:val="000000"/>
                <w:sz w:val="16"/>
                <w:szCs w:val="16"/>
                <w:lang w:eastAsia="en-AU"/>
              </w:rPr>
              <w:t>-CoA</w:t>
            </w:r>
          </w:p>
        </w:tc>
        <w:tc>
          <w:tcPr>
            <w:tcW w:w="709" w:type="dxa"/>
            <w:tcBorders>
              <w:top w:val="nil"/>
              <w:left w:val="nil"/>
              <w:bottom w:val="single" w:sz="4" w:space="0" w:color="auto"/>
              <w:right w:val="single" w:sz="4" w:space="0" w:color="auto"/>
            </w:tcBorders>
            <w:shd w:val="clear" w:color="auto" w:fill="FFCCCC"/>
            <w:noWrap/>
            <w:vAlign w:val="center"/>
            <w:hideMark/>
          </w:tcPr>
          <w:p w14:paraId="531B91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C00882</w:t>
            </w:r>
          </w:p>
        </w:tc>
        <w:tc>
          <w:tcPr>
            <w:tcW w:w="1275" w:type="dxa"/>
            <w:tcBorders>
              <w:top w:val="nil"/>
              <w:left w:val="nil"/>
              <w:bottom w:val="single" w:sz="4" w:space="0" w:color="auto"/>
              <w:right w:val="single" w:sz="4" w:space="0" w:color="auto"/>
            </w:tcBorders>
            <w:shd w:val="clear" w:color="auto" w:fill="FFCCCC"/>
            <w:noWrap/>
            <w:vAlign w:val="center"/>
            <w:hideMark/>
          </w:tcPr>
          <w:p w14:paraId="63A2DFB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1·50</w:t>
            </w:r>
          </w:p>
        </w:tc>
        <w:tc>
          <w:tcPr>
            <w:tcW w:w="993" w:type="dxa"/>
            <w:tcBorders>
              <w:top w:val="nil"/>
              <w:left w:val="nil"/>
              <w:bottom w:val="single" w:sz="4" w:space="0" w:color="auto"/>
              <w:right w:val="single" w:sz="4" w:space="0" w:color="auto"/>
            </w:tcBorders>
            <w:shd w:val="clear" w:color="auto" w:fill="FFCCCC"/>
            <w:noWrap/>
            <w:vAlign w:val="center"/>
            <w:hideMark/>
          </w:tcPr>
          <w:p w14:paraId="7A6C48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27195C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6E5D72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FFCCCC"/>
            <w:noWrap/>
            <w:vAlign w:val="center"/>
            <w:hideMark/>
          </w:tcPr>
          <w:p w14:paraId="2B2042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2-(4-Pyridyl) </w:t>
            </w:r>
            <w:proofErr w:type="spellStart"/>
            <w:r w:rsidRPr="00BA04D2">
              <w:rPr>
                <w:rFonts w:eastAsia="Times New Roman" w:cs="Times New Roman"/>
                <w:color w:val="000000"/>
                <w:sz w:val="16"/>
                <w:szCs w:val="16"/>
                <w:lang w:eastAsia="en-AU"/>
              </w:rPr>
              <w:t>ethanesulfonate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0F92B20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09C4B7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1·68</w:t>
            </w:r>
          </w:p>
        </w:tc>
        <w:tc>
          <w:tcPr>
            <w:tcW w:w="993" w:type="dxa"/>
            <w:tcBorders>
              <w:top w:val="nil"/>
              <w:left w:val="nil"/>
              <w:bottom w:val="single" w:sz="4" w:space="0" w:color="auto"/>
              <w:right w:val="single" w:sz="4" w:space="0" w:color="auto"/>
            </w:tcBorders>
            <w:shd w:val="clear" w:color="auto" w:fill="FFCCCC"/>
            <w:noWrap/>
            <w:vAlign w:val="center"/>
            <w:hideMark/>
          </w:tcPr>
          <w:p w14:paraId="5ABD6DE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302DC4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2DF0829"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A7BEBF4"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Ectoine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F17C1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C06231</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D79D2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58530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2·79E-05</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19DEE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90EA7F4"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148F6F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w:t>
            </w:r>
            <w:proofErr w:type="spellStart"/>
            <w:r w:rsidRPr="00BA04D2">
              <w:rPr>
                <w:rFonts w:eastAsia="Times New Roman" w:cs="Times New Roman"/>
                <w:color w:val="000000"/>
                <w:sz w:val="16"/>
                <w:szCs w:val="16"/>
                <w:lang w:eastAsia="en-AU"/>
              </w:rPr>
              <w:t>Glutamylalanine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7384F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C03740</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65E44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98379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1·51E-04</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3CB4B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CC37618"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24E097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Adenosine triphosphate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6CEF6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CC20AF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0·14</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B2AB58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9·15E-04</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083D6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E4882AC"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1963510"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Phosphoenolpyruvic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A7E5F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C00074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D1292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0·48</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C828B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1·16E-03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740DC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F153EA8"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EC9E7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Sorbitol-6-phosphate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2BABD7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C01096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102CE2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3AA8A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2·12E-03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0887C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EE93CF8"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D11A51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Oxoglutaric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8F68F1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C00026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5DB25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0·44</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33639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5·82E-03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23E66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87C5ABE"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4D4F1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Undecanoylglycine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84A3B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2D28EF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2C322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6·19E-03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31505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1C7FE1B"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5B1F2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FA (18:3)</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6A5A42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B9788B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F63D94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6·63E-03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494212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84792C4"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06C02BD"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Lysylglycine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AB1D79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3A887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372B7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7·87E-03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2E863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07C253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CD657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FA hydroxy (12:1)</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5D92C0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77A2A3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0·38</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4B219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8·76E-03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F7BEE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0ECB80E"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5AB8DA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Theanine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166637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C01047</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0028DB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0·48</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D039C3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1·18E-02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E8DCC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E3F851C"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45DB67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3-Nitrotyrosine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A2DFB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105ED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B80D2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1·26E-02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826A97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F18572C"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5E23EF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Araliacerebroside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39661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B2BED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F32C3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97D18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25E5A8F"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3D4F97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Met/Met/His</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C742DB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009ADC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0·64</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E5B7F6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1·54E-02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7339EC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CEA7325"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8C4F0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TG (12:0/20:3/22:0) [iso6]</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6597B7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C00422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1E1957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0630A4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1·71E-02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32065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255BECA"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9503A9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NADPH</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5E49F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EB97A8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C9E2F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B9A1CF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45BC04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E8538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 N-</w:t>
            </w:r>
            <w:proofErr w:type="spellStart"/>
            <w:r w:rsidRPr="00BA04D2">
              <w:rPr>
                <w:rFonts w:eastAsia="Times New Roman" w:cs="Times New Roman"/>
                <w:color w:val="000000"/>
                <w:sz w:val="16"/>
                <w:szCs w:val="16"/>
                <w:lang w:eastAsia="en-AU"/>
              </w:rPr>
              <w:t>Dihydroxytrihomomethionine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7E2EB7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7713AF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DF092D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13E0B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47AC049"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EEBA34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Hydroxymethylphosphonate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0E3CC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C06455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E1654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9AAE7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2·13E-02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C8C7B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1E6DAD"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42F89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Phosphatidylcholine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EADBF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C00157</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A8B7C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441CC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2·34E-02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B41D1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717D19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56248C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lastRenderedPageBreak/>
              <w:t>Mannosamine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68E1C3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C03570</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4DC0B8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8B2BB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2·42E-02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BE2CE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55A04B5"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7CFB12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Ononin</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5CCA4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C10509</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6CAC3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BCD242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2·53E-02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7F0362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B3A1D37"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97350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Asp/Asp/Asp/Pro/Gln</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7DF245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6817FD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0112F07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3·19E-02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EA0D5E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344C0ED"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F7F8B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Rhamnose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B106F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C00507</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08225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BD785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62F650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107949E"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FA9FAB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D-Xylose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7044E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C00181</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B49ECC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E0D6A2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3AE4E8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F42E5A"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ADD49BE"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LysoPC</w:t>
            </w:r>
            <w:proofErr w:type="spellEnd"/>
            <w:r w:rsidRPr="00BA04D2">
              <w:rPr>
                <w:rFonts w:eastAsia="Times New Roman" w:cs="Times New Roman"/>
                <w:color w:val="000000"/>
                <w:sz w:val="16"/>
                <w:szCs w:val="16"/>
                <w:lang w:eastAsia="en-AU"/>
              </w:rPr>
              <w:t xml:space="preserve"> (14:0/0:0)</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662B7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C04230</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42362F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C9817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1D373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6730FE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DA2EE1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1-Deoxynojirimycin</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E95A9F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C16843</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EA599D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20B4FF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4·01E-02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70719B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223877F"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735B2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Phosphocreatine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218A6C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C02305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6C21C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FDA59E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4·03E-02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6B894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862FF64"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811E1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Ribosyl-L-homocysteine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110B7C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C03539</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9668D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0E4D7E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4·10E-02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DF202D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4B76D3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8EC75A5"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Fenugreekine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26A1E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C1BFDC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8E377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4·29E-02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97BFD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CB26C90"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BE5864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Cysteinylhydroxyproline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F5C83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B2A79D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791CC8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F604E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B296B7F"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3FB950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FA (13:2) </w:t>
            </w:r>
            <w:proofErr w:type="spellStart"/>
            <w:r w:rsidRPr="00BA04D2">
              <w:rPr>
                <w:rFonts w:eastAsia="Times New Roman" w:cs="Times New Roman"/>
                <w:color w:val="000000"/>
                <w:sz w:val="16"/>
                <w:szCs w:val="16"/>
                <w:lang w:eastAsia="en-AU"/>
              </w:rPr>
              <w:t>tridecadienoic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590D0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F944B5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71AAD2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572AB7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2E4D80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F0DAA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Enol-phenylpyruvate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A52AF4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C02763</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11B8B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8D553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4·78E-02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AF70E1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92A9ECF"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0400E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Uridine 5'-diphosphate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476914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C00015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3AFBF7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851D3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62A20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2125F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31B41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PE (43:1)</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7A4A8C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2EB753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0·62</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DFBBA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D34A16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C2EF3D2"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DB95E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ADP</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B6B27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8C6BD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B6D0AD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14697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867BC7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04CB5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NADH</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9E8474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F0350A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D39D2B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E5470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D2D72A6"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EB5CD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1-Oleoylglycerophosphoserine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F9721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3FF109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B2C677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18A2E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526A0BD" w14:textId="77777777" w:rsidTr="000F7A14">
        <w:trPr>
          <w:trHeight w:val="290"/>
        </w:trPr>
        <w:tc>
          <w:tcPr>
            <w:tcW w:w="4253"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3940EF1"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Fluoroacetic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20DF5B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C06108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C982F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5712E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2229E7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25F13439" w14:textId="77777777" w:rsidR="003F47CF" w:rsidRPr="00BA04D2" w:rsidRDefault="003F47CF" w:rsidP="003F47CF">
      <w:r w:rsidRPr="00BA04D2">
        <w:br w:type="page"/>
      </w:r>
    </w:p>
    <w:p w14:paraId="316D4613" w14:textId="77777777" w:rsidR="003F47CF" w:rsidRPr="00BA04D2" w:rsidRDefault="003F47CF" w:rsidP="003F47CF">
      <w:pPr>
        <w:pStyle w:val="Style2"/>
      </w:pPr>
      <w:bookmarkStart w:id="75" w:name="_Toc217293618"/>
      <w:bookmarkStart w:id="76" w:name="_Toc217294940"/>
      <w:r w:rsidRPr="00BA04D2">
        <w:lastRenderedPageBreak/>
        <w:t>Supplementary Table 4· Pathway analysis- DITPA/Naïve (LSSC).</w:t>
      </w:r>
      <w:bookmarkEnd w:id="75"/>
      <w:bookmarkEnd w:id="76"/>
    </w:p>
    <w:tbl>
      <w:tblPr>
        <w:tblStyle w:val="GridTable6Colorful-Accent5"/>
        <w:tblpPr w:leftFromText="180" w:rightFromText="180" w:vertAnchor="text" w:horzAnchor="margin" w:tblpY="70"/>
        <w:tblW w:w="8925" w:type="dxa"/>
        <w:tblLook w:val="04A0" w:firstRow="1" w:lastRow="0" w:firstColumn="1" w:lastColumn="0" w:noHBand="0" w:noVBand="1"/>
      </w:tblPr>
      <w:tblGrid>
        <w:gridCol w:w="4055"/>
        <w:gridCol w:w="974"/>
        <w:gridCol w:w="974"/>
        <w:gridCol w:w="974"/>
        <w:gridCol w:w="974"/>
        <w:gridCol w:w="974"/>
      </w:tblGrid>
      <w:tr w:rsidR="003F47CF" w:rsidRPr="00BA04D2" w14:paraId="29915AA2"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shd w:val="clear" w:color="auto" w:fill="4472C4" w:themeFill="accent1"/>
            <w:noWrap/>
            <w:vAlign w:val="center"/>
            <w:hideMark/>
          </w:tcPr>
          <w:p w14:paraId="482618CC" w14:textId="77777777" w:rsidR="003F47CF" w:rsidRPr="00BA04D2" w:rsidRDefault="003F47CF" w:rsidP="000F7A14">
            <w:pPr>
              <w:spacing w:before="0"/>
              <w:jc w:val="left"/>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 Pathway analysis- DITPA/Naïve (LSSC)</w:t>
            </w:r>
          </w:p>
        </w:tc>
        <w:tc>
          <w:tcPr>
            <w:tcW w:w="974" w:type="dxa"/>
            <w:shd w:val="clear" w:color="auto" w:fill="4472C4" w:themeFill="accent1"/>
            <w:noWrap/>
            <w:vAlign w:val="center"/>
            <w:hideMark/>
          </w:tcPr>
          <w:p w14:paraId="78923867"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974" w:type="dxa"/>
            <w:shd w:val="clear" w:color="auto" w:fill="4472C4" w:themeFill="accent1"/>
            <w:noWrap/>
            <w:vAlign w:val="center"/>
            <w:hideMark/>
          </w:tcPr>
          <w:p w14:paraId="1C8AAFA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974" w:type="dxa"/>
            <w:shd w:val="clear" w:color="auto" w:fill="4472C4" w:themeFill="accent1"/>
            <w:noWrap/>
            <w:vAlign w:val="center"/>
            <w:hideMark/>
          </w:tcPr>
          <w:p w14:paraId="0F8119E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974" w:type="dxa"/>
            <w:shd w:val="clear" w:color="auto" w:fill="4472C4" w:themeFill="accent1"/>
            <w:noWrap/>
            <w:vAlign w:val="center"/>
            <w:hideMark/>
          </w:tcPr>
          <w:p w14:paraId="66CB2E92"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974" w:type="dxa"/>
            <w:shd w:val="clear" w:color="auto" w:fill="4472C4" w:themeFill="accent1"/>
            <w:noWrap/>
            <w:vAlign w:val="center"/>
            <w:hideMark/>
          </w:tcPr>
          <w:p w14:paraId="1BC682B7"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78AF1DC1"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484EBC83"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Citrate cycle (TCA cycle)</w:t>
            </w:r>
          </w:p>
        </w:tc>
        <w:tc>
          <w:tcPr>
            <w:tcW w:w="974" w:type="dxa"/>
            <w:noWrap/>
            <w:vAlign w:val="center"/>
            <w:hideMark/>
          </w:tcPr>
          <w:p w14:paraId="0FA2C84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974" w:type="dxa"/>
            <w:noWrap/>
            <w:vAlign w:val="center"/>
            <w:hideMark/>
          </w:tcPr>
          <w:p w14:paraId="72E9373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c>
          <w:tcPr>
            <w:tcW w:w="974" w:type="dxa"/>
            <w:noWrap/>
            <w:vAlign w:val="center"/>
            <w:hideMark/>
          </w:tcPr>
          <w:p w14:paraId="77F7E50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74" w:type="dxa"/>
            <w:noWrap/>
            <w:vAlign w:val="center"/>
            <w:hideMark/>
          </w:tcPr>
          <w:p w14:paraId="7C1A82F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0·02</w:t>
            </w:r>
          </w:p>
        </w:tc>
        <w:tc>
          <w:tcPr>
            <w:tcW w:w="974" w:type="dxa"/>
            <w:noWrap/>
            <w:vAlign w:val="center"/>
            <w:hideMark/>
          </w:tcPr>
          <w:p w14:paraId="201FA2A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r>
      <w:tr w:rsidR="003F47CF" w:rsidRPr="00BA04D2" w14:paraId="413CDA1F"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1156D7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Glutathione metabolism</w:t>
            </w:r>
          </w:p>
        </w:tc>
        <w:tc>
          <w:tcPr>
            <w:tcW w:w="974" w:type="dxa"/>
            <w:noWrap/>
            <w:vAlign w:val="center"/>
            <w:hideMark/>
          </w:tcPr>
          <w:p w14:paraId="5E14A3D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28</w:t>
            </w:r>
          </w:p>
        </w:tc>
        <w:tc>
          <w:tcPr>
            <w:tcW w:w="974" w:type="dxa"/>
            <w:noWrap/>
            <w:vAlign w:val="center"/>
            <w:hideMark/>
          </w:tcPr>
          <w:p w14:paraId="58DDC7C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0·33</w:t>
            </w:r>
          </w:p>
        </w:tc>
        <w:tc>
          <w:tcPr>
            <w:tcW w:w="974" w:type="dxa"/>
            <w:noWrap/>
            <w:vAlign w:val="center"/>
            <w:hideMark/>
          </w:tcPr>
          <w:p w14:paraId="4F459C8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74" w:type="dxa"/>
            <w:noWrap/>
            <w:vAlign w:val="center"/>
            <w:hideMark/>
          </w:tcPr>
          <w:p w14:paraId="3C93616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c>
          <w:tcPr>
            <w:tcW w:w="974" w:type="dxa"/>
            <w:noWrap/>
            <w:vAlign w:val="center"/>
            <w:hideMark/>
          </w:tcPr>
          <w:p w14:paraId="7D0B9AC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2DB3356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5688A26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974" w:type="dxa"/>
            <w:noWrap/>
            <w:vAlign w:val="center"/>
            <w:hideMark/>
          </w:tcPr>
          <w:p w14:paraId="52CB9D7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974" w:type="dxa"/>
            <w:noWrap/>
            <w:vAlign w:val="center"/>
            <w:hideMark/>
          </w:tcPr>
          <w:p w14:paraId="6864B9B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0·83</w:t>
            </w:r>
          </w:p>
        </w:tc>
        <w:tc>
          <w:tcPr>
            <w:tcW w:w="974" w:type="dxa"/>
            <w:noWrap/>
            <w:vAlign w:val="center"/>
            <w:hideMark/>
          </w:tcPr>
          <w:p w14:paraId="7B35995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w:t>
            </w:r>
          </w:p>
        </w:tc>
        <w:tc>
          <w:tcPr>
            <w:tcW w:w="974" w:type="dxa"/>
            <w:noWrap/>
            <w:vAlign w:val="center"/>
            <w:hideMark/>
          </w:tcPr>
          <w:p w14:paraId="5249769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c>
          <w:tcPr>
            <w:tcW w:w="974" w:type="dxa"/>
            <w:noWrap/>
            <w:vAlign w:val="center"/>
            <w:hideMark/>
          </w:tcPr>
          <w:p w14:paraId="6757C87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001D06BC"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4F13BF80"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Linoleic acid metabolism</w:t>
            </w:r>
          </w:p>
        </w:tc>
        <w:tc>
          <w:tcPr>
            <w:tcW w:w="974" w:type="dxa"/>
            <w:noWrap/>
            <w:vAlign w:val="center"/>
            <w:hideMark/>
          </w:tcPr>
          <w:p w14:paraId="43A6759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5</w:t>
            </w:r>
          </w:p>
        </w:tc>
        <w:tc>
          <w:tcPr>
            <w:tcW w:w="974" w:type="dxa"/>
            <w:noWrap/>
            <w:vAlign w:val="center"/>
            <w:hideMark/>
          </w:tcPr>
          <w:p w14:paraId="63FA888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c>
          <w:tcPr>
            <w:tcW w:w="974" w:type="dxa"/>
            <w:noWrap/>
            <w:vAlign w:val="center"/>
            <w:hideMark/>
          </w:tcPr>
          <w:p w14:paraId="1D55BA3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7CD5381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c>
          <w:tcPr>
            <w:tcW w:w="974" w:type="dxa"/>
            <w:noWrap/>
            <w:vAlign w:val="center"/>
            <w:hideMark/>
          </w:tcPr>
          <w:p w14:paraId="1AD5334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48B8D4C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49808E6"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Glycerophospholipid metabolism</w:t>
            </w:r>
          </w:p>
        </w:tc>
        <w:tc>
          <w:tcPr>
            <w:tcW w:w="974" w:type="dxa"/>
            <w:noWrap/>
            <w:vAlign w:val="center"/>
            <w:hideMark/>
          </w:tcPr>
          <w:p w14:paraId="079A5F0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974" w:type="dxa"/>
            <w:noWrap/>
            <w:vAlign w:val="center"/>
            <w:hideMark/>
          </w:tcPr>
          <w:p w14:paraId="483BB6E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0·42</w:t>
            </w:r>
          </w:p>
        </w:tc>
        <w:tc>
          <w:tcPr>
            <w:tcW w:w="974" w:type="dxa"/>
            <w:noWrap/>
            <w:vAlign w:val="center"/>
            <w:hideMark/>
          </w:tcPr>
          <w:p w14:paraId="35E49A5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74" w:type="dxa"/>
            <w:noWrap/>
            <w:vAlign w:val="center"/>
            <w:hideMark/>
          </w:tcPr>
          <w:p w14:paraId="1E015D4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c>
          <w:tcPr>
            <w:tcW w:w="974" w:type="dxa"/>
            <w:noWrap/>
            <w:vAlign w:val="center"/>
            <w:hideMark/>
          </w:tcPr>
          <w:p w14:paraId="3563978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0·11</w:t>
            </w:r>
          </w:p>
        </w:tc>
      </w:tr>
      <w:tr w:rsidR="003F47CF" w:rsidRPr="00BA04D2" w14:paraId="6BE53A6D"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5C6F196"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Phenylalanine metabolism</w:t>
            </w:r>
          </w:p>
        </w:tc>
        <w:tc>
          <w:tcPr>
            <w:tcW w:w="974" w:type="dxa"/>
            <w:noWrap/>
            <w:vAlign w:val="center"/>
            <w:hideMark/>
          </w:tcPr>
          <w:p w14:paraId="6C2F02E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10</w:t>
            </w:r>
          </w:p>
        </w:tc>
        <w:tc>
          <w:tcPr>
            <w:tcW w:w="974" w:type="dxa"/>
            <w:noWrap/>
            <w:vAlign w:val="center"/>
            <w:hideMark/>
          </w:tcPr>
          <w:p w14:paraId="628F11B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74" w:type="dxa"/>
            <w:noWrap/>
            <w:vAlign w:val="center"/>
            <w:hideMark/>
          </w:tcPr>
          <w:p w14:paraId="25A6689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7C06AED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0·11</w:t>
            </w:r>
          </w:p>
        </w:tc>
        <w:tc>
          <w:tcPr>
            <w:tcW w:w="974" w:type="dxa"/>
            <w:noWrap/>
            <w:vAlign w:val="center"/>
            <w:hideMark/>
          </w:tcPr>
          <w:p w14:paraId="276F177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007A5C88"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53FF58E3"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alpha-Linolenic acid metabolism</w:t>
            </w:r>
          </w:p>
        </w:tc>
        <w:tc>
          <w:tcPr>
            <w:tcW w:w="974" w:type="dxa"/>
            <w:noWrap/>
            <w:vAlign w:val="center"/>
            <w:hideMark/>
          </w:tcPr>
          <w:p w14:paraId="0601EEE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13</w:t>
            </w:r>
          </w:p>
        </w:tc>
        <w:tc>
          <w:tcPr>
            <w:tcW w:w="974" w:type="dxa"/>
            <w:noWrap/>
            <w:vAlign w:val="center"/>
            <w:hideMark/>
          </w:tcPr>
          <w:p w14:paraId="1336159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0·15</w:t>
            </w:r>
          </w:p>
        </w:tc>
        <w:tc>
          <w:tcPr>
            <w:tcW w:w="974" w:type="dxa"/>
            <w:noWrap/>
            <w:vAlign w:val="center"/>
            <w:hideMark/>
          </w:tcPr>
          <w:p w14:paraId="1CE7124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67B41DA1"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0·14</w:t>
            </w:r>
          </w:p>
        </w:tc>
        <w:tc>
          <w:tcPr>
            <w:tcW w:w="974" w:type="dxa"/>
            <w:noWrap/>
            <w:vAlign w:val="center"/>
            <w:hideMark/>
          </w:tcPr>
          <w:p w14:paraId="03E1976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7E63CC3"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13C8886"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Arginine biosynthesis</w:t>
            </w:r>
          </w:p>
        </w:tc>
        <w:tc>
          <w:tcPr>
            <w:tcW w:w="974" w:type="dxa"/>
            <w:noWrap/>
            <w:vAlign w:val="center"/>
            <w:hideMark/>
          </w:tcPr>
          <w:p w14:paraId="3A4E629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14</w:t>
            </w:r>
          </w:p>
        </w:tc>
        <w:tc>
          <w:tcPr>
            <w:tcW w:w="974" w:type="dxa"/>
            <w:noWrap/>
            <w:vAlign w:val="center"/>
            <w:hideMark/>
          </w:tcPr>
          <w:p w14:paraId="6C28D4B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974" w:type="dxa"/>
            <w:noWrap/>
            <w:vAlign w:val="center"/>
            <w:hideMark/>
          </w:tcPr>
          <w:p w14:paraId="7574F0C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2245F80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0·15</w:t>
            </w:r>
          </w:p>
        </w:tc>
        <w:tc>
          <w:tcPr>
            <w:tcW w:w="974" w:type="dxa"/>
            <w:noWrap/>
            <w:vAlign w:val="center"/>
            <w:hideMark/>
          </w:tcPr>
          <w:p w14:paraId="714825F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836CB24"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56B60DBC"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Butanoate metabolism</w:t>
            </w:r>
          </w:p>
        </w:tc>
        <w:tc>
          <w:tcPr>
            <w:tcW w:w="974" w:type="dxa"/>
            <w:noWrap/>
            <w:vAlign w:val="center"/>
            <w:hideMark/>
          </w:tcPr>
          <w:p w14:paraId="2139B9B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15</w:t>
            </w:r>
          </w:p>
        </w:tc>
        <w:tc>
          <w:tcPr>
            <w:tcW w:w="974" w:type="dxa"/>
            <w:noWrap/>
            <w:vAlign w:val="center"/>
            <w:hideMark/>
          </w:tcPr>
          <w:p w14:paraId="3E977CB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974" w:type="dxa"/>
            <w:noWrap/>
            <w:vAlign w:val="center"/>
            <w:hideMark/>
          </w:tcPr>
          <w:p w14:paraId="5497AE3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5A03C0A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974" w:type="dxa"/>
            <w:noWrap/>
            <w:vAlign w:val="center"/>
            <w:hideMark/>
          </w:tcPr>
          <w:p w14:paraId="5D03DCB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1313BBEE"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691C178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proofErr w:type="spellStart"/>
            <w:r w:rsidRPr="00BA04D2">
              <w:rPr>
                <w:rFonts w:eastAsia="Times New Roman" w:cs="Times New Roman"/>
                <w:b w:val="0"/>
                <w:bCs w:val="0"/>
                <w:i w:val="0"/>
                <w:color w:val="000000"/>
                <w:sz w:val="16"/>
                <w:szCs w:val="16"/>
                <w:lang w:eastAsia="en-AU"/>
              </w:rPr>
              <w:t>Glycerolipid</w:t>
            </w:r>
            <w:proofErr w:type="spellEnd"/>
            <w:r w:rsidRPr="00BA04D2">
              <w:rPr>
                <w:rFonts w:eastAsia="Times New Roman" w:cs="Times New Roman"/>
                <w:b w:val="0"/>
                <w:bCs w:val="0"/>
                <w:i w:val="0"/>
                <w:color w:val="000000"/>
                <w:sz w:val="16"/>
                <w:szCs w:val="16"/>
                <w:lang w:eastAsia="en-AU"/>
              </w:rPr>
              <w:t xml:space="preserve"> metabolism</w:t>
            </w:r>
          </w:p>
        </w:tc>
        <w:tc>
          <w:tcPr>
            <w:tcW w:w="974" w:type="dxa"/>
            <w:noWrap/>
            <w:vAlign w:val="center"/>
            <w:hideMark/>
          </w:tcPr>
          <w:p w14:paraId="75C005E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974" w:type="dxa"/>
            <w:noWrap/>
            <w:vAlign w:val="center"/>
            <w:hideMark/>
          </w:tcPr>
          <w:p w14:paraId="62AEBFD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974" w:type="dxa"/>
            <w:noWrap/>
            <w:vAlign w:val="center"/>
            <w:hideMark/>
          </w:tcPr>
          <w:p w14:paraId="6503586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4C6430F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974" w:type="dxa"/>
            <w:noWrap/>
            <w:vAlign w:val="center"/>
            <w:hideMark/>
          </w:tcPr>
          <w:p w14:paraId="3AB6D4F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r>
      <w:tr w:rsidR="003F47CF" w:rsidRPr="00BA04D2" w14:paraId="7F8C357A"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71D4A8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Pentose and glucuronate interconversions</w:t>
            </w:r>
          </w:p>
        </w:tc>
        <w:tc>
          <w:tcPr>
            <w:tcW w:w="974" w:type="dxa"/>
            <w:noWrap/>
            <w:vAlign w:val="center"/>
            <w:hideMark/>
          </w:tcPr>
          <w:p w14:paraId="39C1690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19</w:t>
            </w:r>
          </w:p>
        </w:tc>
        <w:tc>
          <w:tcPr>
            <w:tcW w:w="974" w:type="dxa"/>
            <w:noWrap/>
            <w:vAlign w:val="center"/>
            <w:hideMark/>
          </w:tcPr>
          <w:p w14:paraId="4BE5E8F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0·22</w:t>
            </w:r>
          </w:p>
        </w:tc>
        <w:tc>
          <w:tcPr>
            <w:tcW w:w="974" w:type="dxa"/>
            <w:noWrap/>
            <w:vAlign w:val="center"/>
            <w:hideMark/>
          </w:tcPr>
          <w:p w14:paraId="4E26F58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47A6969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0·20</w:t>
            </w:r>
          </w:p>
        </w:tc>
        <w:tc>
          <w:tcPr>
            <w:tcW w:w="974" w:type="dxa"/>
            <w:noWrap/>
            <w:vAlign w:val="center"/>
            <w:hideMark/>
          </w:tcPr>
          <w:p w14:paraId="5CECB29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0·07</w:t>
            </w:r>
          </w:p>
        </w:tc>
      </w:tr>
      <w:tr w:rsidR="003F47CF" w:rsidRPr="00BA04D2" w14:paraId="2945F299"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40EC755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proofErr w:type="spellStart"/>
            <w:r w:rsidRPr="00BA04D2">
              <w:rPr>
                <w:rFonts w:eastAsia="Times New Roman" w:cs="Times New Roman"/>
                <w:b w:val="0"/>
                <w:bCs w:val="0"/>
                <w:i w:val="0"/>
                <w:color w:val="000000"/>
                <w:sz w:val="16"/>
                <w:szCs w:val="16"/>
                <w:lang w:eastAsia="en-AU"/>
              </w:rPr>
              <w:t>Selenocompound</w:t>
            </w:r>
            <w:proofErr w:type="spellEnd"/>
            <w:r w:rsidRPr="00BA04D2">
              <w:rPr>
                <w:rFonts w:eastAsia="Times New Roman" w:cs="Times New Roman"/>
                <w:b w:val="0"/>
                <w:bCs w:val="0"/>
                <w:i w:val="0"/>
                <w:color w:val="000000"/>
                <w:sz w:val="16"/>
                <w:szCs w:val="16"/>
                <w:lang w:eastAsia="en-AU"/>
              </w:rPr>
              <w:t xml:space="preserve"> metabolism</w:t>
            </w:r>
          </w:p>
        </w:tc>
        <w:tc>
          <w:tcPr>
            <w:tcW w:w="974" w:type="dxa"/>
            <w:noWrap/>
            <w:vAlign w:val="center"/>
            <w:hideMark/>
          </w:tcPr>
          <w:p w14:paraId="4A5F6E4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974" w:type="dxa"/>
            <w:noWrap/>
            <w:vAlign w:val="center"/>
            <w:hideMark/>
          </w:tcPr>
          <w:p w14:paraId="4A16F03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c>
          <w:tcPr>
            <w:tcW w:w="974" w:type="dxa"/>
            <w:noWrap/>
            <w:vAlign w:val="center"/>
            <w:hideMark/>
          </w:tcPr>
          <w:p w14:paraId="6D0B287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601BD13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0·21</w:t>
            </w:r>
          </w:p>
        </w:tc>
        <w:tc>
          <w:tcPr>
            <w:tcW w:w="974" w:type="dxa"/>
            <w:noWrap/>
            <w:vAlign w:val="center"/>
            <w:hideMark/>
          </w:tcPr>
          <w:p w14:paraId="26370EF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0·07</w:t>
            </w:r>
          </w:p>
        </w:tc>
      </w:tr>
      <w:tr w:rsidR="003F47CF" w:rsidRPr="00BA04D2" w14:paraId="2E0B6E6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B789B64"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Pantothenate and CoA biosynthesis</w:t>
            </w:r>
          </w:p>
        </w:tc>
        <w:tc>
          <w:tcPr>
            <w:tcW w:w="974" w:type="dxa"/>
            <w:noWrap/>
            <w:vAlign w:val="center"/>
            <w:hideMark/>
          </w:tcPr>
          <w:p w14:paraId="5CEE33E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974" w:type="dxa"/>
            <w:noWrap/>
            <w:vAlign w:val="center"/>
            <w:hideMark/>
          </w:tcPr>
          <w:p w14:paraId="394AFAD1"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c>
          <w:tcPr>
            <w:tcW w:w="974" w:type="dxa"/>
            <w:noWrap/>
            <w:vAlign w:val="center"/>
            <w:hideMark/>
          </w:tcPr>
          <w:p w14:paraId="0C84F71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6408456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0·21</w:t>
            </w:r>
          </w:p>
        </w:tc>
        <w:tc>
          <w:tcPr>
            <w:tcW w:w="974" w:type="dxa"/>
            <w:noWrap/>
            <w:vAlign w:val="center"/>
            <w:hideMark/>
          </w:tcPr>
          <w:p w14:paraId="2C5AAF7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r>
      <w:tr w:rsidR="003F47CF" w:rsidRPr="00BA04D2" w14:paraId="63967AAE"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079677E0"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beta-Alanine metabolism</w:t>
            </w:r>
          </w:p>
        </w:tc>
        <w:tc>
          <w:tcPr>
            <w:tcW w:w="974" w:type="dxa"/>
            <w:noWrap/>
            <w:vAlign w:val="center"/>
            <w:hideMark/>
          </w:tcPr>
          <w:p w14:paraId="328190C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21</w:t>
            </w:r>
          </w:p>
        </w:tc>
        <w:tc>
          <w:tcPr>
            <w:tcW w:w="974" w:type="dxa"/>
            <w:noWrap/>
            <w:vAlign w:val="center"/>
            <w:hideMark/>
          </w:tcPr>
          <w:p w14:paraId="2F9C42A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0·24</w:t>
            </w:r>
          </w:p>
        </w:tc>
        <w:tc>
          <w:tcPr>
            <w:tcW w:w="974" w:type="dxa"/>
            <w:noWrap/>
            <w:vAlign w:val="center"/>
            <w:hideMark/>
          </w:tcPr>
          <w:p w14:paraId="18B55C5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00A3D8B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0·22</w:t>
            </w:r>
          </w:p>
        </w:tc>
        <w:tc>
          <w:tcPr>
            <w:tcW w:w="974" w:type="dxa"/>
            <w:noWrap/>
            <w:vAlign w:val="center"/>
            <w:hideMark/>
          </w:tcPr>
          <w:p w14:paraId="28BC871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5C322AFA"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1EED52F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Pyruvate metabolism</w:t>
            </w:r>
          </w:p>
        </w:tc>
        <w:tc>
          <w:tcPr>
            <w:tcW w:w="974" w:type="dxa"/>
            <w:noWrap/>
            <w:vAlign w:val="center"/>
            <w:hideMark/>
          </w:tcPr>
          <w:p w14:paraId="1193D51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23</w:t>
            </w:r>
          </w:p>
        </w:tc>
        <w:tc>
          <w:tcPr>
            <w:tcW w:w="974" w:type="dxa"/>
            <w:noWrap/>
            <w:vAlign w:val="center"/>
            <w:hideMark/>
          </w:tcPr>
          <w:p w14:paraId="6F62E8F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0·27</w:t>
            </w:r>
          </w:p>
        </w:tc>
        <w:tc>
          <w:tcPr>
            <w:tcW w:w="974" w:type="dxa"/>
            <w:noWrap/>
            <w:vAlign w:val="center"/>
            <w:hideMark/>
          </w:tcPr>
          <w:p w14:paraId="409101A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15F887E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0·24</w:t>
            </w:r>
          </w:p>
        </w:tc>
        <w:tc>
          <w:tcPr>
            <w:tcW w:w="974" w:type="dxa"/>
            <w:noWrap/>
            <w:vAlign w:val="center"/>
            <w:hideMark/>
          </w:tcPr>
          <w:p w14:paraId="7A81AF6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6BD8E0A3"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0BA793B6"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One carbon pool by folate</w:t>
            </w:r>
          </w:p>
        </w:tc>
        <w:tc>
          <w:tcPr>
            <w:tcW w:w="974" w:type="dxa"/>
            <w:noWrap/>
            <w:vAlign w:val="center"/>
            <w:hideMark/>
          </w:tcPr>
          <w:p w14:paraId="36DA6D4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974" w:type="dxa"/>
            <w:noWrap/>
            <w:vAlign w:val="center"/>
            <w:hideMark/>
          </w:tcPr>
          <w:p w14:paraId="749E430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0·30</w:t>
            </w:r>
          </w:p>
        </w:tc>
        <w:tc>
          <w:tcPr>
            <w:tcW w:w="974" w:type="dxa"/>
            <w:noWrap/>
            <w:vAlign w:val="center"/>
            <w:hideMark/>
          </w:tcPr>
          <w:p w14:paraId="767E83B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6E90D0F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0·26</w:t>
            </w:r>
          </w:p>
        </w:tc>
        <w:tc>
          <w:tcPr>
            <w:tcW w:w="974" w:type="dxa"/>
            <w:noWrap/>
            <w:vAlign w:val="center"/>
            <w:hideMark/>
          </w:tcPr>
          <w:p w14:paraId="44AE3FF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5A13CFDB"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A2EBB5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Glycolysis or Gluconeogenesis</w:t>
            </w:r>
          </w:p>
        </w:tc>
        <w:tc>
          <w:tcPr>
            <w:tcW w:w="974" w:type="dxa"/>
            <w:noWrap/>
            <w:vAlign w:val="center"/>
            <w:hideMark/>
          </w:tcPr>
          <w:p w14:paraId="6DD692D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974" w:type="dxa"/>
            <w:noWrap/>
            <w:vAlign w:val="center"/>
            <w:hideMark/>
          </w:tcPr>
          <w:p w14:paraId="5BCCE50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0·30</w:t>
            </w:r>
          </w:p>
        </w:tc>
        <w:tc>
          <w:tcPr>
            <w:tcW w:w="974" w:type="dxa"/>
            <w:noWrap/>
            <w:vAlign w:val="center"/>
            <w:hideMark/>
          </w:tcPr>
          <w:p w14:paraId="5E7C098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57873A4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0·26</w:t>
            </w:r>
          </w:p>
        </w:tc>
        <w:tc>
          <w:tcPr>
            <w:tcW w:w="974" w:type="dxa"/>
            <w:noWrap/>
            <w:vAlign w:val="center"/>
            <w:hideMark/>
          </w:tcPr>
          <w:p w14:paraId="79D4217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r>
      <w:tr w:rsidR="003F47CF" w:rsidRPr="00BA04D2" w14:paraId="4CC59BE2"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4519DC4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Lipoic acid metabolism</w:t>
            </w:r>
          </w:p>
        </w:tc>
        <w:tc>
          <w:tcPr>
            <w:tcW w:w="974" w:type="dxa"/>
            <w:noWrap/>
            <w:vAlign w:val="center"/>
            <w:hideMark/>
          </w:tcPr>
          <w:p w14:paraId="0C25445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28</w:t>
            </w:r>
          </w:p>
        </w:tc>
        <w:tc>
          <w:tcPr>
            <w:tcW w:w="974" w:type="dxa"/>
            <w:noWrap/>
            <w:vAlign w:val="center"/>
            <w:hideMark/>
          </w:tcPr>
          <w:p w14:paraId="0CBBE40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0·33</w:t>
            </w:r>
          </w:p>
        </w:tc>
        <w:tc>
          <w:tcPr>
            <w:tcW w:w="974" w:type="dxa"/>
            <w:noWrap/>
            <w:vAlign w:val="center"/>
            <w:hideMark/>
          </w:tcPr>
          <w:p w14:paraId="1F277DE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49165BA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0·28</w:t>
            </w:r>
          </w:p>
        </w:tc>
        <w:tc>
          <w:tcPr>
            <w:tcW w:w="974" w:type="dxa"/>
            <w:noWrap/>
            <w:vAlign w:val="center"/>
            <w:hideMark/>
          </w:tcPr>
          <w:p w14:paraId="79C6700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A43CF2C"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53F9FC00"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Alanine, aspartate and glutamate metabolism</w:t>
            </w:r>
          </w:p>
        </w:tc>
        <w:tc>
          <w:tcPr>
            <w:tcW w:w="974" w:type="dxa"/>
            <w:noWrap/>
            <w:vAlign w:val="center"/>
            <w:hideMark/>
          </w:tcPr>
          <w:p w14:paraId="3845701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28</w:t>
            </w:r>
          </w:p>
        </w:tc>
        <w:tc>
          <w:tcPr>
            <w:tcW w:w="974" w:type="dxa"/>
            <w:noWrap/>
            <w:vAlign w:val="center"/>
            <w:hideMark/>
          </w:tcPr>
          <w:p w14:paraId="5AEA890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0·33</w:t>
            </w:r>
          </w:p>
        </w:tc>
        <w:tc>
          <w:tcPr>
            <w:tcW w:w="974" w:type="dxa"/>
            <w:noWrap/>
            <w:vAlign w:val="center"/>
            <w:hideMark/>
          </w:tcPr>
          <w:p w14:paraId="7298E8B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6F241C9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0·28</w:t>
            </w:r>
          </w:p>
        </w:tc>
        <w:tc>
          <w:tcPr>
            <w:tcW w:w="974" w:type="dxa"/>
            <w:noWrap/>
            <w:vAlign w:val="center"/>
            <w:hideMark/>
          </w:tcPr>
          <w:p w14:paraId="576935D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06949BC4"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166FC92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Cysteine and methionine metabolism</w:t>
            </w:r>
          </w:p>
        </w:tc>
        <w:tc>
          <w:tcPr>
            <w:tcW w:w="974" w:type="dxa"/>
            <w:noWrap/>
            <w:vAlign w:val="center"/>
            <w:hideMark/>
          </w:tcPr>
          <w:p w14:paraId="5985259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33</w:t>
            </w:r>
          </w:p>
        </w:tc>
        <w:tc>
          <w:tcPr>
            <w:tcW w:w="974" w:type="dxa"/>
            <w:noWrap/>
            <w:vAlign w:val="center"/>
            <w:hideMark/>
          </w:tcPr>
          <w:p w14:paraId="64005A8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0·38</w:t>
            </w:r>
          </w:p>
        </w:tc>
        <w:tc>
          <w:tcPr>
            <w:tcW w:w="974" w:type="dxa"/>
            <w:noWrap/>
            <w:vAlign w:val="center"/>
            <w:hideMark/>
          </w:tcPr>
          <w:p w14:paraId="7C9D3E0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3762C9E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0·32</w:t>
            </w:r>
          </w:p>
        </w:tc>
        <w:tc>
          <w:tcPr>
            <w:tcW w:w="974" w:type="dxa"/>
            <w:noWrap/>
            <w:vAlign w:val="center"/>
            <w:hideMark/>
          </w:tcPr>
          <w:p w14:paraId="63E941F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451191D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0E286B6C"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Arginine and proline metabolism</w:t>
            </w:r>
          </w:p>
        </w:tc>
        <w:tc>
          <w:tcPr>
            <w:tcW w:w="974" w:type="dxa"/>
            <w:noWrap/>
            <w:vAlign w:val="center"/>
            <w:hideMark/>
          </w:tcPr>
          <w:p w14:paraId="3FADD11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974" w:type="dxa"/>
            <w:noWrap/>
            <w:vAlign w:val="center"/>
            <w:hideMark/>
          </w:tcPr>
          <w:p w14:paraId="0A3A7A4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0·42</w:t>
            </w:r>
          </w:p>
        </w:tc>
        <w:tc>
          <w:tcPr>
            <w:tcW w:w="974" w:type="dxa"/>
            <w:noWrap/>
            <w:vAlign w:val="center"/>
            <w:hideMark/>
          </w:tcPr>
          <w:p w14:paraId="0071CE5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29066DB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0·35</w:t>
            </w:r>
          </w:p>
        </w:tc>
        <w:tc>
          <w:tcPr>
            <w:tcW w:w="974" w:type="dxa"/>
            <w:noWrap/>
            <w:vAlign w:val="center"/>
            <w:hideMark/>
          </w:tcPr>
          <w:p w14:paraId="76AC24E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0D00F150"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4E13EEF1"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Pyrimidine metabolism</w:t>
            </w:r>
          </w:p>
        </w:tc>
        <w:tc>
          <w:tcPr>
            <w:tcW w:w="974" w:type="dxa"/>
            <w:noWrap/>
            <w:vAlign w:val="center"/>
            <w:hideMark/>
          </w:tcPr>
          <w:p w14:paraId="6DC2829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974" w:type="dxa"/>
            <w:noWrap/>
            <w:vAlign w:val="center"/>
            <w:hideMark/>
          </w:tcPr>
          <w:p w14:paraId="5A18E26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0·45</w:t>
            </w:r>
          </w:p>
        </w:tc>
        <w:tc>
          <w:tcPr>
            <w:tcW w:w="974" w:type="dxa"/>
            <w:noWrap/>
            <w:vAlign w:val="center"/>
            <w:hideMark/>
          </w:tcPr>
          <w:p w14:paraId="07B2538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5F3B07C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0·37</w:t>
            </w:r>
          </w:p>
        </w:tc>
        <w:tc>
          <w:tcPr>
            <w:tcW w:w="974" w:type="dxa"/>
            <w:noWrap/>
            <w:vAlign w:val="center"/>
            <w:hideMark/>
          </w:tcPr>
          <w:p w14:paraId="76A758A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2E0EA67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55" w:type="dxa"/>
            <w:noWrap/>
            <w:vAlign w:val="center"/>
            <w:hideMark/>
          </w:tcPr>
          <w:p w14:paraId="78363A3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Arachidonic acid metabolism</w:t>
            </w:r>
          </w:p>
        </w:tc>
        <w:tc>
          <w:tcPr>
            <w:tcW w:w="974" w:type="dxa"/>
            <w:noWrap/>
            <w:vAlign w:val="center"/>
            <w:hideMark/>
          </w:tcPr>
          <w:p w14:paraId="53652E7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43</w:t>
            </w:r>
          </w:p>
        </w:tc>
        <w:tc>
          <w:tcPr>
            <w:tcW w:w="974" w:type="dxa"/>
            <w:noWrap/>
            <w:vAlign w:val="center"/>
            <w:hideMark/>
          </w:tcPr>
          <w:p w14:paraId="6BB58D2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0·50</w:t>
            </w:r>
          </w:p>
        </w:tc>
        <w:tc>
          <w:tcPr>
            <w:tcW w:w="974" w:type="dxa"/>
            <w:noWrap/>
            <w:vAlign w:val="center"/>
            <w:hideMark/>
          </w:tcPr>
          <w:p w14:paraId="2EF6361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74" w:type="dxa"/>
            <w:noWrap/>
            <w:vAlign w:val="center"/>
            <w:hideMark/>
          </w:tcPr>
          <w:p w14:paraId="3686E20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0·40</w:t>
            </w:r>
          </w:p>
        </w:tc>
        <w:tc>
          <w:tcPr>
            <w:tcW w:w="974" w:type="dxa"/>
            <w:noWrap/>
            <w:vAlign w:val="center"/>
            <w:hideMark/>
          </w:tcPr>
          <w:p w14:paraId="6F9B260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bl>
    <w:p w14:paraId="03143D68" w14:textId="77777777" w:rsidR="003F47CF" w:rsidRPr="00BA04D2" w:rsidRDefault="003F47CF" w:rsidP="003F47CF"/>
    <w:p w14:paraId="3A847807" w14:textId="77777777" w:rsidR="003F47CF" w:rsidRPr="00BA04D2" w:rsidRDefault="003F47CF" w:rsidP="003F47CF">
      <w:r w:rsidRPr="00BA04D2">
        <w:br w:type="page"/>
      </w:r>
    </w:p>
    <w:p w14:paraId="06FD75B2" w14:textId="77777777" w:rsidR="003F47CF" w:rsidRPr="00BA04D2" w:rsidRDefault="003F47CF" w:rsidP="003F47CF">
      <w:pPr>
        <w:pStyle w:val="Style2"/>
      </w:pPr>
      <w:bookmarkStart w:id="77" w:name="_Toc217293619"/>
      <w:bookmarkStart w:id="78" w:name="_Toc217294941"/>
      <w:r w:rsidRPr="00BA04D2">
        <w:lastRenderedPageBreak/>
        <w:t>Supplementary Table 5. Dysregulated metabolites in Corn oil/Naive (LSSC).</w:t>
      </w:r>
      <w:bookmarkEnd w:id="77"/>
      <w:bookmarkEnd w:id="78"/>
    </w:p>
    <w:tbl>
      <w:tblPr>
        <w:tblW w:w="8925" w:type="dxa"/>
        <w:tblInd w:w="-5" w:type="dxa"/>
        <w:tblLook w:val="04A0" w:firstRow="1" w:lastRow="0" w:firstColumn="1" w:lastColumn="0" w:noHBand="0" w:noVBand="1"/>
      </w:tblPr>
      <w:tblGrid>
        <w:gridCol w:w="4229"/>
        <w:gridCol w:w="874"/>
        <w:gridCol w:w="1301"/>
        <w:gridCol w:w="897"/>
        <w:gridCol w:w="1720"/>
      </w:tblGrid>
      <w:tr w:rsidR="003F47CF" w:rsidRPr="00BA04D2" w14:paraId="2086BDBB" w14:textId="77777777" w:rsidTr="000F7A14">
        <w:trPr>
          <w:trHeight w:val="290"/>
        </w:trPr>
        <w:tc>
          <w:tcPr>
            <w:tcW w:w="4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8ED47"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Dysregulated metabolites (Corn oil/Naive)</w:t>
            </w:r>
          </w:p>
          <w:p w14:paraId="39D39ECD"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(LSSC)</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067FE86E"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74048226"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6C01E2DD"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1F692A41"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723F1BA0"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6C2978A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Thymine</w:t>
            </w:r>
          </w:p>
        </w:tc>
        <w:tc>
          <w:tcPr>
            <w:tcW w:w="874" w:type="dxa"/>
            <w:tcBorders>
              <w:top w:val="nil"/>
              <w:left w:val="nil"/>
              <w:bottom w:val="single" w:sz="4" w:space="0" w:color="auto"/>
              <w:right w:val="single" w:sz="4" w:space="0" w:color="auto"/>
            </w:tcBorders>
            <w:shd w:val="clear" w:color="auto" w:fill="FFCCCC"/>
            <w:noWrap/>
            <w:vAlign w:val="center"/>
            <w:hideMark/>
          </w:tcPr>
          <w:p w14:paraId="0E06E16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C00178</w:t>
            </w:r>
          </w:p>
        </w:tc>
        <w:tc>
          <w:tcPr>
            <w:tcW w:w="1301" w:type="dxa"/>
            <w:tcBorders>
              <w:top w:val="nil"/>
              <w:left w:val="nil"/>
              <w:bottom w:val="single" w:sz="4" w:space="0" w:color="auto"/>
              <w:right w:val="single" w:sz="4" w:space="0" w:color="auto"/>
            </w:tcBorders>
            <w:shd w:val="clear" w:color="auto" w:fill="FFCCCC"/>
            <w:noWrap/>
            <w:vAlign w:val="center"/>
            <w:hideMark/>
          </w:tcPr>
          <w:p w14:paraId="39022FE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2·52</w:t>
            </w:r>
          </w:p>
        </w:tc>
        <w:tc>
          <w:tcPr>
            <w:tcW w:w="897" w:type="dxa"/>
            <w:tcBorders>
              <w:top w:val="nil"/>
              <w:left w:val="nil"/>
              <w:bottom w:val="single" w:sz="4" w:space="0" w:color="auto"/>
              <w:right w:val="single" w:sz="4" w:space="0" w:color="auto"/>
            </w:tcBorders>
            <w:shd w:val="clear" w:color="auto" w:fill="FFCCCC"/>
            <w:noWrap/>
            <w:vAlign w:val="center"/>
            <w:hideMark/>
          </w:tcPr>
          <w:p w14:paraId="23F51B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4·89E-05</w:t>
            </w:r>
          </w:p>
        </w:tc>
        <w:tc>
          <w:tcPr>
            <w:tcW w:w="1720" w:type="dxa"/>
            <w:tcBorders>
              <w:top w:val="nil"/>
              <w:left w:val="nil"/>
              <w:bottom w:val="single" w:sz="4" w:space="0" w:color="auto"/>
              <w:right w:val="single" w:sz="4" w:space="0" w:color="auto"/>
            </w:tcBorders>
            <w:shd w:val="clear" w:color="auto" w:fill="FFCCCC"/>
            <w:noWrap/>
            <w:vAlign w:val="center"/>
            <w:hideMark/>
          </w:tcPr>
          <w:p w14:paraId="0D362B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B75D2CD"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7A13B9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Garcinia acid</w:t>
            </w:r>
          </w:p>
        </w:tc>
        <w:tc>
          <w:tcPr>
            <w:tcW w:w="874" w:type="dxa"/>
            <w:tcBorders>
              <w:top w:val="nil"/>
              <w:left w:val="nil"/>
              <w:bottom w:val="single" w:sz="4" w:space="0" w:color="auto"/>
              <w:right w:val="single" w:sz="4" w:space="0" w:color="auto"/>
            </w:tcBorders>
            <w:shd w:val="clear" w:color="auto" w:fill="FFCCCC"/>
            <w:noWrap/>
            <w:vAlign w:val="center"/>
            <w:hideMark/>
          </w:tcPr>
          <w:p w14:paraId="61C9882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B797A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1·96</w:t>
            </w:r>
          </w:p>
        </w:tc>
        <w:tc>
          <w:tcPr>
            <w:tcW w:w="897" w:type="dxa"/>
            <w:tcBorders>
              <w:top w:val="nil"/>
              <w:left w:val="nil"/>
              <w:bottom w:val="single" w:sz="4" w:space="0" w:color="auto"/>
              <w:right w:val="single" w:sz="4" w:space="0" w:color="auto"/>
            </w:tcBorders>
            <w:shd w:val="clear" w:color="auto" w:fill="FFCCCC"/>
            <w:noWrap/>
            <w:vAlign w:val="center"/>
            <w:hideMark/>
          </w:tcPr>
          <w:p w14:paraId="4E5DE9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2·22E-04</w:t>
            </w:r>
          </w:p>
        </w:tc>
        <w:tc>
          <w:tcPr>
            <w:tcW w:w="1720" w:type="dxa"/>
            <w:tcBorders>
              <w:top w:val="nil"/>
              <w:left w:val="nil"/>
              <w:bottom w:val="single" w:sz="4" w:space="0" w:color="auto"/>
              <w:right w:val="single" w:sz="4" w:space="0" w:color="auto"/>
            </w:tcBorders>
            <w:shd w:val="clear" w:color="auto" w:fill="FFCCCC"/>
            <w:noWrap/>
            <w:vAlign w:val="center"/>
            <w:hideMark/>
          </w:tcPr>
          <w:p w14:paraId="03E035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994F86A"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0224EB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w:t>
            </w:r>
            <w:proofErr w:type="spellStart"/>
            <w:r w:rsidRPr="00BA04D2">
              <w:rPr>
                <w:rFonts w:eastAsia="Times New Roman" w:cs="Times New Roman"/>
                <w:color w:val="000000"/>
                <w:sz w:val="16"/>
                <w:szCs w:val="16"/>
                <w:lang w:eastAsia="en-AU"/>
              </w:rPr>
              <w:t>Desosamine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5D6F205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B38F96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5·51</w:t>
            </w:r>
          </w:p>
        </w:tc>
        <w:tc>
          <w:tcPr>
            <w:tcW w:w="897" w:type="dxa"/>
            <w:tcBorders>
              <w:top w:val="nil"/>
              <w:left w:val="nil"/>
              <w:bottom w:val="single" w:sz="4" w:space="0" w:color="auto"/>
              <w:right w:val="single" w:sz="4" w:space="0" w:color="auto"/>
            </w:tcBorders>
            <w:shd w:val="clear" w:color="auto" w:fill="FFCCCC"/>
            <w:noWrap/>
            <w:vAlign w:val="center"/>
            <w:hideMark/>
          </w:tcPr>
          <w:p w14:paraId="23C4098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4·72E-04</w:t>
            </w:r>
          </w:p>
        </w:tc>
        <w:tc>
          <w:tcPr>
            <w:tcW w:w="1720" w:type="dxa"/>
            <w:tcBorders>
              <w:top w:val="nil"/>
              <w:left w:val="nil"/>
              <w:bottom w:val="single" w:sz="4" w:space="0" w:color="auto"/>
              <w:right w:val="single" w:sz="4" w:space="0" w:color="auto"/>
            </w:tcBorders>
            <w:shd w:val="clear" w:color="auto" w:fill="FFCCCC"/>
            <w:noWrap/>
            <w:vAlign w:val="center"/>
            <w:hideMark/>
          </w:tcPr>
          <w:p w14:paraId="32AE739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4FAFB93"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130AD9D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Deoxyuridine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225302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C00526</w:t>
            </w:r>
          </w:p>
        </w:tc>
        <w:tc>
          <w:tcPr>
            <w:tcW w:w="1301" w:type="dxa"/>
            <w:tcBorders>
              <w:top w:val="nil"/>
              <w:left w:val="nil"/>
              <w:bottom w:val="single" w:sz="4" w:space="0" w:color="auto"/>
              <w:right w:val="single" w:sz="4" w:space="0" w:color="auto"/>
            </w:tcBorders>
            <w:shd w:val="clear" w:color="auto" w:fill="FFCCCC"/>
            <w:noWrap/>
            <w:vAlign w:val="center"/>
            <w:hideMark/>
          </w:tcPr>
          <w:p w14:paraId="65962D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2·20</w:t>
            </w:r>
          </w:p>
        </w:tc>
        <w:tc>
          <w:tcPr>
            <w:tcW w:w="897" w:type="dxa"/>
            <w:tcBorders>
              <w:top w:val="nil"/>
              <w:left w:val="nil"/>
              <w:bottom w:val="single" w:sz="4" w:space="0" w:color="auto"/>
              <w:right w:val="single" w:sz="4" w:space="0" w:color="auto"/>
            </w:tcBorders>
            <w:shd w:val="clear" w:color="auto" w:fill="FFCCCC"/>
            <w:noWrap/>
            <w:vAlign w:val="center"/>
            <w:hideMark/>
          </w:tcPr>
          <w:p w14:paraId="4D66C82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8·27E-04</w:t>
            </w:r>
          </w:p>
        </w:tc>
        <w:tc>
          <w:tcPr>
            <w:tcW w:w="1720" w:type="dxa"/>
            <w:tcBorders>
              <w:top w:val="nil"/>
              <w:left w:val="nil"/>
              <w:bottom w:val="single" w:sz="4" w:space="0" w:color="auto"/>
              <w:right w:val="single" w:sz="4" w:space="0" w:color="auto"/>
            </w:tcBorders>
            <w:shd w:val="clear" w:color="auto" w:fill="FFCCCC"/>
            <w:noWrap/>
            <w:vAlign w:val="center"/>
            <w:hideMark/>
          </w:tcPr>
          <w:p w14:paraId="7B18E4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FFF4248"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2B91E04A"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Homostachydrine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16563EF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C08283</w:t>
            </w:r>
          </w:p>
        </w:tc>
        <w:tc>
          <w:tcPr>
            <w:tcW w:w="1301" w:type="dxa"/>
            <w:tcBorders>
              <w:top w:val="nil"/>
              <w:left w:val="nil"/>
              <w:bottom w:val="single" w:sz="4" w:space="0" w:color="auto"/>
              <w:right w:val="single" w:sz="4" w:space="0" w:color="auto"/>
            </w:tcBorders>
            <w:shd w:val="clear" w:color="auto" w:fill="FFCCCC"/>
            <w:noWrap/>
            <w:vAlign w:val="center"/>
            <w:hideMark/>
          </w:tcPr>
          <w:p w14:paraId="05BA598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2·23</w:t>
            </w:r>
          </w:p>
        </w:tc>
        <w:tc>
          <w:tcPr>
            <w:tcW w:w="897" w:type="dxa"/>
            <w:tcBorders>
              <w:top w:val="nil"/>
              <w:left w:val="nil"/>
              <w:bottom w:val="single" w:sz="4" w:space="0" w:color="auto"/>
              <w:right w:val="single" w:sz="4" w:space="0" w:color="auto"/>
            </w:tcBorders>
            <w:shd w:val="clear" w:color="auto" w:fill="FFCCCC"/>
            <w:noWrap/>
            <w:vAlign w:val="center"/>
            <w:hideMark/>
          </w:tcPr>
          <w:p w14:paraId="59097B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8·86E-04</w:t>
            </w:r>
          </w:p>
        </w:tc>
        <w:tc>
          <w:tcPr>
            <w:tcW w:w="1720" w:type="dxa"/>
            <w:tcBorders>
              <w:top w:val="nil"/>
              <w:left w:val="nil"/>
              <w:bottom w:val="single" w:sz="4" w:space="0" w:color="auto"/>
              <w:right w:val="single" w:sz="4" w:space="0" w:color="auto"/>
            </w:tcBorders>
            <w:shd w:val="clear" w:color="auto" w:fill="FFCCCC"/>
            <w:noWrap/>
            <w:vAlign w:val="center"/>
            <w:hideMark/>
          </w:tcPr>
          <w:p w14:paraId="5BC2172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6F89B42"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E9E9B7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Targinine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65BE55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C03884</w:t>
            </w:r>
          </w:p>
        </w:tc>
        <w:tc>
          <w:tcPr>
            <w:tcW w:w="1301" w:type="dxa"/>
            <w:tcBorders>
              <w:top w:val="nil"/>
              <w:left w:val="nil"/>
              <w:bottom w:val="single" w:sz="4" w:space="0" w:color="auto"/>
              <w:right w:val="single" w:sz="4" w:space="0" w:color="auto"/>
            </w:tcBorders>
            <w:shd w:val="clear" w:color="auto" w:fill="FFCCCC"/>
            <w:noWrap/>
            <w:vAlign w:val="center"/>
            <w:hideMark/>
          </w:tcPr>
          <w:p w14:paraId="51EACC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1·66</w:t>
            </w:r>
          </w:p>
        </w:tc>
        <w:tc>
          <w:tcPr>
            <w:tcW w:w="897" w:type="dxa"/>
            <w:tcBorders>
              <w:top w:val="nil"/>
              <w:left w:val="nil"/>
              <w:bottom w:val="single" w:sz="4" w:space="0" w:color="auto"/>
              <w:right w:val="single" w:sz="4" w:space="0" w:color="auto"/>
            </w:tcBorders>
            <w:shd w:val="clear" w:color="auto" w:fill="FFCCCC"/>
            <w:noWrap/>
            <w:vAlign w:val="center"/>
            <w:hideMark/>
          </w:tcPr>
          <w:p w14:paraId="37BFE2B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2·02E-03</w:t>
            </w:r>
          </w:p>
        </w:tc>
        <w:tc>
          <w:tcPr>
            <w:tcW w:w="1720" w:type="dxa"/>
            <w:tcBorders>
              <w:top w:val="nil"/>
              <w:left w:val="nil"/>
              <w:bottom w:val="single" w:sz="4" w:space="0" w:color="auto"/>
              <w:right w:val="single" w:sz="4" w:space="0" w:color="auto"/>
            </w:tcBorders>
            <w:shd w:val="clear" w:color="auto" w:fill="FFCCCC"/>
            <w:noWrap/>
            <w:vAlign w:val="center"/>
            <w:hideMark/>
          </w:tcPr>
          <w:p w14:paraId="57684A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822596C"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1A6920E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Acetylfelinine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4E1FDC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376BC4A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2·61</w:t>
            </w:r>
          </w:p>
        </w:tc>
        <w:tc>
          <w:tcPr>
            <w:tcW w:w="897" w:type="dxa"/>
            <w:tcBorders>
              <w:top w:val="nil"/>
              <w:left w:val="nil"/>
              <w:bottom w:val="single" w:sz="4" w:space="0" w:color="auto"/>
              <w:right w:val="single" w:sz="4" w:space="0" w:color="auto"/>
            </w:tcBorders>
            <w:shd w:val="clear" w:color="auto" w:fill="FFCCCC"/>
            <w:noWrap/>
            <w:vAlign w:val="center"/>
            <w:hideMark/>
          </w:tcPr>
          <w:p w14:paraId="3C64BA0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2·39E-03</w:t>
            </w:r>
          </w:p>
        </w:tc>
        <w:tc>
          <w:tcPr>
            <w:tcW w:w="1720" w:type="dxa"/>
            <w:tcBorders>
              <w:top w:val="nil"/>
              <w:left w:val="nil"/>
              <w:bottom w:val="single" w:sz="4" w:space="0" w:color="auto"/>
              <w:right w:val="single" w:sz="4" w:space="0" w:color="auto"/>
            </w:tcBorders>
            <w:shd w:val="clear" w:color="auto" w:fill="FFCCCC"/>
            <w:noWrap/>
            <w:vAlign w:val="center"/>
            <w:hideMark/>
          </w:tcPr>
          <w:p w14:paraId="7F4153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3E2C767"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28CD42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3-Hydroxy-2-methylpyridine-5-carboxylate</w:t>
            </w:r>
          </w:p>
        </w:tc>
        <w:tc>
          <w:tcPr>
            <w:tcW w:w="874" w:type="dxa"/>
            <w:tcBorders>
              <w:top w:val="nil"/>
              <w:left w:val="nil"/>
              <w:bottom w:val="single" w:sz="4" w:space="0" w:color="auto"/>
              <w:right w:val="single" w:sz="4" w:space="0" w:color="auto"/>
            </w:tcBorders>
            <w:shd w:val="clear" w:color="auto" w:fill="FFCCCC"/>
            <w:noWrap/>
            <w:vAlign w:val="center"/>
            <w:hideMark/>
          </w:tcPr>
          <w:p w14:paraId="657180A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C01270</w:t>
            </w:r>
          </w:p>
        </w:tc>
        <w:tc>
          <w:tcPr>
            <w:tcW w:w="1301" w:type="dxa"/>
            <w:tcBorders>
              <w:top w:val="nil"/>
              <w:left w:val="nil"/>
              <w:bottom w:val="single" w:sz="4" w:space="0" w:color="auto"/>
              <w:right w:val="single" w:sz="4" w:space="0" w:color="auto"/>
            </w:tcBorders>
            <w:shd w:val="clear" w:color="auto" w:fill="FFCCCC"/>
            <w:noWrap/>
            <w:vAlign w:val="center"/>
            <w:hideMark/>
          </w:tcPr>
          <w:p w14:paraId="4E62917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1·54</w:t>
            </w:r>
          </w:p>
        </w:tc>
        <w:tc>
          <w:tcPr>
            <w:tcW w:w="897" w:type="dxa"/>
            <w:tcBorders>
              <w:top w:val="nil"/>
              <w:left w:val="nil"/>
              <w:bottom w:val="single" w:sz="4" w:space="0" w:color="auto"/>
              <w:right w:val="single" w:sz="4" w:space="0" w:color="auto"/>
            </w:tcBorders>
            <w:shd w:val="clear" w:color="auto" w:fill="FFCCCC"/>
            <w:noWrap/>
            <w:vAlign w:val="center"/>
            <w:hideMark/>
          </w:tcPr>
          <w:p w14:paraId="36735E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4·67E-03</w:t>
            </w:r>
          </w:p>
        </w:tc>
        <w:tc>
          <w:tcPr>
            <w:tcW w:w="1720" w:type="dxa"/>
            <w:tcBorders>
              <w:top w:val="nil"/>
              <w:left w:val="nil"/>
              <w:bottom w:val="single" w:sz="4" w:space="0" w:color="auto"/>
              <w:right w:val="single" w:sz="4" w:space="0" w:color="auto"/>
            </w:tcBorders>
            <w:shd w:val="clear" w:color="auto" w:fill="FFCCCC"/>
            <w:noWrap/>
            <w:vAlign w:val="center"/>
            <w:hideMark/>
          </w:tcPr>
          <w:p w14:paraId="02FECBF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8FBA078"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2E086EA6"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Thr</w:t>
            </w:r>
            <w:proofErr w:type="spellEnd"/>
            <w:r w:rsidRPr="00BA04D2">
              <w:rPr>
                <w:rFonts w:eastAsia="Times New Roman" w:cs="Times New Roman"/>
                <w:color w:val="000000"/>
                <w:sz w:val="16"/>
                <w:szCs w:val="16"/>
                <w:lang w:eastAsia="en-AU"/>
              </w:rPr>
              <w:t>/Ala/Ala</w:t>
            </w:r>
          </w:p>
        </w:tc>
        <w:tc>
          <w:tcPr>
            <w:tcW w:w="874" w:type="dxa"/>
            <w:tcBorders>
              <w:top w:val="nil"/>
              <w:left w:val="nil"/>
              <w:bottom w:val="single" w:sz="4" w:space="0" w:color="auto"/>
              <w:right w:val="single" w:sz="4" w:space="0" w:color="auto"/>
            </w:tcBorders>
            <w:shd w:val="clear" w:color="auto" w:fill="FFCCCC"/>
            <w:noWrap/>
            <w:vAlign w:val="center"/>
            <w:hideMark/>
          </w:tcPr>
          <w:p w14:paraId="148991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7CA225E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1·83</w:t>
            </w:r>
          </w:p>
        </w:tc>
        <w:tc>
          <w:tcPr>
            <w:tcW w:w="897" w:type="dxa"/>
            <w:tcBorders>
              <w:top w:val="nil"/>
              <w:left w:val="nil"/>
              <w:bottom w:val="single" w:sz="4" w:space="0" w:color="auto"/>
              <w:right w:val="single" w:sz="4" w:space="0" w:color="auto"/>
            </w:tcBorders>
            <w:shd w:val="clear" w:color="auto" w:fill="FFCCCC"/>
            <w:noWrap/>
            <w:vAlign w:val="center"/>
            <w:hideMark/>
          </w:tcPr>
          <w:p w14:paraId="7394F64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7·96E-03</w:t>
            </w:r>
          </w:p>
        </w:tc>
        <w:tc>
          <w:tcPr>
            <w:tcW w:w="1720" w:type="dxa"/>
            <w:tcBorders>
              <w:top w:val="nil"/>
              <w:left w:val="nil"/>
              <w:bottom w:val="single" w:sz="4" w:space="0" w:color="auto"/>
              <w:right w:val="single" w:sz="4" w:space="0" w:color="auto"/>
            </w:tcBorders>
            <w:shd w:val="clear" w:color="auto" w:fill="FFCCCC"/>
            <w:noWrap/>
            <w:vAlign w:val="center"/>
            <w:hideMark/>
          </w:tcPr>
          <w:p w14:paraId="34B904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7304757"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2847F8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gamma-Glutamyl-L-putrescine</w:t>
            </w:r>
          </w:p>
        </w:tc>
        <w:tc>
          <w:tcPr>
            <w:tcW w:w="874" w:type="dxa"/>
            <w:tcBorders>
              <w:top w:val="nil"/>
              <w:left w:val="nil"/>
              <w:bottom w:val="single" w:sz="4" w:space="0" w:color="auto"/>
              <w:right w:val="single" w:sz="4" w:space="0" w:color="auto"/>
            </w:tcBorders>
            <w:shd w:val="clear" w:color="auto" w:fill="FFCCCC"/>
            <w:noWrap/>
            <w:vAlign w:val="center"/>
            <w:hideMark/>
          </w:tcPr>
          <w:p w14:paraId="6C20CF2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C15699</w:t>
            </w:r>
          </w:p>
        </w:tc>
        <w:tc>
          <w:tcPr>
            <w:tcW w:w="1301" w:type="dxa"/>
            <w:tcBorders>
              <w:top w:val="nil"/>
              <w:left w:val="nil"/>
              <w:bottom w:val="single" w:sz="4" w:space="0" w:color="auto"/>
              <w:right w:val="single" w:sz="4" w:space="0" w:color="auto"/>
            </w:tcBorders>
            <w:shd w:val="clear" w:color="auto" w:fill="FFCCCC"/>
            <w:noWrap/>
            <w:vAlign w:val="center"/>
            <w:hideMark/>
          </w:tcPr>
          <w:p w14:paraId="41B8D11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4·71</w:t>
            </w:r>
          </w:p>
        </w:tc>
        <w:tc>
          <w:tcPr>
            <w:tcW w:w="897" w:type="dxa"/>
            <w:tcBorders>
              <w:top w:val="nil"/>
              <w:left w:val="nil"/>
              <w:bottom w:val="single" w:sz="4" w:space="0" w:color="auto"/>
              <w:right w:val="single" w:sz="4" w:space="0" w:color="auto"/>
            </w:tcBorders>
            <w:shd w:val="clear" w:color="auto" w:fill="FFCCCC"/>
            <w:noWrap/>
            <w:vAlign w:val="center"/>
            <w:hideMark/>
          </w:tcPr>
          <w:p w14:paraId="6A3AD8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1·02E-02</w:t>
            </w:r>
          </w:p>
        </w:tc>
        <w:tc>
          <w:tcPr>
            <w:tcW w:w="1720" w:type="dxa"/>
            <w:tcBorders>
              <w:top w:val="nil"/>
              <w:left w:val="nil"/>
              <w:bottom w:val="single" w:sz="4" w:space="0" w:color="auto"/>
              <w:right w:val="single" w:sz="4" w:space="0" w:color="auto"/>
            </w:tcBorders>
            <w:shd w:val="clear" w:color="auto" w:fill="FFCCCC"/>
            <w:noWrap/>
            <w:vAlign w:val="center"/>
            <w:hideMark/>
          </w:tcPr>
          <w:p w14:paraId="6E7EF2A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702332C"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22D97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Histidine </w:t>
            </w:r>
            <w:proofErr w:type="spellStart"/>
            <w:r w:rsidRPr="00BA04D2">
              <w:rPr>
                <w:rFonts w:eastAsia="Times New Roman" w:cs="Times New Roman"/>
                <w:color w:val="000000"/>
                <w:sz w:val="16"/>
                <w:szCs w:val="16"/>
                <w:lang w:eastAsia="en-AU"/>
              </w:rPr>
              <w:t>trimethylbetaine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1A1A84A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C05575</w:t>
            </w:r>
          </w:p>
        </w:tc>
        <w:tc>
          <w:tcPr>
            <w:tcW w:w="1301" w:type="dxa"/>
            <w:tcBorders>
              <w:top w:val="nil"/>
              <w:left w:val="nil"/>
              <w:bottom w:val="single" w:sz="4" w:space="0" w:color="auto"/>
              <w:right w:val="single" w:sz="4" w:space="0" w:color="auto"/>
            </w:tcBorders>
            <w:shd w:val="clear" w:color="auto" w:fill="FFCCCC"/>
            <w:noWrap/>
            <w:vAlign w:val="center"/>
            <w:hideMark/>
          </w:tcPr>
          <w:p w14:paraId="06601B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3·37</w:t>
            </w:r>
          </w:p>
        </w:tc>
        <w:tc>
          <w:tcPr>
            <w:tcW w:w="897" w:type="dxa"/>
            <w:tcBorders>
              <w:top w:val="nil"/>
              <w:left w:val="nil"/>
              <w:bottom w:val="single" w:sz="4" w:space="0" w:color="auto"/>
              <w:right w:val="single" w:sz="4" w:space="0" w:color="auto"/>
            </w:tcBorders>
            <w:shd w:val="clear" w:color="auto" w:fill="FFCCCC"/>
            <w:noWrap/>
            <w:vAlign w:val="center"/>
            <w:hideMark/>
          </w:tcPr>
          <w:p w14:paraId="3018D5C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1·12E-02</w:t>
            </w:r>
          </w:p>
        </w:tc>
        <w:tc>
          <w:tcPr>
            <w:tcW w:w="1720" w:type="dxa"/>
            <w:tcBorders>
              <w:top w:val="nil"/>
              <w:left w:val="nil"/>
              <w:bottom w:val="single" w:sz="4" w:space="0" w:color="auto"/>
              <w:right w:val="single" w:sz="4" w:space="0" w:color="auto"/>
            </w:tcBorders>
            <w:shd w:val="clear" w:color="auto" w:fill="FFCCCC"/>
            <w:noWrap/>
            <w:vAlign w:val="center"/>
            <w:hideMark/>
          </w:tcPr>
          <w:p w14:paraId="43CE28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F8CACBD"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0A7202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Xanthine</w:t>
            </w:r>
          </w:p>
        </w:tc>
        <w:tc>
          <w:tcPr>
            <w:tcW w:w="874" w:type="dxa"/>
            <w:tcBorders>
              <w:top w:val="nil"/>
              <w:left w:val="nil"/>
              <w:bottom w:val="single" w:sz="4" w:space="0" w:color="auto"/>
              <w:right w:val="single" w:sz="4" w:space="0" w:color="auto"/>
            </w:tcBorders>
            <w:shd w:val="clear" w:color="auto" w:fill="FFCCCC"/>
            <w:noWrap/>
            <w:vAlign w:val="center"/>
            <w:hideMark/>
          </w:tcPr>
          <w:p w14:paraId="52C7F8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C00385</w:t>
            </w:r>
          </w:p>
        </w:tc>
        <w:tc>
          <w:tcPr>
            <w:tcW w:w="1301" w:type="dxa"/>
            <w:tcBorders>
              <w:top w:val="nil"/>
              <w:left w:val="nil"/>
              <w:bottom w:val="single" w:sz="4" w:space="0" w:color="auto"/>
              <w:right w:val="single" w:sz="4" w:space="0" w:color="auto"/>
            </w:tcBorders>
            <w:shd w:val="clear" w:color="auto" w:fill="FFCCCC"/>
            <w:noWrap/>
            <w:vAlign w:val="center"/>
            <w:hideMark/>
          </w:tcPr>
          <w:p w14:paraId="5C8CFB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1·90</w:t>
            </w:r>
          </w:p>
        </w:tc>
        <w:tc>
          <w:tcPr>
            <w:tcW w:w="897" w:type="dxa"/>
            <w:tcBorders>
              <w:top w:val="nil"/>
              <w:left w:val="nil"/>
              <w:bottom w:val="single" w:sz="4" w:space="0" w:color="auto"/>
              <w:right w:val="single" w:sz="4" w:space="0" w:color="auto"/>
            </w:tcBorders>
            <w:shd w:val="clear" w:color="auto" w:fill="FFCCCC"/>
            <w:noWrap/>
            <w:vAlign w:val="center"/>
            <w:hideMark/>
          </w:tcPr>
          <w:p w14:paraId="27ABC8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1·32E-02</w:t>
            </w:r>
          </w:p>
        </w:tc>
        <w:tc>
          <w:tcPr>
            <w:tcW w:w="1720" w:type="dxa"/>
            <w:tcBorders>
              <w:top w:val="nil"/>
              <w:left w:val="nil"/>
              <w:bottom w:val="single" w:sz="4" w:space="0" w:color="auto"/>
              <w:right w:val="single" w:sz="4" w:space="0" w:color="auto"/>
            </w:tcBorders>
            <w:shd w:val="clear" w:color="auto" w:fill="FFCCCC"/>
            <w:noWrap/>
            <w:vAlign w:val="center"/>
            <w:hideMark/>
          </w:tcPr>
          <w:p w14:paraId="0445A9B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E877D8E"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2CBD801"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Prolylglycine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712A76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50777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3·51</w:t>
            </w:r>
          </w:p>
        </w:tc>
        <w:tc>
          <w:tcPr>
            <w:tcW w:w="897" w:type="dxa"/>
            <w:tcBorders>
              <w:top w:val="nil"/>
              <w:left w:val="nil"/>
              <w:bottom w:val="single" w:sz="4" w:space="0" w:color="auto"/>
              <w:right w:val="single" w:sz="4" w:space="0" w:color="auto"/>
            </w:tcBorders>
            <w:shd w:val="clear" w:color="auto" w:fill="FFCCCC"/>
            <w:noWrap/>
            <w:vAlign w:val="center"/>
            <w:hideMark/>
          </w:tcPr>
          <w:p w14:paraId="0A90908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1·45E-02</w:t>
            </w:r>
          </w:p>
        </w:tc>
        <w:tc>
          <w:tcPr>
            <w:tcW w:w="1720" w:type="dxa"/>
            <w:tcBorders>
              <w:top w:val="nil"/>
              <w:left w:val="nil"/>
              <w:bottom w:val="single" w:sz="4" w:space="0" w:color="auto"/>
              <w:right w:val="single" w:sz="4" w:space="0" w:color="auto"/>
            </w:tcBorders>
            <w:shd w:val="clear" w:color="auto" w:fill="FFCCCC"/>
            <w:noWrap/>
            <w:vAlign w:val="center"/>
            <w:hideMark/>
          </w:tcPr>
          <w:p w14:paraId="67060F5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6D0EA02"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EE8A19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2-Hydroxy-tricosanoic acid</w:t>
            </w:r>
          </w:p>
        </w:tc>
        <w:tc>
          <w:tcPr>
            <w:tcW w:w="874" w:type="dxa"/>
            <w:tcBorders>
              <w:top w:val="nil"/>
              <w:left w:val="nil"/>
              <w:bottom w:val="single" w:sz="4" w:space="0" w:color="auto"/>
              <w:right w:val="single" w:sz="4" w:space="0" w:color="auto"/>
            </w:tcBorders>
            <w:shd w:val="clear" w:color="auto" w:fill="FFCCCC"/>
            <w:noWrap/>
            <w:vAlign w:val="center"/>
            <w:hideMark/>
          </w:tcPr>
          <w:p w14:paraId="1D8B81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BEC85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1·54</w:t>
            </w:r>
          </w:p>
        </w:tc>
        <w:tc>
          <w:tcPr>
            <w:tcW w:w="897" w:type="dxa"/>
            <w:tcBorders>
              <w:top w:val="nil"/>
              <w:left w:val="nil"/>
              <w:bottom w:val="single" w:sz="4" w:space="0" w:color="auto"/>
              <w:right w:val="single" w:sz="4" w:space="0" w:color="auto"/>
            </w:tcBorders>
            <w:shd w:val="clear" w:color="auto" w:fill="FFCCCC"/>
            <w:noWrap/>
            <w:vAlign w:val="center"/>
            <w:hideMark/>
          </w:tcPr>
          <w:p w14:paraId="0BD0E66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1·68E-02</w:t>
            </w:r>
          </w:p>
        </w:tc>
        <w:tc>
          <w:tcPr>
            <w:tcW w:w="1720" w:type="dxa"/>
            <w:tcBorders>
              <w:top w:val="nil"/>
              <w:left w:val="nil"/>
              <w:bottom w:val="single" w:sz="4" w:space="0" w:color="auto"/>
              <w:right w:val="single" w:sz="4" w:space="0" w:color="auto"/>
            </w:tcBorders>
            <w:shd w:val="clear" w:color="auto" w:fill="FFCCCC"/>
            <w:noWrap/>
            <w:vAlign w:val="center"/>
            <w:hideMark/>
          </w:tcPr>
          <w:p w14:paraId="682321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5F0832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7AE0C9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2-(4-Pyridyl) </w:t>
            </w:r>
            <w:proofErr w:type="spellStart"/>
            <w:r w:rsidRPr="00BA04D2">
              <w:rPr>
                <w:rFonts w:eastAsia="Times New Roman" w:cs="Times New Roman"/>
                <w:color w:val="000000"/>
                <w:sz w:val="16"/>
                <w:szCs w:val="16"/>
                <w:lang w:eastAsia="en-AU"/>
              </w:rPr>
              <w:t>ethanesulfonate</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2B26E49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E1C2A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2·04</w:t>
            </w:r>
          </w:p>
        </w:tc>
        <w:tc>
          <w:tcPr>
            <w:tcW w:w="897" w:type="dxa"/>
            <w:tcBorders>
              <w:top w:val="nil"/>
              <w:left w:val="nil"/>
              <w:bottom w:val="single" w:sz="4" w:space="0" w:color="auto"/>
              <w:right w:val="single" w:sz="4" w:space="0" w:color="auto"/>
            </w:tcBorders>
            <w:shd w:val="clear" w:color="auto" w:fill="FFCCCC"/>
            <w:noWrap/>
            <w:vAlign w:val="center"/>
            <w:hideMark/>
          </w:tcPr>
          <w:p w14:paraId="699772C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1·92E-02</w:t>
            </w:r>
          </w:p>
        </w:tc>
        <w:tc>
          <w:tcPr>
            <w:tcW w:w="1720" w:type="dxa"/>
            <w:tcBorders>
              <w:top w:val="nil"/>
              <w:left w:val="nil"/>
              <w:bottom w:val="single" w:sz="4" w:space="0" w:color="auto"/>
              <w:right w:val="single" w:sz="4" w:space="0" w:color="auto"/>
            </w:tcBorders>
            <w:shd w:val="clear" w:color="auto" w:fill="FFCCCC"/>
            <w:noWrap/>
            <w:vAlign w:val="center"/>
            <w:hideMark/>
          </w:tcPr>
          <w:p w14:paraId="721BF7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A89AAB1"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66E3D4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Gluconolactone</w:t>
            </w:r>
          </w:p>
        </w:tc>
        <w:tc>
          <w:tcPr>
            <w:tcW w:w="874" w:type="dxa"/>
            <w:tcBorders>
              <w:top w:val="nil"/>
              <w:left w:val="nil"/>
              <w:bottom w:val="single" w:sz="4" w:space="0" w:color="auto"/>
              <w:right w:val="single" w:sz="4" w:space="0" w:color="auto"/>
            </w:tcBorders>
            <w:shd w:val="clear" w:color="auto" w:fill="FFCCCC"/>
            <w:noWrap/>
            <w:vAlign w:val="center"/>
            <w:hideMark/>
          </w:tcPr>
          <w:p w14:paraId="4D6A2BD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C00198</w:t>
            </w:r>
          </w:p>
        </w:tc>
        <w:tc>
          <w:tcPr>
            <w:tcW w:w="1301" w:type="dxa"/>
            <w:tcBorders>
              <w:top w:val="nil"/>
              <w:left w:val="nil"/>
              <w:bottom w:val="single" w:sz="4" w:space="0" w:color="auto"/>
              <w:right w:val="single" w:sz="4" w:space="0" w:color="auto"/>
            </w:tcBorders>
            <w:shd w:val="clear" w:color="auto" w:fill="FFCCCC"/>
            <w:noWrap/>
            <w:vAlign w:val="center"/>
            <w:hideMark/>
          </w:tcPr>
          <w:p w14:paraId="7D2136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4·95</w:t>
            </w:r>
          </w:p>
        </w:tc>
        <w:tc>
          <w:tcPr>
            <w:tcW w:w="897" w:type="dxa"/>
            <w:tcBorders>
              <w:top w:val="nil"/>
              <w:left w:val="nil"/>
              <w:bottom w:val="single" w:sz="4" w:space="0" w:color="auto"/>
              <w:right w:val="single" w:sz="4" w:space="0" w:color="auto"/>
            </w:tcBorders>
            <w:shd w:val="clear" w:color="auto" w:fill="FFCCCC"/>
            <w:noWrap/>
            <w:vAlign w:val="center"/>
            <w:hideMark/>
          </w:tcPr>
          <w:p w14:paraId="7E449E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2·29E-02</w:t>
            </w:r>
          </w:p>
        </w:tc>
        <w:tc>
          <w:tcPr>
            <w:tcW w:w="1720" w:type="dxa"/>
            <w:tcBorders>
              <w:top w:val="nil"/>
              <w:left w:val="nil"/>
              <w:bottom w:val="single" w:sz="4" w:space="0" w:color="auto"/>
              <w:right w:val="single" w:sz="4" w:space="0" w:color="auto"/>
            </w:tcBorders>
            <w:shd w:val="clear" w:color="auto" w:fill="FFCCCC"/>
            <w:noWrap/>
            <w:vAlign w:val="center"/>
            <w:hideMark/>
          </w:tcPr>
          <w:p w14:paraId="297BB9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66986BE"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E660DAF"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Eicosenoic</w:t>
            </w:r>
            <w:proofErr w:type="spellEnd"/>
            <w:r w:rsidRPr="00BA04D2">
              <w:rPr>
                <w:rFonts w:eastAsia="Times New Roman" w:cs="Times New Roman"/>
                <w:color w:val="000000"/>
                <w:sz w:val="16"/>
                <w:szCs w:val="16"/>
                <w:lang w:eastAsia="en-AU"/>
              </w:rPr>
              <w:t xml:space="preserve"> acid</w:t>
            </w:r>
          </w:p>
        </w:tc>
        <w:tc>
          <w:tcPr>
            <w:tcW w:w="874" w:type="dxa"/>
            <w:tcBorders>
              <w:top w:val="nil"/>
              <w:left w:val="nil"/>
              <w:bottom w:val="single" w:sz="4" w:space="0" w:color="auto"/>
              <w:right w:val="single" w:sz="4" w:space="0" w:color="auto"/>
            </w:tcBorders>
            <w:shd w:val="clear" w:color="auto" w:fill="FFCCCC"/>
            <w:noWrap/>
            <w:vAlign w:val="center"/>
            <w:hideMark/>
          </w:tcPr>
          <w:p w14:paraId="0C27D40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C16526</w:t>
            </w:r>
          </w:p>
        </w:tc>
        <w:tc>
          <w:tcPr>
            <w:tcW w:w="1301" w:type="dxa"/>
            <w:tcBorders>
              <w:top w:val="nil"/>
              <w:left w:val="nil"/>
              <w:bottom w:val="single" w:sz="4" w:space="0" w:color="auto"/>
              <w:right w:val="single" w:sz="4" w:space="0" w:color="auto"/>
            </w:tcBorders>
            <w:shd w:val="clear" w:color="auto" w:fill="FFCCCC"/>
            <w:noWrap/>
            <w:vAlign w:val="center"/>
            <w:hideMark/>
          </w:tcPr>
          <w:p w14:paraId="6EFF02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1·60</w:t>
            </w:r>
          </w:p>
        </w:tc>
        <w:tc>
          <w:tcPr>
            <w:tcW w:w="897" w:type="dxa"/>
            <w:tcBorders>
              <w:top w:val="nil"/>
              <w:left w:val="nil"/>
              <w:bottom w:val="single" w:sz="4" w:space="0" w:color="auto"/>
              <w:right w:val="single" w:sz="4" w:space="0" w:color="auto"/>
            </w:tcBorders>
            <w:shd w:val="clear" w:color="auto" w:fill="FFCCCC"/>
            <w:noWrap/>
            <w:vAlign w:val="center"/>
            <w:hideMark/>
          </w:tcPr>
          <w:p w14:paraId="48227EF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2·45E-02</w:t>
            </w:r>
          </w:p>
        </w:tc>
        <w:tc>
          <w:tcPr>
            <w:tcW w:w="1720" w:type="dxa"/>
            <w:tcBorders>
              <w:top w:val="nil"/>
              <w:left w:val="nil"/>
              <w:bottom w:val="single" w:sz="4" w:space="0" w:color="auto"/>
              <w:right w:val="single" w:sz="4" w:space="0" w:color="auto"/>
            </w:tcBorders>
            <w:shd w:val="clear" w:color="auto" w:fill="FFCCCC"/>
            <w:noWrap/>
            <w:vAlign w:val="center"/>
            <w:hideMark/>
          </w:tcPr>
          <w:p w14:paraId="6E6CFE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5D90A15"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79631DA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Dephospho</w:t>
            </w:r>
            <w:proofErr w:type="spellEnd"/>
            <w:r w:rsidRPr="00BA04D2">
              <w:rPr>
                <w:rFonts w:eastAsia="Times New Roman" w:cs="Times New Roman"/>
                <w:color w:val="000000"/>
                <w:sz w:val="16"/>
                <w:szCs w:val="16"/>
                <w:lang w:eastAsia="en-AU"/>
              </w:rPr>
              <w:t>-CoA</w:t>
            </w:r>
          </w:p>
        </w:tc>
        <w:tc>
          <w:tcPr>
            <w:tcW w:w="874" w:type="dxa"/>
            <w:tcBorders>
              <w:top w:val="nil"/>
              <w:left w:val="nil"/>
              <w:bottom w:val="single" w:sz="4" w:space="0" w:color="auto"/>
              <w:right w:val="single" w:sz="4" w:space="0" w:color="auto"/>
            </w:tcBorders>
            <w:shd w:val="clear" w:color="auto" w:fill="FFCCCC"/>
            <w:noWrap/>
            <w:vAlign w:val="center"/>
            <w:hideMark/>
          </w:tcPr>
          <w:p w14:paraId="6A74BE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C00882</w:t>
            </w:r>
          </w:p>
        </w:tc>
        <w:tc>
          <w:tcPr>
            <w:tcW w:w="1301" w:type="dxa"/>
            <w:tcBorders>
              <w:top w:val="nil"/>
              <w:left w:val="nil"/>
              <w:bottom w:val="single" w:sz="4" w:space="0" w:color="auto"/>
              <w:right w:val="single" w:sz="4" w:space="0" w:color="auto"/>
            </w:tcBorders>
            <w:shd w:val="clear" w:color="auto" w:fill="FFCCCC"/>
            <w:noWrap/>
            <w:vAlign w:val="center"/>
            <w:hideMark/>
          </w:tcPr>
          <w:p w14:paraId="1BB5398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1·62</w:t>
            </w:r>
          </w:p>
        </w:tc>
        <w:tc>
          <w:tcPr>
            <w:tcW w:w="897" w:type="dxa"/>
            <w:tcBorders>
              <w:top w:val="nil"/>
              <w:left w:val="nil"/>
              <w:bottom w:val="single" w:sz="4" w:space="0" w:color="auto"/>
              <w:right w:val="single" w:sz="4" w:space="0" w:color="auto"/>
            </w:tcBorders>
            <w:shd w:val="clear" w:color="auto" w:fill="FFCCCC"/>
            <w:noWrap/>
            <w:vAlign w:val="center"/>
            <w:hideMark/>
          </w:tcPr>
          <w:p w14:paraId="126DF58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2·60E-02</w:t>
            </w:r>
          </w:p>
        </w:tc>
        <w:tc>
          <w:tcPr>
            <w:tcW w:w="1720" w:type="dxa"/>
            <w:tcBorders>
              <w:top w:val="nil"/>
              <w:left w:val="nil"/>
              <w:bottom w:val="single" w:sz="4" w:space="0" w:color="auto"/>
              <w:right w:val="single" w:sz="4" w:space="0" w:color="auto"/>
            </w:tcBorders>
            <w:shd w:val="clear" w:color="auto" w:fill="FFCCCC"/>
            <w:noWrap/>
            <w:vAlign w:val="center"/>
            <w:hideMark/>
          </w:tcPr>
          <w:p w14:paraId="1F70CF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F881D13"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26497E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Farnesyl phosphate</w:t>
            </w:r>
          </w:p>
        </w:tc>
        <w:tc>
          <w:tcPr>
            <w:tcW w:w="874" w:type="dxa"/>
            <w:tcBorders>
              <w:top w:val="nil"/>
              <w:left w:val="nil"/>
              <w:bottom w:val="single" w:sz="4" w:space="0" w:color="auto"/>
              <w:right w:val="single" w:sz="4" w:space="0" w:color="auto"/>
            </w:tcBorders>
            <w:shd w:val="clear" w:color="auto" w:fill="FFCCCC"/>
            <w:noWrap/>
            <w:vAlign w:val="center"/>
            <w:hideMark/>
          </w:tcPr>
          <w:p w14:paraId="58235A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C20121</w:t>
            </w:r>
          </w:p>
        </w:tc>
        <w:tc>
          <w:tcPr>
            <w:tcW w:w="1301" w:type="dxa"/>
            <w:tcBorders>
              <w:top w:val="nil"/>
              <w:left w:val="nil"/>
              <w:bottom w:val="single" w:sz="4" w:space="0" w:color="auto"/>
              <w:right w:val="single" w:sz="4" w:space="0" w:color="auto"/>
            </w:tcBorders>
            <w:shd w:val="clear" w:color="auto" w:fill="FFCCCC"/>
            <w:noWrap/>
            <w:vAlign w:val="center"/>
            <w:hideMark/>
          </w:tcPr>
          <w:p w14:paraId="5F5FFA1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2·70</w:t>
            </w:r>
          </w:p>
        </w:tc>
        <w:tc>
          <w:tcPr>
            <w:tcW w:w="897" w:type="dxa"/>
            <w:tcBorders>
              <w:top w:val="nil"/>
              <w:left w:val="nil"/>
              <w:bottom w:val="single" w:sz="4" w:space="0" w:color="auto"/>
              <w:right w:val="single" w:sz="4" w:space="0" w:color="auto"/>
            </w:tcBorders>
            <w:shd w:val="clear" w:color="auto" w:fill="FFCCCC"/>
            <w:noWrap/>
            <w:vAlign w:val="center"/>
            <w:hideMark/>
          </w:tcPr>
          <w:p w14:paraId="000A08F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2·97E-02</w:t>
            </w:r>
          </w:p>
        </w:tc>
        <w:tc>
          <w:tcPr>
            <w:tcW w:w="1720" w:type="dxa"/>
            <w:tcBorders>
              <w:top w:val="nil"/>
              <w:left w:val="nil"/>
              <w:bottom w:val="single" w:sz="4" w:space="0" w:color="auto"/>
              <w:right w:val="single" w:sz="4" w:space="0" w:color="auto"/>
            </w:tcBorders>
            <w:shd w:val="clear" w:color="auto" w:fill="FFCCCC"/>
            <w:noWrap/>
            <w:vAlign w:val="center"/>
            <w:hideMark/>
          </w:tcPr>
          <w:p w14:paraId="1C07BA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873253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3D046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5'-Phosphoribosyl-N-formylglycinamide</w:t>
            </w:r>
          </w:p>
        </w:tc>
        <w:tc>
          <w:tcPr>
            <w:tcW w:w="874" w:type="dxa"/>
            <w:tcBorders>
              <w:top w:val="nil"/>
              <w:left w:val="nil"/>
              <w:bottom w:val="single" w:sz="4" w:space="0" w:color="auto"/>
              <w:right w:val="single" w:sz="4" w:space="0" w:color="auto"/>
            </w:tcBorders>
            <w:shd w:val="clear" w:color="auto" w:fill="FFCCCC"/>
            <w:noWrap/>
            <w:vAlign w:val="center"/>
            <w:hideMark/>
          </w:tcPr>
          <w:p w14:paraId="783A26A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C04376</w:t>
            </w:r>
          </w:p>
        </w:tc>
        <w:tc>
          <w:tcPr>
            <w:tcW w:w="1301" w:type="dxa"/>
            <w:tcBorders>
              <w:top w:val="nil"/>
              <w:left w:val="nil"/>
              <w:bottom w:val="single" w:sz="4" w:space="0" w:color="auto"/>
              <w:right w:val="single" w:sz="4" w:space="0" w:color="auto"/>
            </w:tcBorders>
            <w:shd w:val="clear" w:color="auto" w:fill="FFCCCC"/>
            <w:noWrap/>
            <w:vAlign w:val="center"/>
            <w:hideMark/>
          </w:tcPr>
          <w:p w14:paraId="69E8D2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1·65</w:t>
            </w:r>
          </w:p>
        </w:tc>
        <w:tc>
          <w:tcPr>
            <w:tcW w:w="897" w:type="dxa"/>
            <w:tcBorders>
              <w:top w:val="nil"/>
              <w:left w:val="nil"/>
              <w:bottom w:val="single" w:sz="4" w:space="0" w:color="auto"/>
              <w:right w:val="single" w:sz="4" w:space="0" w:color="auto"/>
            </w:tcBorders>
            <w:shd w:val="clear" w:color="auto" w:fill="FFCCCC"/>
            <w:noWrap/>
            <w:vAlign w:val="center"/>
            <w:hideMark/>
          </w:tcPr>
          <w:p w14:paraId="23E99E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3·05E-02</w:t>
            </w:r>
          </w:p>
        </w:tc>
        <w:tc>
          <w:tcPr>
            <w:tcW w:w="1720" w:type="dxa"/>
            <w:tcBorders>
              <w:top w:val="nil"/>
              <w:left w:val="nil"/>
              <w:bottom w:val="single" w:sz="4" w:space="0" w:color="auto"/>
              <w:right w:val="single" w:sz="4" w:space="0" w:color="auto"/>
            </w:tcBorders>
            <w:shd w:val="clear" w:color="auto" w:fill="FFCCCC"/>
            <w:noWrap/>
            <w:vAlign w:val="center"/>
            <w:hideMark/>
          </w:tcPr>
          <w:p w14:paraId="546D19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6B42792"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746737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2-Amino-4-methyl-5-hydroxyethylthiazole</w:t>
            </w:r>
          </w:p>
        </w:tc>
        <w:tc>
          <w:tcPr>
            <w:tcW w:w="874" w:type="dxa"/>
            <w:tcBorders>
              <w:top w:val="nil"/>
              <w:left w:val="nil"/>
              <w:bottom w:val="single" w:sz="4" w:space="0" w:color="auto"/>
              <w:right w:val="single" w:sz="4" w:space="0" w:color="auto"/>
            </w:tcBorders>
            <w:shd w:val="clear" w:color="auto" w:fill="FFCCCC"/>
            <w:noWrap/>
            <w:vAlign w:val="center"/>
            <w:hideMark/>
          </w:tcPr>
          <w:p w14:paraId="36DB1D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F07B3C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1·93</w:t>
            </w:r>
          </w:p>
        </w:tc>
        <w:tc>
          <w:tcPr>
            <w:tcW w:w="897" w:type="dxa"/>
            <w:tcBorders>
              <w:top w:val="nil"/>
              <w:left w:val="nil"/>
              <w:bottom w:val="single" w:sz="4" w:space="0" w:color="auto"/>
              <w:right w:val="single" w:sz="4" w:space="0" w:color="auto"/>
            </w:tcBorders>
            <w:shd w:val="clear" w:color="auto" w:fill="FFCCCC"/>
            <w:noWrap/>
            <w:vAlign w:val="center"/>
            <w:hideMark/>
          </w:tcPr>
          <w:p w14:paraId="3589CC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3·25E-02</w:t>
            </w:r>
          </w:p>
        </w:tc>
        <w:tc>
          <w:tcPr>
            <w:tcW w:w="1720" w:type="dxa"/>
            <w:tcBorders>
              <w:top w:val="nil"/>
              <w:left w:val="nil"/>
              <w:bottom w:val="single" w:sz="4" w:space="0" w:color="auto"/>
              <w:right w:val="single" w:sz="4" w:space="0" w:color="auto"/>
            </w:tcBorders>
            <w:shd w:val="clear" w:color="auto" w:fill="FFCCCC"/>
            <w:noWrap/>
            <w:vAlign w:val="center"/>
            <w:hideMark/>
          </w:tcPr>
          <w:p w14:paraId="02822AE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3EEA521"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85EF57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Phosphoribosylformimino</w:t>
            </w:r>
            <w:proofErr w:type="spellEnd"/>
            <w:r w:rsidRPr="00BA04D2">
              <w:rPr>
                <w:rFonts w:eastAsia="Times New Roman" w:cs="Times New Roman"/>
                <w:color w:val="000000"/>
                <w:sz w:val="16"/>
                <w:szCs w:val="16"/>
                <w:lang w:eastAsia="en-AU"/>
              </w:rPr>
              <w:t xml:space="preserve"> AICAR-phosphate</w:t>
            </w:r>
          </w:p>
        </w:tc>
        <w:tc>
          <w:tcPr>
            <w:tcW w:w="874" w:type="dxa"/>
            <w:tcBorders>
              <w:top w:val="nil"/>
              <w:left w:val="nil"/>
              <w:bottom w:val="single" w:sz="4" w:space="0" w:color="auto"/>
              <w:right w:val="single" w:sz="4" w:space="0" w:color="auto"/>
            </w:tcBorders>
            <w:shd w:val="clear" w:color="auto" w:fill="FFCCCC"/>
            <w:noWrap/>
            <w:vAlign w:val="center"/>
            <w:hideMark/>
          </w:tcPr>
          <w:p w14:paraId="4DFBB68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C04896</w:t>
            </w:r>
          </w:p>
        </w:tc>
        <w:tc>
          <w:tcPr>
            <w:tcW w:w="1301" w:type="dxa"/>
            <w:tcBorders>
              <w:top w:val="nil"/>
              <w:left w:val="nil"/>
              <w:bottom w:val="single" w:sz="4" w:space="0" w:color="auto"/>
              <w:right w:val="single" w:sz="4" w:space="0" w:color="auto"/>
            </w:tcBorders>
            <w:shd w:val="clear" w:color="auto" w:fill="FFCCCC"/>
            <w:noWrap/>
            <w:vAlign w:val="center"/>
            <w:hideMark/>
          </w:tcPr>
          <w:p w14:paraId="4C95A9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3·10</w:t>
            </w:r>
          </w:p>
        </w:tc>
        <w:tc>
          <w:tcPr>
            <w:tcW w:w="897" w:type="dxa"/>
            <w:tcBorders>
              <w:top w:val="nil"/>
              <w:left w:val="nil"/>
              <w:bottom w:val="single" w:sz="4" w:space="0" w:color="auto"/>
              <w:right w:val="single" w:sz="4" w:space="0" w:color="auto"/>
            </w:tcBorders>
            <w:shd w:val="clear" w:color="auto" w:fill="FFCCCC"/>
            <w:noWrap/>
            <w:vAlign w:val="center"/>
            <w:hideMark/>
          </w:tcPr>
          <w:p w14:paraId="2484A7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3·49E-02</w:t>
            </w:r>
          </w:p>
        </w:tc>
        <w:tc>
          <w:tcPr>
            <w:tcW w:w="1720" w:type="dxa"/>
            <w:tcBorders>
              <w:top w:val="nil"/>
              <w:left w:val="nil"/>
              <w:bottom w:val="single" w:sz="4" w:space="0" w:color="auto"/>
              <w:right w:val="single" w:sz="4" w:space="0" w:color="auto"/>
            </w:tcBorders>
            <w:shd w:val="clear" w:color="auto" w:fill="FFCCCC"/>
            <w:noWrap/>
            <w:vAlign w:val="center"/>
            <w:hideMark/>
          </w:tcPr>
          <w:p w14:paraId="101EAD6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68238D7"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7541A7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Ala/Ala/Ser</w:t>
            </w:r>
          </w:p>
        </w:tc>
        <w:tc>
          <w:tcPr>
            <w:tcW w:w="874" w:type="dxa"/>
            <w:tcBorders>
              <w:top w:val="nil"/>
              <w:left w:val="nil"/>
              <w:bottom w:val="single" w:sz="4" w:space="0" w:color="auto"/>
              <w:right w:val="single" w:sz="4" w:space="0" w:color="auto"/>
            </w:tcBorders>
            <w:shd w:val="clear" w:color="auto" w:fill="FFCCCC"/>
            <w:noWrap/>
            <w:vAlign w:val="center"/>
            <w:hideMark/>
          </w:tcPr>
          <w:p w14:paraId="72C867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D2F44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3·01</w:t>
            </w:r>
          </w:p>
        </w:tc>
        <w:tc>
          <w:tcPr>
            <w:tcW w:w="897" w:type="dxa"/>
            <w:tcBorders>
              <w:top w:val="nil"/>
              <w:left w:val="nil"/>
              <w:bottom w:val="single" w:sz="4" w:space="0" w:color="auto"/>
              <w:right w:val="single" w:sz="4" w:space="0" w:color="auto"/>
            </w:tcBorders>
            <w:shd w:val="clear" w:color="auto" w:fill="FFCCCC"/>
            <w:noWrap/>
            <w:vAlign w:val="center"/>
            <w:hideMark/>
          </w:tcPr>
          <w:p w14:paraId="695DC2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3·55E-02</w:t>
            </w:r>
          </w:p>
        </w:tc>
        <w:tc>
          <w:tcPr>
            <w:tcW w:w="1720" w:type="dxa"/>
            <w:tcBorders>
              <w:top w:val="nil"/>
              <w:left w:val="nil"/>
              <w:bottom w:val="single" w:sz="4" w:space="0" w:color="auto"/>
              <w:right w:val="single" w:sz="4" w:space="0" w:color="auto"/>
            </w:tcBorders>
            <w:shd w:val="clear" w:color="auto" w:fill="FFCCCC"/>
            <w:noWrap/>
            <w:vAlign w:val="center"/>
            <w:hideMark/>
          </w:tcPr>
          <w:p w14:paraId="4CF3F8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A6F7B42"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0CCB74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DL-2-Aminooctanoic acid</w:t>
            </w:r>
          </w:p>
        </w:tc>
        <w:tc>
          <w:tcPr>
            <w:tcW w:w="874" w:type="dxa"/>
            <w:tcBorders>
              <w:top w:val="nil"/>
              <w:left w:val="nil"/>
              <w:bottom w:val="single" w:sz="4" w:space="0" w:color="auto"/>
              <w:right w:val="single" w:sz="4" w:space="0" w:color="auto"/>
            </w:tcBorders>
            <w:shd w:val="clear" w:color="auto" w:fill="FFCCCC"/>
            <w:noWrap/>
            <w:vAlign w:val="center"/>
            <w:hideMark/>
          </w:tcPr>
          <w:p w14:paraId="744D07D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4A32600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8·07</w:t>
            </w:r>
          </w:p>
        </w:tc>
        <w:tc>
          <w:tcPr>
            <w:tcW w:w="897" w:type="dxa"/>
            <w:tcBorders>
              <w:top w:val="nil"/>
              <w:left w:val="nil"/>
              <w:bottom w:val="single" w:sz="4" w:space="0" w:color="auto"/>
              <w:right w:val="single" w:sz="4" w:space="0" w:color="auto"/>
            </w:tcBorders>
            <w:shd w:val="clear" w:color="auto" w:fill="FFCCCC"/>
            <w:noWrap/>
            <w:vAlign w:val="center"/>
            <w:hideMark/>
          </w:tcPr>
          <w:p w14:paraId="099ACAE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3·60E-02</w:t>
            </w:r>
          </w:p>
        </w:tc>
        <w:tc>
          <w:tcPr>
            <w:tcW w:w="1720" w:type="dxa"/>
            <w:tcBorders>
              <w:top w:val="nil"/>
              <w:left w:val="nil"/>
              <w:bottom w:val="single" w:sz="4" w:space="0" w:color="auto"/>
              <w:right w:val="single" w:sz="4" w:space="0" w:color="auto"/>
            </w:tcBorders>
            <w:shd w:val="clear" w:color="auto" w:fill="FFCCCC"/>
            <w:noWrap/>
            <w:vAlign w:val="center"/>
            <w:hideMark/>
          </w:tcPr>
          <w:p w14:paraId="1265E78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828E7B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1D877A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12a-Hydroxyerythynone</w:t>
            </w:r>
          </w:p>
        </w:tc>
        <w:tc>
          <w:tcPr>
            <w:tcW w:w="874" w:type="dxa"/>
            <w:tcBorders>
              <w:top w:val="nil"/>
              <w:left w:val="nil"/>
              <w:bottom w:val="single" w:sz="4" w:space="0" w:color="auto"/>
              <w:right w:val="single" w:sz="4" w:space="0" w:color="auto"/>
            </w:tcBorders>
            <w:shd w:val="clear" w:color="auto" w:fill="FFCCCC"/>
            <w:noWrap/>
            <w:vAlign w:val="center"/>
            <w:hideMark/>
          </w:tcPr>
          <w:p w14:paraId="78742C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1BE944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1·57</w:t>
            </w:r>
          </w:p>
        </w:tc>
        <w:tc>
          <w:tcPr>
            <w:tcW w:w="897" w:type="dxa"/>
            <w:tcBorders>
              <w:top w:val="nil"/>
              <w:left w:val="nil"/>
              <w:bottom w:val="single" w:sz="4" w:space="0" w:color="auto"/>
              <w:right w:val="single" w:sz="4" w:space="0" w:color="auto"/>
            </w:tcBorders>
            <w:shd w:val="clear" w:color="auto" w:fill="FFCCCC"/>
            <w:noWrap/>
            <w:vAlign w:val="center"/>
            <w:hideMark/>
          </w:tcPr>
          <w:p w14:paraId="5EE711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3·69E-02</w:t>
            </w:r>
          </w:p>
        </w:tc>
        <w:tc>
          <w:tcPr>
            <w:tcW w:w="1720" w:type="dxa"/>
            <w:tcBorders>
              <w:top w:val="nil"/>
              <w:left w:val="nil"/>
              <w:bottom w:val="single" w:sz="4" w:space="0" w:color="auto"/>
              <w:right w:val="single" w:sz="4" w:space="0" w:color="auto"/>
            </w:tcBorders>
            <w:shd w:val="clear" w:color="auto" w:fill="FFCCCC"/>
            <w:noWrap/>
            <w:vAlign w:val="center"/>
            <w:hideMark/>
          </w:tcPr>
          <w:p w14:paraId="618CF89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6941B29"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544DEF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Ala-Asp-</w:t>
            </w:r>
            <w:proofErr w:type="spellStart"/>
            <w:r w:rsidRPr="00BA04D2">
              <w:rPr>
                <w:rFonts w:eastAsia="Times New Roman" w:cs="Times New Roman"/>
                <w:color w:val="000000"/>
                <w:sz w:val="16"/>
                <w:szCs w:val="16"/>
                <w:lang w:eastAsia="en-AU"/>
              </w:rPr>
              <w:t>Gly</w:t>
            </w:r>
            <w:proofErr w:type="spellEnd"/>
          </w:p>
        </w:tc>
        <w:tc>
          <w:tcPr>
            <w:tcW w:w="874" w:type="dxa"/>
            <w:tcBorders>
              <w:top w:val="nil"/>
              <w:left w:val="nil"/>
              <w:bottom w:val="single" w:sz="4" w:space="0" w:color="auto"/>
              <w:right w:val="single" w:sz="4" w:space="0" w:color="auto"/>
            </w:tcBorders>
            <w:shd w:val="clear" w:color="auto" w:fill="FFCCCC"/>
            <w:noWrap/>
            <w:vAlign w:val="center"/>
            <w:hideMark/>
          </w:tcPr>
          <w:p w14:paraId="4CE83A2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040B3A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1·85</w:t>
            </w:r>
          </w:p>
        </w:tc>
        <w:tc>
          <w:tcPr>
            <w:tcW w:w="897" w:type="dxa"/>
            <w:tcBorders>
              <w:top w:val="nil"/>
              <w:left w:val="nil"/>
              <w:bottom w:val="single" w:sz="4" w:space="0" w:color="auto"/>
              <w:right w:val="single" w:sz="4" w:space="0" w:color="auto"/>
            </w:tcBorders>
            <w:shd w:val="clear" w:color="auto" w:fill="FFCCCC"/>
            <w:noWrap/>
            <w:vAlign w:val="center"/>
            <w:hideMark/>
          </w:tcPr>
          <w:p w14:paraId="3DCADF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3·95E-02</w:t>
            </w:r>
          </w:p>
        </w:tc>
        <w:tc>
          <w:tcPr>
            <w:tcW w:w="1720" w:type="dxa"/>
            <w:tcBorders>
              <w:top w:val="nil"/>
              <w:left w:val="nil"/>
              <w:bottom w:val="single" w:sz="4" w:space="0" w:color="auto"/>
              <w:right w:val="single" w:sz="4" w:space="0" w:color="auto"/>
            </w:tcBorders>
            <w:shd w:val="clear" w:color="auto" w:fill="FFCCCC"/>
            <w:noWrap/>
            <w:vAlign w:val="center"/>
            <w:hideMark/>
          </w:tcPr>
          <w:p w14:paraId="2AFF134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399F453"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4AE2B17C"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Ureidopropionic</w:t>
            </w:r>
            <w:proofErr w:type="spellEnd"/>
            <w:r w:rsidRPr="00BA04D2">
              <w:rPr>
                <w:rFonts w:eastAsia="Times New Roman" w:cs="Times New Roman"/>
                <w:color w:val="000000"/>
                <w:sz w:val="16"/>
                <w:szCs w:val="16"/>
                <w:lang w:eastAsia="en-AU"/>
              </w:rPr>
              <w:t xml:space="preserve"> acid</w:t>
            </w:r>
          </w:p>
        </w:tc>
        <w:tc>
          <w:tcPr>
            <w:tcW w:w="874" w:type="dxa"/>
            <w:tcBorders>
              <w:top w:val="nil"/>
              <w:left w:val="nil"/>
              <w:bottom w:val="single" w:sz="4" w:space="0" w:color="auto"/>
              <w:right w:val="single" w:sz="4" w:space="0" w:color="auto"/>
            </w:tcBorders>
            <w:shd w:val="clear" w:color="auto" w:fill="FFCCCC"/>
            <w:noWrap/>
            <w:vAlign w:val="center"/>
            <w:hideMark/>
          </w:tcPr>
          <w:p w14:paraId="75BFC7B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C02642</w:t>
            </w:r>
          </w:p>
        </w:tc>
        <w:tc>
          <w:tcPr>
            <w:tcW w:w="1301" w:type="dxa"/>
            <w:tcBorders>
              <w:top w:val="nil"/>
              <w:left w:val="nil"/>
              <w:bottom w:val="single" w:sz="4" w:space="0" w:color="auto"/>
              <w:right w:val="single" w:sz="4" w:space="0" w:color="auto"/>
            </w:tcBorders>
            <w:shd w:val="clear" w:color="auto" w:fill="FFCCCC"/>
            <w:noWrap/>
            <w:vAlign w:val="center"/>
            <w:hideMark/>
          </w:tcPr>
          <w:p w14:paraId="595DF0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1·76</w:t>
            </w:r>
          </w:p>
        </w:tc>
        <w:tc>
          <w:tcPr>
            <w:tcW w:w="897" w:type="dxa"/>
            <w:tcBorders>
              <w:top w:val="nil"/>
              <w:left w:val="nil"/>
              <w:bottom w:val="single" w:sz="4" w:space="0" w:color="auto"/>
              <w:right w:val="single" w:sz="4" w:space="0" w:color="auto"/>
            </w:tcBorders>
            <w:shd w:val="clear" w:color="auto" w:fill="FFCCCC"/>
            <w:noWrap/>
            <w:vAlign w:val="center"/>
            <w:hideMark/>
          </w:tcPr>
          <w:p w14:paraId="03E803D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4·03E-02</w:t>
            </w:r>
          </w:p>
        </w:tc>
        <w:tc>
          <w:tcPr>
            <w:tcW w:w="1720" w:type="dxa"/>
            <w:tcBorders>
              <w:top w:val="nil"/>
              <w:left w:val="nil"/>
              <w:bottom w:val="single" w:sz="4" w:space="0" w:color="auto"/>
              <w:right w:val="single" w:sz="4" w:space="0" w:color="auto"/>
            </w:tcBorders>
            <w:shd w:val="clear" w:color="auto" w:fill="FFCCCC"/>
            <w:noWrap/>
            <w:vAlign w:val="center"/>
            <w:hideMark/>
          </w:tcPr>
          <w:p w14:paraId="76E7BF1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3C56FB5"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43EE57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w:t>
            </w:r>
            <w:proofErr w:type="spellStart"/>
            <w:r w:rsidRPr="00BA04D2">
              <w:rPr>
                <w:rFonts w:eastAsia="Times New Roman" w:cs="Times New Roman"/>
                <w:color w:val="000000"/>
                <w:sz w:val="16"/>
                <w:szCs w:val="16"/>
                <w:lang w:eastAsia="en-AU"/>
              </w:rPr>
              <w:t>galactopyranosyl</w:t>
            </w:r>
            <w:proofErr w:type="spellEnd"/>
            <w:r w:rsidRPr="00BA04D2">
              <w:rPr>
                <w:rFonts w:eastAsia="Times New Roman" w:cs="Times New Roman"/>
                <w:color w:val="000000"/>
                <w:sz w:val="16"/>
                <w:szCs w:val="16"/>
                <w:lang w:eastAsia="en-AU"/>
              </w:rPr>
              <w:t xml:space="preserve"> trimethylammonium bromide</w:t>
            </w:r>
          </w:p>
        </w:tc>
        <w:tc>
          <w:tcPr>
            <w:tcW w:w="874" w:type="dxa"/>
            <w:tcBorders>
              <w:top w:val="nil"/>
              <w:left w:val="nil"/>
              <w:bottom w:val="single" w:sz="4" w:space="0" w:color="auto"/>
              <w:right w:val="single" w:sz="4" w:space="0" w:color="auto"/>
            </w:tcBorders>
            <w:shd w:val="clear" w:color="auto" w:fill="FFCCCC"/>
            <w:noWrap/>
            <w:vAlign w:val="center"/>
            <w:hideMark/>
          </w:tcPr>
          <w:p w14:paraId="6BF549B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3C18C7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7·15</w:t>
            </w:r>
          </w:p>
        </w:tc>
        <w:tc>
          <w:tcPr>
            <w:tcW w:w="897" w:type="dxa"/>
            <w:tcBorders>
              <w:top w:val="nil"/>
              <w:left w:val="nil"/>
              <w:bottom w:val="single" w:sz="4" w:space="0" w:color="auto"/>
              <w:right w:val="single" w:sz="4" w:space="0" w:color="auto"/>
            </w:tcBorders>
            <w:shd w:val="clear" w:color="auto" w:fill="FFCCCC"/>
            <w:noWrap/>
            <w:vAlign w:val="center"/>
            <w:hideMark/>
          </w:tcPr>
          <w:p w14:paraId="1DB49A8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4·04E-02</w:t>
            </w:r>
          </w:p>
        </w:tc>
        <w:tc>
          <w:tcPr>
            <w:tcW w:w="1720" w:type="dxa"/>
            <w:tcBorders>
              <w:top w:val="nil"/>
              <w:left w:val="nil"/>
              <w:bottom w:val="single" w:sz="4" w:space="0" w:color="auto"/>
              <w:right w:val="single" w:sz="4" w:space="0" w:color="auto"/>
            </w:tcBorders>
            <w:shd w:val="clear" w:color="auto" w:fill="FFCCCC"/>
            <w:noWrap/>
            <w:vAlign w:val="center"/>
            <w:hideMark/>
          </w:tcPr>
          <w:p w14:paraId="3498C4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5AB62B1"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285B64A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2-Acetyl-4,5-dihydrothiazole</w:t>
            </w:r>
          </w:p>
        </w:tc>
        <w:tc>
          <w:tcPr>
            <w:tcW w:w="874" w:type="dxa"/>
            <w:tcBorders>
              <w:top w:val="nil"/>
              <w:left w:val="nil"/>
              <w:bottom w:val="single" w:sz="4" w:space="0" w:color="auto"/>
              <w:right w:val="single" w:sz="4" w:space="0" w:color="auto"/>
            </w:tcBorders>
            <w:shd w:val="clear" w:color="auto" w:fill="FFCCCC"/>
            <w:noWrap/>
            <w:vAlign w:val="center"/>
            <w:hideMark/>
          </w:tcPr>
          <w:p w14:paraId="5530EB6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50C2AF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3·55</w:t>
            </w:r>
          </w:p>
        </w:tc>
        <w:tc>
          <w:tcPr>
            <w:tcW w:w="897" w:type="dxa"/>
            <w:tcBorders>
              <w:top w:val="nil"/>
              <w:left w:val="nil"/>
              <w:bottom w:val="single" w:sz="4" w:space="0" w:color="auto"/>
              <w:right w:val="single" w:sz="4" w:space="0" w:color="auto"/>
            </w:tcBorders>
            <w:shd w:val="clear" w:color="auto" w:fill="FFCCCC"/>
            <w:noWrap/>
            <w:vAlign w:val="center"/>
            <w:hideMark/>
          </w:tcPr>
          <w:p w14:paraId="57C50B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4·11E-02</w:t>
            </w:r>
          </w:p>
        </w:tc>
        <w:tc>
          <w:tcPr>
            <w:tcW w:w="1720" w:type="dxa"/>
            <w:tcBorders>
              <w:top w:val="nil"/>
              <w:left w:val="nil"/>
              <w:bottom w:val="single" w:sz="4" w:space="0" w:color="auto"/>
              <w:right w:val="single" w:sz="4" w:space="0" w:color="auto"/>
            </w:tcBorders>
            <w:shd w:val="clear" w:color="auto" w:fill="FFCCCC"/>
            <w:noWrap/>
            <w:vAlign w:val="center"/>
            <w:hideMark/>
          </w:tcPr>
          <w:p w14:paraId="3D5D0C3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A18C409"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0AF5F4AC"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Homocitric</w:t>
            </w:r>
            <w:proofErr w:type="spellEnd"/>
            <w:r w:rsidRPr="00BA04D2">
              <w:rPr>
                <w:rFonts w:eastAsia="Times New Roman" w:cs="Times New Roman"/>
                <w:color w:val="000000"/>
                <w:sz w:val="16"/>
                <w:szCs w:val="16"/>
                <w:lang w:eastAsia="en-AU"/>
              </w:rPr>
              <w:t xml:space="preserve"> acid</w:t>
            </w:r>
          </w:p>
        </w:tc>
        <w:tc>
          <w:tcPr>
            <w:tcW w:w="874" w:type="dxa"/>
            <w:tcBorders>
              <w:top w:val="nil"/>
              <w:left w:val="nil"/>
              <w:bottom w:val="single" w:sz="4" w:space="0" w:color="auto"/>
              <w:right w:val="single" w:sz="4" w:space="0" w:color="auto"/>
            </w:tcBorders>
            <w:shd w:val="clear" w:color="auto" w:fill="FFCCCC"/>
            <w:noWrap/>
            <w:vAlign w:val="center"/>
            <w:hideMark/>
          </w:tcPr>
          <w:p w14:paraId="18B8323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C01251</w:t>
            </w:r>
          </w:p>
        </w:tc>
        <w:tc>
          <w:tcPr>
            <w:tcW w:w="1301" w:type="dxa"/>
            <w:tcBorders>
              <w:top w:val="nil"/>
              <w:left w:val="nil"/>
              <w:bottom w:val="single" w:sz="4" w:space="0" w:color="auto"/>
              <w:right w:val="single" w:sz="4" w:space="0" w:color="auto"/>
            </w:tcBorders>
            <w:shd w:val="clear" w:color="auto" w:fill="FFCCCC"/>
            <w:noWrap/>
            <w:vAlign w:val="center"/>
            <w:hideMark/>
          </w:tcPr>
          <w:p w14:paraId="6D6A55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1·59</w:t>
            </w:r>
          </w:p>
        </w:tc>
        <w:tc>
          <w:tcPr>
            <w:tcW w:w="897" w:type="dxa"/>
            <w:tcBorders>
              <w:top w:val="nil"/>
              <w:left w:val="nil"/>
              <w:bottom w:val="single" w:sz="4" w:space="0" w:color="auto"/>
              <w:right w:val="single" w:sz="4" w:space="0" w:color="auto"/>
            </w:tcBorders>
            <w:shd w:val="clear" w:color="auto" w:fill="FFCCCC"/>
            <w:noWrap/>
            <w:vAlign w:val="center"/>
            <w:hideMark/>
          </w:tcPr>
          <w:p w14:paraId="23505F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4·52E-02</w:t>
            </w:r>
          </w:p>
        </w:tc>
        <w:tc>
          <w:tcPr>
            <w:tcW w:w="1720" w:type="dxa"/>
            <w:tcBorders>
              <w:top w:val="nil"/>
              <w:left w:val="nil"/>
              <w:bottom w:val="single" w:sz="4" w:space="0" w:color="auto"/>
              <w:right w:val="single" w:sz="4" w:space="0" w:color="auto"/>
            </w:tcBorders>
            <w:shd w:val="clear" w:color="auto" w:fill="FFCCCC"/>
            <w:noWrap/>
            <w:vAlign w:val="center"/>
            <w:hideMark/>
          </w:tcPr>
          <w:p w14:paraId="5D6C983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BDFA352"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132554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PG (22:6/20:4)</w:t>
            </w:r>
          </w:p>
        </w:tc>
        <w:tc>
          <w:tcPr>
            <w:tcW w:w="874" w:type="dxa"/>
            <w:tcBorders>
              <w:top w:val="nil"/>
              <w:left w:val="nil"/>
              <w:bottom w:val="single" w:sz="4" w:space="0" w:color="auto"/>
              <w:right w:val="single" w:sz="4" w:space="0" w:color="auto"/>
            </w:tcBorders>
            <w:shd w:val="clear" w:color="auto" w:fill="FFCCCC"/>
            <w:noWrap/>
            <w:vAlign w:val="center"/>
            <w:hideMark/>
          </w:tcPr>
          <w:p w14:paraId="1A22CF2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4472C53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1·66</w:t>
            </w:r>
          </w:p>
        </w:tc>
        <w:tc>
          <w:tcPr>
            <w:tcW w:w="897" w:type="dxa"/>
            <w:tcBorders>
              <w:top w:val="nil"/>
              <w:left w:val="nil"/>
              <w:bottom w:val="single" w:sz="4" w:space="0" w:color="auto"/>
              <w:right w:val="single" w:sz="4" w:space="0" w:color="auto"/>
            </w:tcBorders>
            <w:shd w:val="clear" w:color="auto" w:fill="FFCCCC"/>
            <w:noWrap/>
            <w:vAlign w:val="center"/>
            <w:hideMark/>
          </w:tcPr>
          <w:p w14:paraId="0203CC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4·61E-02</w:t>
            </w:r>
          </w:p>
        </w:tc>
        <w:tc>
          <w:tcPr>
            <w:tcW w:w="1720" w:type="dxa"/>
            <w:tcBorders>
              <w:top w:val="nil"/>
              <w:left w:val="nil"/>
              <w:bottom w:val="single" w:sz="4" w:space="0" w:color="auto"/>
              <w:right w:val="single" w:sz="4" w:space="0" w:color="auto"/>
            </w:tcBorders>
            <w:shd w:val="clear" w:color="auto" w:fill="FFCCCC"/>
            <w:noWrap/>
            <w:vAlign w:val="center"/>
            <w:hideMark/>
          </w:tcPr>
          <w:p w14:paraId="66C76E4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FD2615C"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1D894A5F"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Tiglic</w:t>
            </w:r>
            <w:proofErr w:type="spellEnd"/>
            <w:r w:rsidRPr="00BA04D2">
              <w:rPr>
                <w:rFonts w:eastAsia="Times New Roman" w:cs="Times New Roman"/>
                <w:color w:val="000000"/>
                <w:sz w:val="16"/>
                <w:szCs w:val="16"/>
                <w:lang w:eastAsia="en-AU"/>
              </w:rPr>
              <w:t xml:space="preserve"> acid</w:t>
            </w:r>
          </w:p>
        </w:tc>
        <w:tc>
          <w:tcPr>
            <w:tcW w:w="874" w:type="dxa"/>
            <w:tcBorders>
              <w:top w:val="nil"/>
              <w:left w:val="nil"/>
              <w:bottom w:val="single" w:sz="4" w:space="0" w:color="auto"/>
              <w:right w:val="single" w:sz="4" w:space="0" w:color="auto"/>
            </w:tcBorders>
            <w:shd w:val="clear" w:color="auto" w:fill="FFCCCC"/>
            <w:noWrap/>
            <w:vAlign w:val="center"/>
            <w:hideMark/>
          </w:tcPr>
          <w:p w14:paraId="36F6E03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C08279</w:t>
            </w:r>
          </w:p>
        </w:tc>
        <w:tc>
          <w:tcPr>
            <w:tcW w:w="1301" w:type="dxa"/>
            <w:tcBorders>
              <w:top w:val="nil"/>
              <w:left w:val="nil"/>
              <w:bottom w:val="single" w:sz="4" w:space="0" w:color="auto"/>
              <w:right w:val="single" w:sz="4" w:space="0" w:color="auto"/>
            </w:tcBorders>
            <w:shd w:val="clear" w:color="auto" w:fill="FFCCCC"/>
            <w:noWrap/>
            <w:vAlign w:val="center"/>
            <w:hideMark/>
          </w:tcPr>
          <w:p w14:paraId="3804D0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3·94</w:t>
            </w:r>
          </w:p>
        </w:tc>
        <w:tc>
          <w:tcPr>
            <w:tcW w:w="897" w:type="dxa"/>
            <w:tcBorders>
              <w:top w:val="nil"/>
              <w:left w:val="nil"/>
              <w:bottom w:val="single" w:sz="4" w:space="0" w:color="auto"/>
              <w:right w:val="single" w:sz="4" w:space="0" w:color="auto"/>
            </w:tcBorders>
            <w:shd w:val="clear" w:color="auto" w:fill="FFCCCC"/>
            <w:noWrap/>
            <w:vAlign w:val="center"/>
            <w:hideMark/>
          </w:tcPr>
          <w:p w14:paraId="2BACCC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4·86E-02</w:t>
            </w:r>
          </w:p>
        </w:tc>
        <w:tc>
          <w:tcPr>
            <w:tcW w:w="1720" w:type="dxa"/>
            <w:tcBorders>
              <w:top w:val="nil"/>
              <w:left w:val="nil"/>
              <w:bottom w:val="single" w:sz="4" w:space="0" w:color="auto"/>
              <w:right w:val="single" w:sz="4" w:space="0" w:color="auto"/>
            </w:tcBorders>
            <w:shd w:val="clear" w:color="auto" w:fill="FFCCCC"/>
            <w:noWrap/>
            <w:vAlign w:val="center"/>
            <w:hideMark/>
          </w:tcPr>
          <w:p w14:paraId="1F3784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286A1C6"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FFCCCC"/>
            <w:noWrap/>
            <w:vAlign w:val="center"/>
            <w:hideMark/>
          </w:tcPr>
          <w:p w14:paraId="34EDD07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Lorazepam</w:t>
            </w:r>
          </w:p>
        </w:tc>
        <w:tc>
          <w:tcPr>
            <w:tcW w:w="874" w:type="dxa"/>
            <w:tcBorders>
              <w:top w:val="nil"/>
              <w:left w:val="nil"/>
              <w:bottom w:val="single" w:sz="4" w:space="0" w:color="auto"/>
              <w:right w:val="single" w:sz="4" w:space="0" w:color="auto"/>
            </w:tcBorders>
            <w:shd w:val="clear" w:color="auto" w:fill="FFCCCC"/>
            <w:noWrap/>
            <w:vAlign w:val="center"/>
            <w:hideMark/>
          </w:tcPr>
          <w:p w14:paraId="2262B7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FFCCCC"/>
            <w:noWrap/>
            <w:vAlign w:val="center"/>
            <w:hideMark/>
          </w:tcPr>
          <w:p w14:paraId="401ED1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1·53</w:t>
            </w:r>
          </w:p>
        </w:tc>
        <w:tc>
          <w:tcPr>
            <w:tcW w:w="897" w:type="dxa"/>
            <w:tcBorders>
              <w:top w:val="nil"/>
              <w:left w:val="nil"/>
              <w:bottom w:val="single" w:sz="4" w:space="0" w:color="auto"/>
              <w:right w:val="single" w:sz="4" w:space="0" w:color="auto"/>
            </w:tcBorders>
            <w:shd w:val="clear" w:color="auto" w:fill="FFCCCC"/>
            <w:noWrap/>
            <w:vAlign w:val="center"/>
            <w:hideMark/>
          </w:tcPr>
          <w:p w14:paraId="7959DA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4·99E-02</w:t>
            </w:r>
          </w:p>
        </w:tc>
        <w:tc>
          <w:tcPr>
            <w:tcW w:w="1720" w:type="dxa"/>
            <w:tcBorders>
              <w:top w:val="nil"/>
              <w:left w:val="nil"/>
              <w:bottom w:val="single" w:sz="4" w:space="0" w:color="auto"/>
              <w:right w:val="single" w:sz="4" w:space="0" w:color="auto"/>
            </w:tcBorders>
            <w:shd w:val="clear" w:color="auto" w:fill="FFCCCC"/>
            <w:noWrap/>
            <w:vAlign w:val="center"/>
            <w:hideMark/>
          </w:tcPr>
          <w:p w14:paraId="0711D7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577200A"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1F8FE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N-Acetyl-L-methionine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183CB9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C02712</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6C96EF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0·09</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56415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7·42E-05</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1B8983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3D3558D"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614DDD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proofErr w:type="gramStart"/>
            <w:r w:rsidRPr="00BA04D2">
              <w:rPr>
                <w:rFonts w:eastAsia="Times New Roman" w:cs="Times New Roman"/>
                <w:color w:val="000000"/>
                <w:sz w:val="16"/>
                <w:szCs w:val="16"/>
                <w:lang w:eastAsia="en-AU"/>
              </w:rPr>
              <w:t>LysoPE</w:t>
            </w:r>
            <w:proofErr w:type="spellEnd"/>
            <w:r w:rsidRPr="00BA04D2">
              <w:rPr>
                <w:rFonts w:eastAsia="Times New Roman" w:cs="Times New Roman"/>
                <w:color w:val="000000"/>
                <w:sz w:val="16"/>
                <w:szCs w:val="16"/>
                <w:lang w:eastAsia="en-AU"/>
              </w:rPr>
              <w:t>(</w:t>
            </w:r>
            <w:proofErr w:type="gramEnd"/>
            <w:r w:rsidRPr="00BA04D2">
              <w:rPr>
                <w:rFonts w:eastAsia="Times New Roman" w:cs="Times New Roman"/>
                <w:color w:val="000000"/>
                <w:sz w:val="16"/>
                <w:szCs w:val="16"/>
                <w:lang w:eastAsia="en-AU"/>
              </w:rPr>
              <w:t>18:1)</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298EB85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6343203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213808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8·08E-04</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7D9D3A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6DF83B6"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2D85BC25"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Anserin</w:t>
            </w:r>
            <w:proofErr w:type="spellEnd"/>
          </w:p>
        </w:tc>
        <w:tc>
          <w:tcPr>
            <w:tcW w:w="874" w:type="dxa"/>
            <w:tcBorders>
              <w:top w:val="nil"/>
              <w:left w:val="nil"/>
              <w:bottom w:val="single" w:sz="4" w:space="0" w:color="auto"/>
              <w:right w:val="single" w:sz="4" w:space="0" w:color="auto"/>
            </w:tcBorders>
            <w:shd w:val="clear" w:color="auto" w:fill="DEEAF6" w:themeFill="accent5" w:themeFillTint="33"/>
            <w:noWrap/>
            <w:vAlign w:val="center"/>
          </w:tcPr>
          <w:p w14:paraId="7E8F9A9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C01262</w:t>
            </w:r>
          </w:p>
        </w:tc>
        <w:tc>
          <w:tcPr>
            <w:tcW w:w="1301" w:type="dxa"/>
            <w:tcBorders>
              <w:top w:val="nil"/>
              <w:left w:val="nil"/>
              <w:bottom w:val="single" w:sz="4" w:space="0" w:color="auto"/>
              <w:right w:val="single" w:sz="4" w:space="0" w:color="auto"/>
            </w:tcBorders>
            <w:shd w:val="clear" w:color="auto" w:fill="DEEAF6" w:themeFill="accent5" w:themeFillTint="33"/>
            <w:noWrap/>
            <w:vAlign w:val="center"/>
          </w:tcPr>
          <w:p w14:paraId="6629F0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897" w:type="dxa"/>
            <w:tcBorders>
              <w:top w:val="nil"/>
              <w:left w:val="nil"/>
              <w:bottom w:val="single" w:sz="4" w:space="0" w:color="auto"/>
              <w:right w:val="single" w:sz="4" w:space="0" w:color="auto"/>
            </w:tcBorders>
            <w:shd w:val="clear" w:color="auto" w:fill="DEEAF6" w:themeFill="accent5" w:themeFillTint="33"/>
            <w:noWrap/>
            <w:vAlign w:val="center"/>
          </w:tcPr>
          <w:p w14:paraId="71E991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1·28E-03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tcPr>
          <w:p w14:paraId="2883E4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E5A669E" w14:textId="77777777" w:rsidTr="000F7A14">
        <w:trPr>
          <w:trHeight w:val="290"/>
        </w:trPr>
        <w:tc>
          <w:tcPr>
            <w:tcW w:w="422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7CCD3F5"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Sorbitol-6-phosphate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7EC14A0"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C01096</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36E027E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0·62</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506874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2·03E-03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5257D3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A0FA55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D1F71F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Coelenterazine cp</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A6333BE"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4AC4F04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00423E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5·39E-03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862317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8FE740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546513D"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(4S,5R)-2-amino-4,5,6-trihydroxyhex-2-enoate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5A75185"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2EEF5C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0·57</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2FC1ED3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8·24E-03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3DB58D6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166C358"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4B5C838"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w:t>
            </w:r>
            <w:proofErr w:type="spellStart"/>
            <w:r w:rsidRPr="00BA04D2">
              <w:rPr>
                <w:rFonts w:eastAsia="Times New Roman" w:cs="Times New Roman"/>
                <w:sz w:val="16"/>
                <w:szCs w:val="16"/>
                <w:lang w:eastAsia="en-AU"/>
              </w:rPr>
              <w:t>Undecylbenzenesulfonic</w:t>
            </w:r>
            <w:proofErr w:type="spellEnd"/>
            <w:r w:rsidRPr="00BA04D2">
              <w:rPr>
                <w:rFonts w:eastAsia="Times New Roman" w:cs="Times New Roman"/>
                <w:sz w:val="16"/>
                <w:szCs w:val="16"/>
                <w:lang w:eastAsia="en-AU"/>
              </w:rPr>
              <w:t xml:space="preserve"> acid</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5CCEF577"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0AABD0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0·64</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C655C7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8·96E-03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57995BE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3D13E8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E60E36E"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Ala/Leu/</w:t>
            </w:r>
            <w:proofErr w:type="spellStart"/>
            <w:r w:rsidRPr="00BA04D2">
              <w:rPr>
                <w:rFonts w:eastAsia="Times New Roman" w:cs="Times New Roman"/>
                <w:sz w:val="16"/>
                <w:szCs w:val="16"/>
                <w:lang w:eastAsia="en-AU"/>
              </w:rPr>
              <w:t>Gly</w:t>
            </w:r>
            <w:proofErr w:type="spellEnd"/>
            <w:r w:rsidRPr="00BA04D2">
              <w:rPr>
                <w:rFonts w:eastAsia="Times New Roman" w:cs="Times New Roman"/>
                <w:sz w:val="16"/>
                <w:szCs w:val="16"/>
                <w:lang w:eastAsia="en-AU"/>
              </w:rPr>
              <w:t>/Pro</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601D257"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3EEF5C9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0·64</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FBF4E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9·52E-03</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693C92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8801CAE"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D58319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PC (18:0/24:1)- Phosphatidyl choline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5B73F77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C00157</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0AE9D9F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485AA5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1·02E-02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587DADC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8375140"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5D92F4E" w14:textId="77777777" w:rsidR="003F47CF" w:rsidRPr="00BA04D2" w:rsidRDefault="003F47CF" w:rsidP="000F7A14">
            <w:pPr>
              <w:spacing w:after="0"/>
              <w:jc w:val="left"/>
              <w:rPr>
                <w:rFonts w:eastAsia="Times New Roman" w:cs="Times New Roman"/>
                <w:sz w:val="16"/>
                <w:szCs w:val="16"/>
                <w:lang w:eastAsia="en-AU"/>
              </w:rPr>
            </w:pPr>
            <w:proofErr w:type="spellStart"/>
            <w:r w:rsidRPr="00BA04D2">
              <w:rPr>
                <w:rFonts w:eastAsia="Times New Roman" w:cs="Times New Roman"/>
                <w:sz w:val="16"/>
                <w:szCs w:val="16"/>
                <w:lang w:eastAsia="en-AU"/>
              </w:rPr>
              <w:t>Repenol</w:t>
            </w:r>
            <w:proofErr w:type="spellEnd"/>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47F892F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262BAA9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43CED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1·02E-02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605FD9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93E3076"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5D34F863"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2-Dodecylbenzenesulfonic acid</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5429DCA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6502178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0·62</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1C4E813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1·17E-02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AC02AF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D0E43F7"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1D5DEB5"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lastRenderedPageBreak/>
              <w:t>Pro/</w:t>
            </w:r>
            <w:proofErr w:type="spellStart"/>
            <w:r w:rsidRPr="00BA04D2">
              <w:rPr>
                <w:rFonts w:eastAsia="Times New Roman" w:cs="Times New Roman"/>
                <w:sz w:val="16"/>
                <w:szCs w:val="16"/>
                <w:lang w:eastAsia="en-AU"/>
              </w:rPr>
              <w:t>Gly</w:t>
            </w:r>
            <w:proofErr w:type="spellEnd"/>
            <w:r w:rsidRPr="00BA04D2">
              <w:rPr>
                <w:rFonts w:eastAsia="Times New Roman" w:cs="Times New Roman"/>
                <w:sz w:val="16"/>
                <w:szCs w:val="16"/>
                <w:lang w:eastAsia="en-AU"/>
              </w:rPr>
              <w:t>/Pro/Pro</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4CD964D"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0E0BEB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A66C8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1·19E-02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5437002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BB377A"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7524C7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PE (43:1)</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B4C8D74"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42DB90A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C4843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1·22E-02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7B44569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525F9E1"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44BFB98"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PC (15:1)</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61FFB981"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2A7C68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01B07A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1·50E-02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6A5AB6D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AC54733"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CF0030F"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1-Oleoylglycerophosphoserine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6EB21383"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40A38A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0·39</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5CFA43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2·07E-02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7ED6E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D33A06D"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D4945D8"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CDP-</w:t>
            </w:r>
            <w:proofErr w:type="spellStart"/>
            <w:r w:rsidRPr="00BA04D2">
              <w:rPr>
                <w:rFonts w:eastAsia="Times New Roman" w:cs="Times New Roman"/>
                <w:sz w:val="16"/>
                <w:szCs w:val="16"/>
                <w:lang w:eastAsia="en-AU"/>
              </w:rPr>
              <w:t>ribitol</w:t>
            </w:r>
            <w:proofErr w:type="spellEnd"/>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3F0952E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C00789</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63BE1C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0·62</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0F6460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2·20E-02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18E67C1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19CDA07"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09E4B2B" w14:textId="77777777" w:rsidR="003F47CF" w:rsidRPr="00BA04D2" w:rsidRDefault="003F47CF" w:rsidP="000F7A14">
            <w:pPr>
              <w:spacing w:after="0"/>
              <w:jc w:val="left"/>
              <w:rPr>
                <w:rFonts w:eastAsia="Times New Roman" w:cs="Times New Roman"/>
                <w:sz w:val="16"/>
                <w:szCs w:val="16"/>
                <w:lang w:eastAsia="en-AU"/>
              </w:rPr>
            </w:pPr>
            <w:proofErr w:type="spellStart"/>
            <w:r w:rsidRPr="00BA04D2">
              <w:rPr>
                <w:rFonts w:eastAsia="Times New Roman" w:cs="Times New Roman"/>
                <w:sz w:val="16"/>
                <w:szCs w:val="16"/>
                <w:lang w:eastAsia="en-AU"/>
              </w:rPr>
              <w:t>Glycerophosphocholine</w:t>
            </w:r>
            <w:proofErr w:type="spellEnd"/>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73B674B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C00670</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39A908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0·53</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24A66D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2·46E-02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1FB9451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FD54374"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965016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FA (18:3)</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52F2C0F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45E20F6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0·28</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0C75174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2·49E-02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30A5E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1694D9B"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3899A6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Ribosyl-L-homocysteine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00F5230F"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C03539</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574EAE6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008633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2·60E-02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375FCDD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B486F7E"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6FD3330F"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5-Chloro-1,3-dihydro-1-(4-piperidinyl)-2H-benzimidazol-2-one</w:t>
            </w:r>
          </w:p>
        </w:tc>
        <w:tc>
          <w:tcPr>
            <w:tcW w:w="874" w:type="dxa"/>
            <w:tcBorders>
              <w:top w:val="nil"/>
              <w:left w:val="nil"/>
              <w:bottom w:val="single" w:sz="4" w:space="0" w:color="auto"/>
              <w:right w:val="single" w:sz="4" w:space="0" w:color="auto"/>
            </w:tcBorders>
            <w:shd w:val="clear" w:color="auto" w:fill="DEEAF6" w:themeFill="accent5" w:themeFillTint="33"/>
            <w:noWrap/>
            <w:vAlign w:val="center"/>
            <w:hideMark/>
          </w:tcPr>
          <w:p w14:paraId="145ABB1E"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77C91A5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0·26</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7903FDB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2·87E-02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2928BF8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EA72BE3"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4E9F94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TG (12:0/20:3/22:0) [iso6]</w:t>
            </w:r>
          </w:p>
        </w:tc>
        <w:tc>
          <w:tcPr>
            <w:tcW w:w="874" w:type="dxa"/>
            <w:tcBorders>
              <w:top w:val="nil"/>
              <w:left w:val="nil"/>
              <w:bottom w:val="nil"/>
              <w:right w:val="nil"/>
            </w:tcBorders>
            <w:shd w:val="clear" w:color="auto" w:fill="DEEAF6" w:themeFill="accent5" w:themeFillTint="33"/>
            <w:noWrap/>
            <w:vAlign w:val="center"/>
            <w:hideMark/>
          </w:tcPr>
          <w:p w14:paraId="5F0C3390"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C00422</w:t>
            </w:r>
          </w:p>
        </w:tc>
        <w:tc>
          <w:tcPr>
            <w:tcW w:w="130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2230C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0·45</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459BE2E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3·66E-02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85BA3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309AC8B" w14:textId="77777777" w:rsidTr="000F7A14">
        <w:trPr>
          <w:trHeight w:val="290"/>
        </w:trPr>
        <w:tc>
          <w:tcPr>
            <w:tcW w:w="422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E4B8373"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9'-Carboxy-alpha-chromanol</w:t>
            </w:r>
          </w:p>
        </w:tc>
        <w:tc>
          <w:tcPr>
            <w:tcW w:w="874"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1FEA068"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NA</w:t>
            </w:r>
          </w:p>
        </w:tc>
        <w:tc>
          <w:tcPr>
            <w:tcW w:w="1301" w:type="dxa"/>
            <w:tcBorders>
              <w:top w:val="nil"/>
              <w:left w:val="nil"/>
              <w:bottom w:val="single" w:sz="4" w:space="0" w:color="auto"/>
              <w:right w:val="single" w:sz="4" w:space="0" w:color="auto"/>
            </w:tcBorders>
            <w:shd w:val="clear" w:color="auto" w:fill="DEEAF6" w:themeFill="accent5" w:themeFillTint="33"/>
            <w:noWrap/>
            <w:vAlign w:val="center"/>
            <w:hideMark/>
          </w:tcPr>
          <w:p w14:paraId="405C70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0·53</w:t>
            </w:r>
          </w:p>
        </w:tc>
        <w:tc>
          <w:tcPr>
            <w:tcW w:w="897" w:type="dxa"/>
            <w:tcBorders>
              <w:top w:val="nil"/>
              <w:left w:val="nil"/>
              <w:bottom w:val="single" w:sz="4" w:space="0" w:color="auto"/>
              <w:right w:val="single" w:sz="4" w:space="0" w:color="auto"/>
            </w:tcBorders>
            <w:shd w:val="clear" w:color="auto" w:fill="DEEAF6" w:themeFill="accent5" w:themeFillTint="33"/>
            <w:noWrap/>
            <w:vAlign w:val="center"/>
            <w:hideMark/>
          </w:tcPr>
          <w:p w14:paraId="35474EC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4·80E-02</w:t>
            </w:r>
          </w:p>
        </w:tc>
        <w:tc>
          <w:tcPr>
            <w:tcW w:w="1720" w:type="dxa"/>
            <w:tcBorders>
              <w:top w:val="nil"/>
              <w:left w:val="nil"/>
              <w:bottom w:val="single" w:sz="4" w:space="0" w:color="auto"/>
              <w:right w:val="single" w:sz="4" w:space="0" w:color="auto"/>
            </w:tcBorders>
            <w:shd w:val="clear" w:color="auto" w:fill="DEEAF6" w:themeFill="accent5" w:themeFillTint="33"/>
            <w:noWrap/>
            <w:vAlign w:val="center"/>
            <w:hideMark/>
          </w:tcPr>
          <w:p w14:paraId="0BA4F9A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352D3187" w14:textId="77777777" w:rsidR="003F47CF" w:rsidRPr="00BA04D2" w:rsidRDefault="003F47CF" w:rsidP="003F47CF">
      <w:pPr>
        <w:spacing w:line="259" w:lineRule="auto"/>
        <w:jc w:val="left"/>
        <w:rPr>
          <w:rFonts w:cs="Times New Roman"/>
        </w:rPr>
      </w:pPr>
      <w:r w:rsidRPr="00BA04D2">
        <w:rPr>
          <w:rFonts w:cs="Times New Roman"/>
        </w:rPr>
        <w:br w:type="page"/>
      </w:r>
    </w:p>
    <w:p w14:paraId="21D1EA80" w14:textId="7C231BCC" w:rsidR="003F47CF" w:rsidRPr="00BA04D2" w:rsidRDefault="003F47CF" w:rsidP="003F47CF">
      <w:pPr>
        <w:pStyle w:val="Style2"/>
      </w:pPr>
      <w:bookmarkStart w:id="79" w:name="_Toc217293620"/>
      <w:bookmarkStart w:id="80" w:name="_Toc217294942"/>
      <w:r w:rsidRPr="00BA04D2">
        <w:lastRenderedPageBreak/>
        <w:t xml:space="preserve">Supplementary Table 6. Pathway analysis- </w:t>
      </w:r>
      <w:r w:rsidR="00CC7C4A" w:rsidRPr="00BA04D2">
        <w:t>Corn oil</w:t>
      </w:r>
      <w:r w:rsidRPr="00BA04D2">
        <w:t>/Naïve (LSSC).</w:t>
      </w:r>
      <w:bookmarkEnd w:id="79"/>
      <w:bookmarkEnd w:id="80"/>
    </w:p>
    <w:tbl>
      <w:tblPr>
        <w:tblStyle w:val="GridTable6Colorful-Accent5"/>
        <w:tblpPr w:leftFromText="180" w:rightFromText="180" w:vertAnchor="text" w:horzAnchor="margin" w:tblpY="93"/>
        <w:tblW w:w="9016" w:type="dxa"/>
        <w:tblLook w:val="04A0" w:firstRow="1" w:lastRow="0" w:firstColumn="1" w:lastColumn="0" w:noHBand="0" w:noVBand="1"/>
      </w:tblPr>
      <w:tblGrid>
        <w:gridCol w:w="4221"/>
        <w:gridCol w:w="959"/>
        <w:gridCol w:w="959"/>
        <w:gridCol w:w="959"/>
        <w:gridCol w:w="959"/>
        <w:gridCol w:w="959"/>
      </w:tblGrid>
      <w:tr w:rsidR="003F47CF" w:rsidRPr="00BA04D2" w14:paraId="3FE7211A"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shd w:val="clear" w:color="auto" w:fill="4472C4" w:themeFill="accent1"/>
            <w:noWrap/>
            <w:vAlign w:val="center"/>
            <w:hideMark/>
          </w:tcPr>
          <w:p w14:paraId="0D1DFDE8" w14:textId="769FA842" w:rsidR="003F47CF" w:rsidRPr="00BA04D2" w:rsidRDefault="003F47CF" w:rsidP="000F7A14">
            <w:pPr>
              <w:spacing w:before="0"/>
              <w:jc w:val="left"/>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 xml:space="preserve">Pathway analysis- </w:t>
            </w:r>
            <w:r w:rsidR="00CC7C4A" w:rsidRPr="00BA04D2">
              <w:rPr>
                <w:rFonts w:eastAsia="Times New Roman" w:cs="Times New Roman"/>
                <w:i w:val="0"/>
                <w:color w:val="000000"/>
                <w:sz w:val="16"/>
                <w:szCs w:val="16"/>
                <w:lang w:eastAsia="en-AU"/>
              </w:rPr>
              <w:t>Corn oil</w:t>
            </w:r>
            <w:r w:rsidRPr="00BA04D2">
              <w:rPr>
                <w:rFonts w:eastAsia="Times New Roman" w:cs="Times New Roman"/>
                <w:i w:val="0"/>
                <w:color w:val="000000"/>
                <w:sz w:val="16"/>
                <w:szCs w:val="16"/>
                <w:lang w:eastAsia="en-AU"/>
              </w:rPr>
              <w:t>/Naïve (LSSC)</w:t>
            </w:r>
          </w:p>
        </w:tc>
        <w:tc>
          <w:tcPr>
            <w:tcW w:w="959" w:type="dxa"/>
            <w:shd w:val="clear" w:color="auto" w:fill="4472C4" w:themeFill="accent1"/>
            <w:noWrap/>
            <w:vAlign w:val="center"/>
            <w:hideMark/>
          </w:tcPr>
          <w:p w14:paraId="52A252BF"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959" w:type="dxa"/>
            <w:shd w:val="clear" w:color="auto" w:fill="4472C4" w:themeFill="accent1"/>
            <w:noWrap/>
            <w:vAlign w:val="center"/>
            <w:hideMark/>
          </w:tcPr>
          <w:p w14:paraId="384D3C5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959" w:type="dxa"/>
            <w:shd w:val="clear" w:color="auto" w:fill="4472C4" w:themeFill="accent1"/>
            <w:noWrap/>
            <w:vAlign w:val="center"/>
            <w:hideMark/>
          </w:tcPr>
          <w:p w14:paraId="061065A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959" w:type="dxa"/>
            <w:shd w:val="clear" w:color="auto" w:fill="4472C4" w:themeFill="accent1"/>
            <w:noWrap/>
            <w:vAlign w:val="center"/>
            <w:hideMark/>
          </w:tcPr>
          <w:p w14:paraId="3E181979"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 xml:space="preserve"> p-value</w:t>
            </w:r>
          </w:p>
        </w:tc>
        <w:tc>
          <w:tcPr>
            <w:tcW w:w="959" w:type="dxa"/>
            <w:shd w:val="clear" w:color="auto" w:fill="4472C4" w:themeFill="accent1"/>
            <w:noWrap/>
            <w:vAlign w:val="center"/>
            <w:hideMark/>
          </w:tcPr>
          <w:p w14:paraId="3D960914"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0522FF8C"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20EDBE4F"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Pyrimidine metabolism</w:t>
            </w:r>
          </w:p>
        </w:tc>
        <w:tc>
          <w:tcPr>
            <w:tcW w:w="959" w:type="dxa"/>
            <w:noWrap/>
            <w:vAlign w:val="center"/>
            <w:hideMark/>
          </w:tcPr>
          <w:p w14:paraId="5BAAAAB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959" w:type="dxa"/>
            <w:noWrap/>
            <w:vAlign w:val="center"/>
            <w:hideMark/>
          </w:tcPr>
          <w:p w14:paraId="3D63723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0·30</w:t>
            </w:r>
          </w:p>
        </w:tc>
        <w:tc>
          <w:tcPr>
            <w:tcW w:w="959" w:type="dxa"/>
            <w:noWrap/>
            <w:vAlign w:val="center"/>
            <w:hideMark/>
          </w:tcPr>
          <w:p w14:paraId="2B226681"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w:t>
            </w:r>
          </w:p>
        </w:tc>
        <w:tc>
          <w:tcPr>
            <w:tcW w:w="959" w:type="dxa"/>
            <w:noWrap/>
            <w:vAlign w:val="center"/>
            <w:hideMark/>
          </w:tcPr>
          <w:p w14:paraId="61C31C4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0·003</w:t>
            </w:r>
          </w:p>
        </w:tc>
        <w:tc>
          <w:tcPr>
            <w:tcW w:w="959" w:type="dxa"/>
            <w:noWrap/>
            <w:vAlign w:val="center"/>
            <w:hideMark/>
          </w:tcPr>
          <w:p w14:paraId="151FEF1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0·09</w:t>
            </w:r>
          </w:p>
        </w:tc>
      </w:tr>
      <w:tr w:rsidR="003F47CF" w:rsidRPr="00BA04D2" w14:paraId="6674FEB6"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2AB2635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Pantothenate and CoA biosynthesis</w:t>
            </w:r>
          </w:p>
        </w:tc>
        <w:tc>
          <w:tcPr>
            <w:tcW w:w="959" w:type="dxa"/>
            <w:noWrap/>
            <w:vAlign w:val="center"/>
            <w:hideMark/>
          </w:tcPr>
          <w:p w14:paraId="189902E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959" w:type="dxa"/>
            <w:noWrap/>
            <w:vAlign w:val="center"/>
            <w:hideMark/>
          </w:tcPr>
          <w:p w14:paraId="41102D2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959" w:type="dxa"/>
            <w:noWrap/>
            <w:vAlign w:val="center"/>
            <w:hideMark/>
          </w:tcPr>
          <w:p w14:paraId="24A132F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59" w:type="dxa"/>
            <w:noWrap/>
            <w:vAlign w:val="center"/>
            <w:hideMark/>
          </w:tcPr>
          <w:p w14:paraId="572C387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c>
          <w:tcPr>
            <w:tcW w:w="959" w:type="dxa"/>
            <w:noWrap/>
            <w:vAlign w:val="center"/>
            <w:hideMark/>
          </w:tcPr>
          <w:p w14:paraId="567F232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r>
      <w:tr w:rsidR="003F47CF" w:rsidRPr="00BA04D2" w14:paraId="553C04EE"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315C810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beta-Alanine metabolism</w:t>
            </w:r>
          </w:p>
        </w:tc>
        <w:tc>
          <w:tcPr>
            <w:tcW w:w="959" w:type="dxa"/>
            <w:noWrap/>
            <w:vAlign w:val="center"/>
            <w:hideMark/>
          </w:tcPr>
          <w:p w14:paraId="44CDEAF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21</w:t>
            </w:r>
          </w:p>
        </w:tc>
        <w:tc>
          <w:tcPr>
            <w:tcW w:w="959" w:type="dxa"/>
            <w:noWrap/>
            <w:vAlign w:val="center"/>
            <w:hideMark/>
          </w:tcPr>
          <w:p w14:paraId="2ABCCDC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959" w:type="dxa"/>
            <w:noWrap/>
            <w:vAlign w:val="center"/>
            <w:hideMark/>
          </w:tcPr>
          <w:p w14:paraId="282EBA9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59" w:type="dxa"/>
            <w:noWrap/>
            <w:vAlign w:val="center"/>
            <w:hideMark/>
          </w:tcPr>
          <w:p w14:paraId="23B8D2E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c>
          <w:tcPr>
            <w:tcW w:w="959" w:type="dxa"/>
            <w:noWrap/>
            <w:vAlign w:val="center"/>
            <w:hideMark/>
          </w:tcPr>
          <w:p w14:paraId="04809E0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r>
      <w:tr w:rsidR="003F47CF" w:rsidRPr="00BA04D2" w14:paraId="3330650D"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7A95FEB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Glycerophospholipid metabolism</w:t>
            </w:r>
          </w:p>
        </w:tc>
        <w:tc>
          <w:tcPr>
            <w:tcW w:w="959" w:type="dxa"/>
            <w:noWrap/>
            <w:vAlign w:val="center"/>
            <w:hideMark/>
          </w:tcPr>
          <w:p w14:paraId="675AA88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959" w:type="dxa"/>
            <w:noWrap/>
            <w:vAlign w:val="center"/>
            <w:hideMark/>
          </w:tcPr>
          <w:p w14:paraId="1BFFECE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0·28</w:t>
            </w:r>
          </w:p>
        </w:tc>
        <w:tc>
          <w:tcPr>
            <w:tcW w:w="959" w:type="dxa"/>
            <w:noWrap/>
            <w:vAlign w:val="center"/>
            <w:hideMark/>
          </w:tcPr>
          <w:p w14:paraId="44312E8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59" w:type="dxa"/>
            <w:noWrap/>
            <w:vAlign w:val="center"/>
            <w:hideMark/>
          </w:tcPr>
          <w:p w14:paraId="2DD35A4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0·03</w:t>
            </w:r>
          </w:p>
        </w:tc>
        <w:tc>
          <w:tcPr>
            <w:tcW w:w="959" w:type="dxa"/>
            <w:noWrap/>
            <w:vAlign w:val="center"/>
            <w:hideMark/>
          </w:tcPr>
          <w:p w14:paraId="203BDA3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0·14</w:t>
            </w:r>
          </w:p>
        </w:tc>
      </w:tr>
      <w:tr w:rsidR="003F47CF" w:rsidRPr="00BA04D2" w14:paraId="030E5B0B"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62A1661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Linoleic acid metabolism</w:t>
            </w:r>
          </w:p>
        </w:tc>
        <w:tc>
          <w:tcPr>
            <w:tcW w:w="959" w:type="dxa"/>
            <w:noWrap/>
            <w:vAlign w:val="center"/>
            <w:hideMark/>
          </w:tcPr>
          <w:p w14:paraId="64D7177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5</w:t>
            </w:r>
          </w:p>
        </w:tc>
        <w:tc>
          <w:tcPr>
            <w:tcW w:w="959" w:type="dxa"/>
            <w:noWrap/>
            <w:vAlign w:val="center"/>
            <w:hideMark/>
          </w:tcPr>
          <w:p w14:paraId="2AABFB2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c>
          <w:tcPr>
            <w:tcW w:w="959" w:type="dxa"/>
            <w:noWrap/>
            <w:vAlign w:val="center"/>
            <w:hideMark/>
          </w:tcPr>
          <w:p w14:paraId="22CF1FF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7F096EC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c>
          <w:tcPr>
            <w:tcW w:w="959" w:type="dxa"/>
            <w:noWrap/>
            <w:vAlign w:val="center"/>
            <w:hideMark/>
          </w:tcPr>
          <w:p w14:paraId="27EB259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6BFCCB39"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58C75D28"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alpha-Linolenic acid metabolism</w:t>
            </w:r>
          </w:p>
        </w:tc>
        <w:tc>
          <w:tcPr>
            <w:tcW w:w="959" w:type="dxa"/>
            <w:noWrap/>
            <w:vAlign w:val="center"/>
            <w:hideMark/>
          </w:tcPr>
          <w:p w14:paraId="734DAF2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13</w:t>
            </w:r>
          </w:p>
        </w:tc>
        <w:tc>
          <w:tcPr>
            <w:tcW w:w="959" w:type="dxa"/>
            <w:noWrap/>
            <w:vAlign w:val="center"/>
            <w:hideMark/>
          </w:tcPr>
          <w:p w14:paraId="06458A6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c>
          <w:tcPr>
            <w:tcW w:w="959" w:type="dxa"/>
            <w:noWrap/>
            <w:vAlign w:val="center"/>
            <w:hideMark/>
          </w:tcPr>
          <w:p w14:paraId="34DAF7B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4F5E1C1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c>
          <w:tcPr>
            <w:tcW w:w="959" w:type="dxa"/>
            <w:noWrap/>
            <w:vAlign w:val="center"/>
            <w:hideMark/>
          </w:tcPr>
          <w:p w14:paraId="6867AA4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0FC9AD8"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5C0D2A97"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959" w:type="dxa"/>
            <w:noWrap/>
            <w:vAlign w:val="center"/>
            <w:hideMark/>
          </w:tcPr>
          <w:p w14:paraId="0027B77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959" w:type="dxa"/>
            <w:noWrap/>
            <w:vAlign w:val="center"/>
            <w:hideMark/>
          </w:tcPr>
          <w:p w14:paraId="0EB5936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0·55</w:t>
            </w:r>
          </w:p>
        </w:tc>
        <w:tc>
          <w:tcPr>
            <w:tcW w:w="959" w:type="dxa"/>
            <w:noWrap/>
            <w:vAlign w:val="center"/>
            <w:hideMark/>
          </w:tcPr>
          <w:p w14:paraId="66E42A4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59" w:type="dxa"/>
            <w:noWrap/>
            <w:vAlign w:val="center"/>
            <w:hideMark/>
          </w:tcPr>
          <w:p w14:paraId="5A371B4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c>
          <w:tcPr>
            <w:tcW w:w="959" w:type="dxa"/>
            <w:noWrap/>
            <w:vAlign w:val="center"/>
            <w:hideMark/>
          </w:tcPr>
          <w:p w14:paraId="0F1D456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0·07</w:t>
            </w:r>
          </w:p>
        </w:tc>
      </w:tr>
      <w:tr w:rsidR="003F47CF" w:rsidRPr="00BA04D2" w14:paraId="70463688"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25CD382C"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proofErr w:type="spellStart"/>
            <w:r w:rsidRPr="00BA04D2">
              <w:rPr>
                <w:rFonts w:eastAsia="Times New Roman" w:cs="Times New Roman"/>
                <w:b w:val="0"/>
                <w:bCs w:val="0"/>
                <w:i w:val="0"/>
                <w:color w:val="000000"/>
                <w:sz w:val="16"/>
                <w:szCs w:val="16"/>
                <w:lang w:eastAsia="en-AU"/>
              </w:rPr>
              <w:t>Glycerolipid</w:t>
            </w:r>
            <w:proofErr w:type="spellEnd"/>
            <w:r w:rsidRPr="00BA04D2">
              <w:rPr>
                <w:rFonts w:eastAsia="Times New Roman" w:cs="Times New Roman"/>
                <w:b w:val="0"/>
                <w:bCs w:val="0"/>
                <w:i w:val="0"/>
                <w:color w:val="000000"/>
                <w:sz w:val="16"/>
                <w:szCs w:val="16"/>
                <w:lang w:eastAsia="en-AU"/>
              </w:rPr>
              <w:t xml:space="preserve"> metabolism</w:t>
            </w:r>
          </w:p>
        </w:tc>
        <w:tc>
          <w:tcPr>
            <w:tcW w:w="959" w:type="dxa"/>
            <w:noWrap/>
            <w:vAlign w:val="center"/>
            <w:hideMark/>
          </w:tcPr>
          <w:p w14:paraId="4CF0B27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959" w:type="dxa"/>
            <w:noWrap/>
            <w:vAlign w:val="center"/>
            <w:hideMark/>
          </w:tcPr>
          <w:p w14:paraId="48FA9DA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59" w:type="dxa"/>
            <w:noWrap/>
            <w:vAlign w:val="center"/>
            <w:hideMark/>
          </w:tcPr>
          <w:p w14:paraId="517FBCA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2C75457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59" w:type="dxa"/>
            <w:noWrap/>
            <w:vAlign w:val="center"/>
            <w:hideMark/>
          </w:tcPr>
          <w:p w14:paraId="29F67DD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r>
      <w:tr w:rsidR="003F47CF" w:rsidRPr="00BA04D2" w14:paraId="239CD58A"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50A6FDA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Histidine metabolism</w:t>
            </w:r>
          </w:p>
        </w:tc>
        <w:tc>
          <w:tcPr>
            <w:tcW w:w="959" w:type="dxa"/>
            <w:noWrap/>
            <w:vAlign w:val="center"/>
            <w:hideMark/>
          </w:tcPr>
          <w:p w14:paraId="315E18C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959" w:type="dxa"/>
            <w:noWrap/>
            <w:vAlign w:val="center"/>
            <w:hideMark/>
          </w:tcPr>
          <w:p w14:paraId="01E9891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59" w:type="dxa"/>
            <w:noWrap/>
            <w:vAlign w:val="center"/>
            <w:hideMark/>
          </w:tcPr>
          <w:p w14:paraId="773C5E4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61F931A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59" w:type="dxa"/>
            <w:noWrap/>
            <w:vAlign w:val="center"/>
            <w:hideMark/>
          </w:tcPr>
          <w:p w14:paraId="2FF34B4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547C1C69"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52B8DFA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Mannose type O-glycan biosynthesis</w:t>
            </w:r>
          </w:p>
        </w:tc>
        <w:tc>
          <w:tcPr>
            <w:tcW w:w="959" w:type="dxa"/>
            <w:noWrap/>
            <w:vAlign w:val="center"/>
            <w:hideMark/>
          </w:tcPr>
          <w:p w14:paraId="1969FA2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17</w:t>
            </w:r>
          </w:p>
        </w:tc>
        <w:tc>
          <w:tcPr>
            <w:tcW w:w="959" w:type="dxa"/>
            <w:noWrap/>
            <w:vAlign w:val="center"/>
            <w:hideMark/>
          </w:tcPr>
          <w:p w14:paraId="11AF02F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959" w:type="dxa"/>
            <w:noWrap/>
            <w:vAlign w:val="center"/>
            <w:hideMark/>
          </w:tcPr>
          <w:p w14:paraId="0210775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4CBE5F3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59" w:type="dxa"/>
            <w:noWrap/>
            <w:vAlign w:val="center"/>
            <w:hideMark/>
          </w:tcPr>
          <w:p w14:paraId="3E58172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r>
      <w:tr w:rsidR="003F47CF" w:rsidRPr="00BA04D2" w14:paraId="3497E47C"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385AD6A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Pentose and glucuronate interconversions</w:t>
            </w:r>
          </w:p>
        </w:tc>
        <w:tc>
          <w:tcPr>
            <w:tcW w:w="959" w:type="dxa"/>
            <w:noWrap/>
            <w:vAlign w:val="center"/>
            <w:hideMark/>
          </w:tcPr>
          <w:p w14:paraId="0FEA0E8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19</w:t>
            </w:r>
          </w:p>
        </w:tc>
        <w:tc>
          <w:tcPr>
            <w:tcW w:w="959" w:type="dxa"/>
            <w:noWrap/>
            <w:vAlign w:val="center"/>
            <w:hideMark/>
          </w:tcPr>
          <w:p w14:paraId="213C118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0·15</w:t>
            </w:r>
          </w:p>
        </w:tc>
        <w:tc>
          <w:tcPr>
            <w:tcW w:w="959" w:type="dxa"/>
            <w:noWrap/>
            <w:vAlign w:val="center"/>
            <w:hideMark/>
          </w:tcPr>
          <w:p w14:paraId="187A5D7D"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2961434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0·14</w:t>
            </w:r>
          </w:p>
        </w:tc>
        <w:tc>
          <w:tcPr>
            <w:tcW w:w="959" w:type="dxa"/>
            <w:noWrap/>
            <w:vAlign w:val="center"/>
            <w:hideMark/>
          </w:tcPr>
          <w:p w14:paraId="135EBD7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4247CEC7"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422549D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Ether lipid metabolism</w:t>
            </w:r>
          </w:p>
        </w:tc>
        <w:tc>
          <w:tcPr>
            <w:tcW w:w="959" w:type="dxa"/>
            <w:noWrap/>
            <w:vAlign w:val="center"/>
            <w:hideMark/>
          </w:tcPr>
          <w:p w14:paraId="2B8F241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959" w:type="dxa"/>
            <w:noWrap/>
            <w:vAlign w:val="center"/>
            <w:hideMark/>
          </w:tcPr>
          <w:p w14:paraId="2D691FF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959" w:type="dxa"/>
            <w:noWrap/>
            <w:vAlign w:val="center"/>
            <w:hideMark/>
          </w:tcPr>
          <w:p w14:paraId="34FB04E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1CF77C5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0·15</w:t>
            </w:r>
          </w:p>
        </w:tc>
        <w:tc>
          <w:tcPr>
            <w:tcW w:w="959" w:type="dxa"/>
            <w:noWrap/>
            <w:vAlign w:val="center"/>
            <w:hideMark/>
          </w:tcPr>
          <w:p w14:paraId="5D69E37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6244EB77"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57D488E0"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Pentose phosphate pathway</w:t>
            </w:r>
          </w:p>
        </w:tc>
        <w:tc>
          <w:tcPr>
            <w:tcW w:w="959" w:type="dxa"/>
            <w:noWrap/>
            <w:vAlign w:val="center"/>
            <w:hideMark/>
          </w:tcPr>
          <w:p w14:paraId="0F93D86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23</w:t>
            </w:r>
          </w:p>
        </w:tc>
        <w:tc>
          <w:tcPr>
            <w:tcW w:w="959" w:type="dxa"/>
            <w:noWrap/>
            <w:vAlign w:val="center"/>
            <w:hideMark/>
          </w:tcPr>
          <w:p w14:paraId="35E10DB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0·18</w:t>
            </w:r>
          </w:p>
        </w:tc>
        <w:tc>
          <w:tcPr>
            <w:tcW w:w="959" w:type="dxa"/>
            <w:noWrap/>
            <w:vAlign w:val="center"/>
            <w:hideMark/>
          </w:tcPr>
          <w:p w14:paraId="15D8888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2EF9F1A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959" w:type="dxa"/>
            <w:noWrap/>
            <w:vAlign w:val="center"/>
            <w:hideMark/>
          </w:tcPr>
          <w:p w14:paraId="45B8EC1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08D3374"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221" w:type="dxa"/>
            <w:noWrap/>
            <w:vAlign w:val="center"/>
            <w:hideMark/>
          </w:tcPr>
          <w:p w14:paraId="090A2347"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Arachidonic acid metabolism</w:t>
            </w:r>
          </w:p>
        </w:tc>
        <w:tc>
          <w:tcPr>
            <w:tcW w:w="959" w:type="dxa"/>
            <w:noWrap/>
            <w:vAlign w:val="center"/>
            <w:hideMark/>
          </w:tcPr>
          <w:p w14:paraId="64F8159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43</w:t>
            </w:r>
          </w:p>
        </w:tc>
        <w:tc>
          <w:tcPr>
            <w:tcW w:w="959" w:type="dxa"/>
            <w:noWrap/>
            <w:vAlign w:val="center"/>
            <w:hideMark/>
          </w:tcPr>
          <w:p w14:paraId="1C61F21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0·33</w:t>
            </w:r>
          </w:p>
        </w:tc>
        <w:tc>
          <w:tcPr>
            <w:tcW w:w="959" w:type="dxa"/>
            <w:noWrap/>
            <w:vAlign w:val="center"/>
            <w:hideMark/>
          </w:tcPr>
          <w:p w14:paraId="74903B5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59" w:type="dxa"/>
            <w:noWrap/>
            <w:vAlign w:val="center"/>
            <w:hideMark/>
          </w:tcPr>
          <w:p w14:paraId="5C411ED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0·29</w:t>
            </w:r>
          </w:p>
        </w:tc>
        <w:tc>
          <w:tcPr>
            <w:tcW w:w="959" w:type="dxa"/>
            <w:noWrap/>
            <w:vAlign w:val="center"/>
            <w:hideMark/>
          </w:tcPr>
          <w:p w14:paraId="49482A5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bl>
    <w:p w14:paraId="73FBDFE6" w14:textId="77777777" w:rsidR="003F47CF" w:rsidRPr="00BA04D2" w:rsidRDefault="003F47CF" w:rsidP="003F47CF"/>
    <w:p w14:paraId="20C97703" w14:textId="77777777" w:rsidR="003F47CF" w:rsidRPr="00BA04D2" w:rsidRDefault="003F47CF" w:rsidP="003F47CF">
      <w:r w:rsidRPr="00BA04D2">
        <w:br w:type="page"/>
      </w:r>
    </w:p>
    <w:tbl>
      <w:tblPr>
        <w:tblpPr w:leftFromText="180" w:rightFromText="180" w:vertAnchor="text" w:horzAnchor="margin" w:tblpY="473"/>
        <w:tblW w:w="8925" w:type="dxa"/>
        <w:tblLook w:val="04A0" w:firstRow="1" w:lastRow="0" w:firstColumn="1" w:lastColumn="0" w:noHBand="0" w:noVBand="1"/>
      </w:tblPr>
      <w:tblGrid>
        <w:gridCol w:w="3980"/>
        <w:gridCol w:w="855"/>
        <w:gridCol w:w="1387"/>
        <w:gridCol w:w="1010"/>
        <w:gridCol w:w="1693"/>
      </w:tblGrid>
      <w:tr w:rsidR="003F47CF" w:rsidRPr="00BA04D2" w14:paraId="58EAEB19" w14:textId="77777777" w:rsidTr="000F7A14">
        <w:trPr>
          <w:trHeight w:val="274"/>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7CB0"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lastRenderedPageBreak/>
              <w:t>Dysregulated metabolites (LT3/Corn oil)</w:t>
            </w:r>
          </w:p>
          <w:p w14:paraId="2AA75A89"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(LSSC)</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7148F124"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1657D4D6"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428CD8CE"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3066201E"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76DC1A5F"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474A13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N-Acetyl-L-methionine</w:t>
            </w:r>
          </w:p>
        </w:tc>
        <w:tc>
          <w:tcPr>
            <w:tcW w:w="855" w:type="dxa"/>
            <w:tcBorders>
              <w:top w:val="nil"/>
              <w:left w:val="nil"/>
              <w:bottom w:val="single" w:sz="4" w:space="0" w:color="auto"/>
              <w:right w:val="single" w:sz="4" w:space="0" w:color="auto"/>
            </w:tcBorders>
            <w:shd w:val="clear" w:color="auto" w:fill="FFCCCC"/>
            <w:noWrap/>
            <w:vAlign w:val="center"/>
            <w:hideMark/>
          </w:tcPr>
          <w:p w14:paraId="7FE91A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C02712</w:t>
            </w:r>
          </w:p>
        </w:tc>
        <w:tc>
          <w:tcPr>
            <w:tcW w:w="1387" w:type="dxa"/>
            <w:tcBorders>
              <w:top w:val="nil"/>
              <w:left w:val="nil"/>
              <w:bottom w:val="single" w:sz="4" w:space="0" w:color="auto"/>
              <w:right w:val="single" w:sz="4" w:space="0" w:color="auto"/>
            </w:tcBorders>
            <w:shd w:val="clear" w:color="auto" w:fill="FFCCCC"/>
            <w:noWrap/>
            <w:vAlign w:val="center"/>
            <w:hideMark/>
          </w:tcPr>
          <w:p w14:paraId="2C9DBA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18·47</w:t>
            </w:r>
          </w:p>
        </w:tc>
        <w:tc>
          <w:tcPr>
            <w:tcW w:w="1010" w:type="dxa"/>
            <w:tcBorders>
              <w:top w:val="nil"/>
              <w:left w:val="nil"/>
              <w:bottom w:val="single" w:sz="4" w:space="0" w:color="auto"/>
              <w:right w:val="single" w:sz="4" w:space="0" w:color="auto"/>
            </w:tcBorders>
            <w:shd w:val="clear" w:color="auto" w:fill="FFCCCC"/>
            <w:noWrap/>
            <w:vAlign w:val="center"/>
            <w:hideMark/>
          </w:tcPr>
          <w:p w14:paraId="3A044EF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2·10E-04</w:t>
            </w:r>
          </w:p>
        </w:tc>
        <w:tc>
          <w:tcPr>
            <w:tcW w:w="1693" w:type="dxa"/>
            <w:tcBorders>
              <w:top w:val="nil"/>
              <w:left w:val="nil"/>
              <w:bottom w:val="single" w:sz="4" w:space="0" w:color="auto"/>
              <w:right w:val="single" w:sz="4" w:space="0" w:color="auto"/>
            </w:tcBorders>
            <w:shd w:val="clear" w:color="auto" w:fill="FFCCCC"/>
            <w:noWrap/>
            <w:vAlign w:val="center"/>
            <w:hideMark/>
          </w:tcPr>
          <w:p w14:paraId="525736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8065A9B"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74EC98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gamma-L-Glutamyl-L-pipecolic acid</w:t>
            </w:r>
          </w:p>
        </w:tc>
        <w:tc>
          <w:tcPr>
            <w:tcW w:w="855" w:type="dxa"/>
            <w:tcBorders>
              <w:top w:val="nil"/>
              <w:left w:val="nil"/>
              <w:bottom w:val="single" w:sz="4" w:space="0" w:color="auto"/>
              <w:right w:val="single" w:sz="4" w:space="0" w:color="auto"/>
            </w:tcBorders>
            <w:shd w:val="clear" w:color="auto" w:fill="FFCCCC"/>
            <w:noWrap/>
            <w:vAlign w:val="center"/>
            <w:hideMark/>
          </w:tcPr>
          <w:p w14:paraId="339BFAD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FFCCCC"/>
            <w:noWrap/>
            <w:vAlign w:val="center"/>
            <w:hideMark/>
          </w:tcPr>
          <w:p w14:paraId="01F2285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3·29</w:t>
            </w:r>
          </w:p>
        </w:tc>
        <w:tc>
          <w:tcPr>
            <w:tcW w:w="1010" w:type="dxa"/>
            <w:tcBorders>
              <w:top w:val="nil"/>
              <w:left w:val="nil"/>
              <w:bottom w:val="single" w:sz="4" w:space="0" w:color="auto"/>
              <w:right w:val="single" w:sz="4" w:space="0" w:color="auto"/>
            </w:tcBorders>
            <w:shd w:val="clear" w:color="auto" w:fill="FFCCCC"/>
            <w:noWrap/>
            <w:vAlign w:val="center"/>
            <w:hideMark/>
          </w:tcPr>
          <w:p w14:paraId="4201D06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2·78E-03</w:t>
            </w:r>
          </w:p>
        </w:tc>
        <w:tc>
          <w:tcPr>
            <w:tcW w:w="1693" w:type="dxa"/>
            <w:tcBorders>
              <w:top w:val="nil"/>
              <w:left w:val="nil"/>
              <w:bottom w:val="single" w:sz="4" w:space="0" w:color="auto"/>
              <w:right w:val="single" w:sz="4" w:space="0" w:color="auto"/>
            </w:tcBorders>
            <w:shd w:val="clear" w:color="auto" w:fill="FFCCCC"/>
            <w:noWrap/>
            <w:vAlign w:val="center"/>
            <w:hideMark/>
          </w:tcPr>
          <w:p w14:paraId="5AA571A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9A8F704"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46CEA9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Oleoylethanolamine</w:t>
            </w:r>
            <w:proofErr w:type="spellEnd"/>
          </w:p>
        </w:tc>
        <w:tc>
          <w:tcPr>
            <w:tcW w:w="855" w:type="dxa"/>
            <w:tcBorders>
              <w:top w:val="nil"/>
              <w:left w:val="nil"/>
              <w:bottom w:val="single" w:sz="4" w:space="0" w:color="auto"/>
              <w:right w:val="single" w:sz="4" w:space="0" w:color="auto"/>
            </w:tcBorders>
            <w:shd w:val="clear" w:color="auto" w:fill="FFCCCC"/>
            <w:noWrap/>
            <w:vAlign w:val="center"/>
            <w:hideMark/>
          </w:tcPr>
          <w:p w14:paraId="014D42C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FFCCCC"/>
            <w:noWrap/>
            <w:vAlign w:val="center"/>
            <w:hideMark/>
          </w:tcPr>
          <w:p w14:paraId="0C06965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w:t>
            </w:r>
          </w:p>
        </w:tc>
        <w:tc>
          <w:tcPr>
            <w:tcW w:w="1010" w:type="dxa"/>
            <w:tcBorders>
              <w:top w:val="nil"/>
              <w:left w:val="nil"/>
              <w:bottom w:val="single" w:sz="4" w:space="0" w:color="auto"/>
              <w:right w:val="single" w:sz="4" w:space="0" w:color="auto"/>
            </w:tcBorders>
            <w:shd w:val="clear" w:color="auto" w:fill="FFCCCC"/>
            <w:noWrap/>
            <w:vAlign w:val="center"/>
            <w:hideMark/>
          </w:tcPr>
          <w:p w14:paraId="73C36D1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9·90E-03</w:t>
            </w:r>
          </w:p>
        </w:tc>
        <w:tc>
          <w:tcPr>
            <w:tcW w:w="1693" w:type="dxa"/>
            <w:tcBorders>
              <w:top w:val="nil"/>
              <w:left w:val="nil"/>
              <w:bottom w:val="single" w:sz="4" w:space="0" w:color="auto"/>
              <w:right w:val="single" w:sz="4" w:space="0" w:color="auto"/>
            </w:tcBorders>
            <w:shd w:val="clear" w:color="auto" w:fill="FFCCCC"/>
            <w:noWrap/>
            <w:vAlign w:val="center"/>
            <w:hideMark/>
          </w:tcPr>
          <w:p w14:paraId="2B3CE1A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BCB32BC"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4219354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PI (22:6)</w:t>
            </w:r>
          </w:p>
        </w:tc>
        <w:tc>
          <w:tcPr>
            <w:tcW w:w="855" w:type="dxa"/>
            <w:tcBorders>
              <w:top w:val="nil"/>
              <w:left w:val="nil"/>
              <w:bottom w:val="single" w:sz="4" w:space="0" w:color="auto"/>
              <w:right w:val="single" w:sz="4" w:space="0" w:color="auto"/>
            </w:tcBorders>
            <w:shd w:val="clear" w:color="auto" w:fill="FFCCCC"/>
            <w:noWrap/>
            <w:vAlign w:val="center"/>
            <w:hideMark/>
          </w:tcPr>
          <w:p w14:paraId="5C1D18E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FFCCCC"/>
            <w:noWrap/>
            <w:vAlign w:val="center"/>
            <w:hideMark/>
          </w:tcPr>
          <w:p w14:paraId="6350BC9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1·67</w:t>
            </w:r>
          </w:p>
        </w:tc>
        <w:tc>
          <w:tcPr>
            <w:tcW w:w="1010" w:type="dxa"/>
            <w:tcBorders>
              <w:top w:val="nil"/>
              <w:left w:val="nil"/>
              <w:bottom w:val="single" w:sz="4" w:space="0" w:color="auto"/>
              <w:right w:val="single" w:sz="4" w:space="0" w:color="auto"/>
            </w:tcBorders>
            <w:shd w:val="clear" w:color="auto" w:fill="FFCCCC"/>
            <w:noWrap/>
            <w:vAlign w:val="center"/>
            <w:hideMark/>
          </w:tcPr>
          <w:p w14:paraId="2B5FDDE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3·26E-02</w:t>
            </w:r>
          </w:p>
        </w:tc>
        <w:tc>
          <w:tcPr>
            <w:tcW w:w="1693" w:type="dxa"/>
            <w:tcBorders>
              <w:top w:val="nil"/>
              <w:left w:val="nil"/>
              <w:bottom w:val="single" w:sz="4" w:space="0" w:color="auto"/>
              <w:right w:val="single" w:sz="4" w:space="0" w:color="auto"/>
            </w:tcBorders>
            <w:shd w:val="clear" w:color="auto" w:fill="FFCCCC"/>
            <w:noWrap/>
            <w:vAlign w:val="center"/>
            <w:hideMark/>
          </w:tcPr>
          <w:p w14:paraId="17D1843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74D2FB3"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1D664B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N4-Acetylaminobutanal</w:t>
            </w:r>
          </w:p>
        </w:tc>
        <w:tc>
          <w:tcPr>
            <w:tcW w:w="855" w:type="dxa"/>
            <w:tcBorders>
              <w:top w:val="nil"/>
              <w:left w:val="nil"/>
              <w:bottom w:val="single" w:sz="4" w:space="0" w:color="auto"/>
              <w:right w:val="single" w:sz="4" w:space="0" w:color="auto"/>
            </w:tcBorders>
            <w:shd w:val="clear" w:color="auto" w:fill="FFCCCC"/>
            <w:noWrap/>
            <w:vAlign w:val="center"/>
            <w:hideMark/>
          </w:tcPr>
          <w:p w14:paraId="787BF06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C05936</w:t>
            </w:r>
          </w:p>
        </w:tc>
        <w:tc>
          <w:tcPr>
            <w:tcW w:w="1387" w:type="dxa"/>
            <w:tcBorders>
              <w:top w:val="nil"/>
              <w:left w:val="nil"/>
              <w:bottom w:val="single" w:sz="4" w:space="0" w:color="auto"/>
              <w:right w:val="single" w:sz="4" w:space="0" w:color="auto"/>
            </w:tcBorders>
            <w:shd w:val="clear" w:color="auto" w:fill="FFCCCC"/>
            <w:noWrap/>
            <w:vAlign w:val="center"/>
            <w:hideMark/>
          </w:tcPr>
          <w:p w14:paraId="45C2A4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2·85</w:t>
            </w:r>
          </w:p>
        </w:tc>
        <w:tc>
          <w:tcPr>
            <w:tcW w:w="1010" w:type="dxa"/>
            <w:tcBorders>
              <w:top w:val="nil"/>
              <w:left w:val="nil"/>
              <w:bottom w:val="single" w:sz="4" w:space="0" w:color="auto"/>
              <w:right w:val="single" w:sz="4" w:space="0" w:color="auto"/>
            </w:tcBorders>
            <w:shd w:val="clear" w:color="auto" w:fill="FFCCCC"/>
            <w:noWrap/>
            <w:vAlign w:val="center"/>
            <w:hideMark/>
          </w:tcPr>
          <w:p w14:paraId="5738BF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3·63E-02</w:t>
            </w:r>
          </w:p>
        </w:tc>
        <w:tc>
          <w:tcPr>
            <w:tcW w:w="1693" w:type="dxa"/>
            <w:tcBorders>
              <w:top w:val="nil"/>
              <w:left w:val="nil"/>
              <w:bottom w:val="single" w:sz="4" w:space="0" w:color="auto"/>
              <w:right w:val="single" w:sz="4" w:space="0" w:color="auto"/>
            </w:tcBorders>
            <w:shd w:val="clear" w:color="auto" w:fill="FFCCCC"/>
            <w:noWrap/>
            <w:vAlign w:val="center"/>
            <w:hideMark/>
          </w:tcPr>
          <w:p w14:paraId="3717CE2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142A9FC"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572BA4F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2-Oxoarginine</w:t>
            </w:r>
          </w:p>
        </w:tc>
        <w:tc>
          <w:tcPr>
            <w:tcW w:w="855" w:type="dxa"/>
            <w:tcBorders>
              <w:top w:val="nil"/>
              <w:left w:val="nil"/>
              <w:bottom w:val="single" w:sz="4" w:space="0" w:color="auto"/>
              <w:right w:val="single" w:sz="4" w:space="0" w:color="auto"/>
            </w:tcBorders>
            <w:shd w:val="clear" w:color="auto" w:fill="FFCCCC"/>
            <w:noWrap/>
            <w:vAlign w:val="center"/>
            <w:hideMark/>
          </w:tcPr>
          <w:p w14:paraId="406487C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C03771</w:t>
            </w:r>
          </w:p>
        </w:tc>
        <w:tc>
          <w:tcPr>
            <w:tcW w:w="1387" w:type="dxa"/>
            <w:tcBorders>
              <w:top w:val="nil"/>
              <w:left w:val="nil"/>
              <w:bottom w:val="single" w:sz="4" w:space="0" w:color="auto"/>
              <w:right w:val="single" w:sz="4" w:space="0" w:color="auto"/>
            </w:tcBorders>
            <w:shd w:val="clear" w:color="auto" w:fill="FFCCCC"/>
            <w:noWrap/>
            <w:vAlign w:val="center"/>
            <w:hideMark/>
          </w:tcPr>
          <w:p w14:paraId="6BB899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1·58</w:t>
            </w:r>
          </w:p>
        </w:tc>
        <w:tc>
          <w:tcPr>
            <w:tcW w:w="1010" w:type="dxa"/>
            <w:tcBorders>
              <w:top w:val="nil"/>
              <w:left w:val="nil"/>
              <w:bottom w:val="single" w:sz="4" w:space="0" w:color="auto"/>
              <w:right w:val="single" w:sz="4" w:space="0" w:color="auto"/>
            </w:tcBorders>
            <w:shd w:val="clear" w:color="auto" w:fill="FFCCCC"/>
            <w:noWrap/>
            <w:vAlign w:val="center"/>
            <w:hideMark/>
          </w:tcPr>
          <w:p w14:paraId="23E2F2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4·07E-02</w:t>
            </w:r>
          </w:p>
        </w:tc>
        <w:tc>
          <w:tcPr>
            <w:tcW w:w="1693" w:type="dxa"/>
            <w:tcBorders>
              <w:top w:val="nil"/>
              <w:left w:val="nil"/>
              <w:bottom w:val="single" w:sz="4" w:space="0" w:color="auto"/>
              <w:right w:val="single" w:sz="4" w:space="0" w:color="auto"/>
            </w:tcBorders>
            <w:shd w:val="clear" w:color="auto" w:fill="FFCCCC"/>
            <w:noWrap/>
            <w:vAlign w:val="center"/>
            <w:hideMark/>
          </w:tcPr>
          <w:p w14:paraId="54703F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F62E3D5"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FFCCCC"/>
            <w:noWrap/>
            <w:vAlign w:val="center"/>
            <w:hideMark/>
          </w:tcPr>
          <w:p w14:paraId="258017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N2-gamma-Glutamylglutamine</w:t>
            </w:r>
          </w:p>
        </w:tc>
        <w:tc>
          <w:tcPr>
            <w:tcW w:w="855" w:type="dxa"/>
            <w:tcBorders>
              <w:top w:val="nil"/>
              <w:left w:val="nil"/>
              <w:bottom w:val="single" w:sz="4" w:space="0" w:color="auto"/>
              <w:right w:val="single" w:sz="4" w:space="0" w:color="auto"/>
            </w:tcBorders>
            <w:shd w:val="clear" w:color="auto" w:fill="FFCCCC"/>
            <w:noWrap/>
            <w:vAlign w:val="center"/>
            <w:hideMark/>
          </w:tcPr>
          <w:p w14:paraId="3E0D3D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C05283</w:t>
            </w:r>
          </w:p>
        </w:tc>
        <w:tc>
          <w:tcPr>
            <w:tcW w:w="1387" w:type="dxa"/>
            <w:tcBorders>
              <w:top w:val="nil"/>
              <w:left w:val="nil"/>
              <w:bottom w:val="single" w:sz="4" w:space="0" w:color="auto"/>
              <w:right w:val="single" w:sz="4" w:space="0" w:color="auto"/>
            </w:tcBorders>
            <w:shd w:val="clear" w:color="auto" w:fill="FFCCCC"/>
            <w:noWrap/>
            <w:vAlign w:val="center"/>
            <w:hideMark/>
          </w:tcPr>
          <w:p w14:paraId="1CFD34D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1·81</w:t>
            </w:r>
          </w:p>
        </w:tc>
        <w:tc>
          <w:tcPr>
            <w:tcW w:w="1010" w:type="dxa"/>
            <w:tcBorders>
              <w:top w:val="nil"/>
              <w:left w:val="nil"/>
              <w:bottom w:val="single" w:sz="4" w:space="0" w:color="auto"/>
              <w:right w:val="single" w:sz="4" w:space="0" w:color="auto"/>
            </w:tcBorders>
            <w:shd w:val="clear" w:color="auto" w:fill="FFCCCC"/>
            <w:noWrap/>
            <w:vAlign w:val="center"/>
            <w:hideMark/>
          </w:tcPr>
          <w:p w14:paraId="38E1C23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4·65E-02</w:t>
            </w:r>
          </w:p>
        </w:tc>
        <w:tc>
          <w:tcPr>
            <w:tcW w:w="1693" w:type="dxa"/>
            <w:tcBorders>
              <w:top w:val="nil"/>
              <w:left w:val="nil"/>
              <w:bottom w:val="single" w:sz="4" w:space="0" w:color="auto"/>
              <w:right w:val="single" w:sz="4" w:space="0" w:color="auto"/>
            </w:tcBorders>
            <w:shd w:val="clear" w:color="auto" w:fill="FFCCCC"/>
            <w:noWrap/>
            <w:vAlign w:val="center"/>
            <w:hideMark/>
          </w:tcPr>
          <w:p w14:paraId="47E3F6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F629E80"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FCB2211"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Araliacerebroside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0EE6CF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7A5D10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3F4FD1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9·37E-04</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43564A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6D656B4"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56773E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Homostachydrine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2CD587B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C08283</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16C4061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0·43</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792A8A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3·42E-03</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008A60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BBDCF77"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7C8EA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Phosphorylcholine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31CA599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C00588</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3ADCB8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40961F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4·48E-03</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A52F6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0D8BCB7"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BCCD661"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Dasatinib</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7C4932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1F1ED0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0·57</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7C2696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1·05E-02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F5A937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046B67F"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5CC62A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w:t>
            </w:r>
            <w:proofErr w:type="spellStart"/>
            <w:r w:rsidRPr="00BA04D2">
              <w:rPr>
                <w:rFonts w:eastAsia="Times New Roman" w:cs="Times New Roman"/>
                <w:color w:val="000000"/>
                <w:sz w:val="16"/>
                <w:szCs w:val="16"/>
                <w:lang w:eastAsia="en-AU"/>
              </w:rPr>
              <w:t>Desosamine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5CF1F7B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9B8F24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0·43</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573422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1·39E-02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0619A1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C862375"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3D3DB4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alpha-D-Glucose 1,6-bisphosphate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018F6A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C01231</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76036BB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0·26</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7C49082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8C9B08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35D6156"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10AEF0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Hydroxyprolyl</w:t>
            </w:r>
            <w:proofErr w:type="spellEnd"/>
            <w:r w:rsidRPr="00BA04D2">
              <w:rPr>
                <w:rFonts w:eastAsia="Times New Roman" w:cs="Times New Roman"/>
                <w:color w:val="000000"/>
                <w:sz w:val="16"/>
                <w:szCs w:val="16"/>
                <w:lang w:eastAsia="en-AU"/>
              </w:rPr>
              <w:t>-Isoleucine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6B7FFFB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881B6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0·37</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134C77C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1·66E-02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79B140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20B58FF"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06BEAA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gamma-Glutamyl-L-putrescine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4715A3F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C15699</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43F32E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79007B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1·76E-02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B846B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AC0605D"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861D3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2-(4-Pyridyl) </w:t>
            </w:r>
            <w:proofErr w:type="spellStart"/>
            <w:r w:rsidRPr="00BA04D2">
              <w:rPr>
                <w:rFonts w:eastAsia="Times New Roman" w:cs="Times New Roman"/>
                <w:color w:val="000000"/>
                <w:sz w:val="16"/>
                <w:szCs w:val="16"/>
                <w:lang w:eastAsia="en-AU"/>
              </w:rPr>
              <w:t>ethanesulfonate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2BFBBD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739EECF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0·44</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32F552F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1·77E-02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087C11B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469042D"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13DA32E"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Phosphoribosylformimino</w:t>
            </w:r>
            <w:proofErr w:type="spellEnd"/>
            <w:r w:rsidRPr="00BA04D2">
              <w:rPr>
                <w:rFonts w:eastAsia="Times New Roman" w:cs="Times New Roman"/>
                <w:color w:val="000000"/>
                <w:sz w:val="16"/>
                <w:szCs w:val="16"/>
                <w:lang w:eastAsia="en-AU"/>
              </w:rPr>
              <w:t>-AICAR-phosphate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4A9FB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C04896</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583248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0·21</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1C239A4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1·80E-02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CE2D09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5326631"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BD20B9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Cefclidin</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413602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C11202</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65C3F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5BFA76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1·82E-02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32B0D6E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D6E9BC0"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8737B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Acetylfelinine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37095F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6135C03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61C64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2·05E-02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A4112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0A866D5"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59EE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Glyceraldehyde 3-phosphate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502E680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C00118</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1F59042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3500DD1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2·06E-02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D2F0A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771F266"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77DB459"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Sedoheptulose</w:t>
            </w:r>
            <w:proofErr w:type="spellEnd"/>
            <w:r w:rsidRPr="00BA04D2">
              <w:rPr>
                <w:rFonts w:eastAsia="Times New Roman" w:cs="Times New Roman"/>
                <w:color w:val="000000"/>
                <w:sz w:val="16"/>
                <w:szCs w:val="16"/>
                <w:lang w:eastAsia="en-AU"/>
              </w:rPr>
              <w:t xml:space="preserve"> 7-phosphate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C7C92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C05382</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720550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0·62</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50FD08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2·24E-02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62EAB6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683E38B"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96CE9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6-[2-(carboxymethyl)-3,5-dihydroxy-6-(3-methylbut-2-en-1-yl) phenoxy]-3,4,5-trihydroxyoxane-2-carboxylic acid</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32367CA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6F5A05E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0·54</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BA2A32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2·49E-02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959D6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697400"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CBD44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w:t>
            </w:r>
            <w:proofErr w:type="spellStart"/>
            <w:r w:rsidRPr="00BA04D2">
              <w:rPr>
                <w:rFonts w:eastAsia="Times New Roman" w:cs="Times New Roman"/>
                <w:color w:val="000000"/>
                <w:sz w:val="16"/>
                <w:szCs w:val="16"/>
                <w:lang w:eastAsia="en-AU"/>
              </w:rPr>
              <w:t>Aminobutyryl</w:t>
            </w:r>
            <w:proofErr w:type="spellEnd"/>
            <w:r w:rsidRPr="00BA04D2">
              <w:rPr>
                <w:rFonts w:eastAsia="Times New Roman" w:cs="Times New Roman"/>
                <w:color w:val="000000"/>
                <w:sz w:val="16"/>
                <w:szCs w:val="16"/>
                <w:lang w:eastAsia="en-AU"/>
              </w:rPr>
              <w:t>-lysine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33F7103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83704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1A50A4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3·02E-02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388EF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71799EC"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93E51C"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Lysylvaline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0BC95D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71315C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0·27</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4236C5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3·02E-02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4A526C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3B8B5CD"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F78CF4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Ala/Leu/Al/</w:t>
            </w:r>
            <w:proofErr w:type="spellStart"/>
            <w:r w:rsidRPr="00BA04D2">
              <w:rPr>
                <w:rFonts w:eastAsia="Times New Roman" w:cs="Times New Roman"/>
                <w:color w:val="000000"/>
                <w:sz w:val="16"/>
                <w:szCs w:val="16"/>
                <w:lang w:eastAsia="en-AU"/>
              </w:rPr>
              <w:t>Asn</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8B470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5D49975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B4059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3·08E-02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EC0C0F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0C94D2C"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023580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2-N-Acetamidomethyl phosphonate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26F50D9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21715C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AAC18E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3·17E-02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74583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8494AFF"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5A274C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9,10-Dibromo-stearic acid</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746741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383A37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0·26</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C5FB4A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3·34E-02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EA197C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3ABF0F8"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ECEE3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(2,6-anhydro-3-deoxy-D-arabino-heptulopyranosid) </w:t>
            </w:r>
            <w:proofErr w:type="spellStart"/>
            <w:r w:rsidRPr="00BA04D2">
              <w:rPr>
                <w:rFonts w:eastAsia="Times New Roman" w:cs="Times New Roman"/>
                <w:color w:val="000000"/>
                <w:sz w:val="16"/>
                <w:szCs w:val="16"/>
                <w:lang w:eastAsia="en-AU"/>
              </w:rPr>
              <w:t>onate</w:t>
            </w:r>
            <w:proofErr w:type="spellEnd"/>
            <w:r w:rsidRPr="00BA04D2">
              <w:rPr>
                <w:rFonts w:eastAsia="Times New Roman" w:cs="Times New Roman"/>
                <w:color w:val="000000"/>
                <w:sz w:val="16"/>
                <w:szCs w:val="16"/>
                <w:lang w:eastAsia="en-AU"/>
              </w:rPr>
              <w:t xml:space="preserve"> 7-phosphate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21E8DEA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7DB1CB2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8CCBE3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3·50E-02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1AA0C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0E3B77A"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6480A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2-{[hydroxy(4-hydroxy-3,5-dimethoxyphenyl) methylidene] amino} acetic acid</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44B931A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0FB2F7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0·19</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5FCF26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3·57E-02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28F66D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A07CCC0"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B02746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Xanthine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783845E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C00385</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1DF328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0·59</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0AA2E72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3·57E-02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268B53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CBD1E7A"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846AD6E"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Isoleucylproline</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3A7819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C8924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0·27</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43AA7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3·59E-02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92E35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1A3D6B2"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E472C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/Ser</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0B915F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6300C8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0·50</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301639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3·64E-02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FA96C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7041A6D"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5700A36"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/Asp/Pro/Pro</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36447F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7CCECFB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503AA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3·72E-02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18B29B7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583022B"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3767F6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Dihydroxyacetone 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440312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C00111</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4D9337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5B97A6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3·74E-02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3E4399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274C292"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DF7060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Hexose phosphate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8B050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C02965</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3F0D43A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0·12</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7AE9088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3·80E-02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58F8F8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B4C4A19"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45951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2-Amino-4-methyl-5-hydroxyethylthiazole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61A6DB5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593A423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2B0B4A7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4·40E-02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B34953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1C92290"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8C37E1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/Gln/Pro</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EC83BF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02B1AB9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0·67</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75102AB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4·48E-02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0843F2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480A234"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C3FC8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2-Acetyl-4,5-dihydrothiazole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05EB71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348014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30A34C2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4·49E-02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03AD902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C4BA4AB"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5DB83E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Ala/Asp/</w:t>
            </w:r>
            <w:proofErr w:type="spellStart"/>
            <w:r w:rsidRPr="00BA04D2">
              <w:rPr>
                <w:rFonts w:eastAsia="Times New Roman" w:cs="Times New Roman"/>
                <w:color w:val="000000"/>
                <w:sz w:val="16"/>
                <w:szCs w:val="16"/>
                <w:lang w:eastAsia="en-AU"/>
              </w:rPr>
              <w:t>Gly</w:t>
            </w:r>
            <w:proofErr w:type="spellEnd"/>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115FF4A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293AA72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0·53</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4A2B6B3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4·65E-02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7EBE0E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AD4C341" w14:textId="77777777" w:rsidTr="000F7A14">
        <w:trPr>
          <w:trHeight w:val="290"/>
        </w:trPr>
        <w:tc>
          <w:tcPr>
            <w:tcW w:w="398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CF9233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 L-Selenocysteine</w:t>
            </w:r>
          </w:p>
        </w:tc>
        <w:tc>
          <w:tcPr>
            <w:tcW w:w="855" w:type="dxa"/>
            <w:tcBorders>
              <w:top w:val="nil"/>
              <w:left w:val="nil"/>
              <w:bottom w:val="single" w:sz="4" w:space="0" w:color="auto"/>
              <w:right w:val="single" w:sz="4" w:space="0" w:color="auto"/>
            </w:tcBorders>
            <w:shd w:val="clear" w:color="auto" w:fill="D9E2F3" w:themeFill="accent1" w:themeFillTint="33"/>
            <w:noWrap/>
            <w:vAlign w:val="center"/>
            <w:hideMark/>
          </w:tcPr>
          <w:p w14:paraId="5CC9C3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87" w:type="dxa"/>
            <w:tcBorders>
              <w:top w:val="nil"/>
              <w:left w:val="nil"/>
              <w:bottom w:val="single" w:sz="4" w:space="0" w:color="auto"/>
              <w:right w:val="single" w:sz="4" w:space="0" w:color="auto"/>
            </w:tcBorders>
            <w:shd w:val="clear" w:color="auto" w:fill="D9E2F3" w:themeFill="accent1" w:themeFillTint="33"/>
            <w:noWrap/>
            <w:vAlign w:val="center"/>
            <w:hideMark/>
          </w:tcPr>
          <w:p w14:paraId="435699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1010" w:type="dxa"/>
            <w:tcBorders>
              <w:top w:val="nil"/>
              <w:left w:val="nil"/>
              <w:bottom w:val="single" w:sz="4" w:space="0" w:color="auto"/>
              <w:right w:val="single" w:sz="4" w:space="0" w:color="auto"/>
            </w:tcBorders>
            <w:shd w:val="clear" w:color="auto" w:fill="D9E2F3" w:themeFill="accent1" w:themeFillTint="33"/>
            <w:noWrap/>
            <w:vAlign w:val="center"/>
            <w:hideMark/>
          </w:tcPr>
          <w:p w14:paraId="6C5DAA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4·84E-02</w:t>
            </w:r>
          </w:p>
        </w:tc>
        <w:tc>
          <w:tcPr>
            <w:tcW w:w="1693" w:type="dxa"/>
            <w:tcBorders>
              <w:top w:val="nil"/>
              <w:left w:val="nil"/>
              <w:bottom w:val="single" w:sz="4" w:space="0" w:color="auto"/>
              <w:right w:val="single" w:sz="4" w:space="0" w:color="auto"/>
            </w:tcBorders>
            <w:shd w:val="clear" w:color="auto" w:fill="D9E2F3" w:themeFill="accent1" w:themeFillTint="33"/>
            <w:noWrap/>
            <w:vAlign w:val="center"/>
            <w:hideMark/>
          </w:tcPr>
          <w:p w14:paraId="60759B5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6F535101" w14:textId="77777777" w:rsidR="003F47CF" w:rsidRPr="00BA04D2" w:rsidRDefault="003F47CF" w:rsidP="003F47CF">
      <w:pPr>
        <w:pStyle w:val="Style2"/>
      </w:pPr>
      <w:bookmarkStart w:id="81" w:name="_Toc217293621"/>
      <w:bookmarkStart w:id="82" w:name="_Toc217294943"/>
      <w:r w:rsidRPr="00BA04D2">
        <w:t>Supplementary Table 7. Dysregulated metabolites in LT3/Corn oil (LSSC).</w:t>
      </w:r>
      <w:bookmarkEnd w:id="81"/>
      <w:bookmarkEnd w:id="82"/>
    </w:p>
    <w:p w14:paraId="6A577CA3" w14:textId="77777777" w:rsidR="003F47CF" w:rsidRPr="00BA04D2" w:rsidRDefault="003F47CF" w:rsidP="003F47CF">
      <w:pPr>
        <w:spacing w:line="259" w:lineRule="auto"/>
        <w:jc w:val="left"/>
        <w:rPr>
          <w:rFonts w:cs="Times New Roman"/>
          <w:sz w:val="16"/>
          <w:szCs w:val="16"/>
        </w:rPr>
      </w:pPr>
      <w:r w:rsidRPr="00BA04D2">
        <w:rPr>
          <w:rFonts w:cs="Times New Roman"/>
          <w:sz w:val="16"/>
          <w:szCs w:val="16"/>
        </w:rPr>
        <w:br w:type="page"/>
      </w:r>
    </w:p>
    <w:p w14:paraId="39555AFF" w14:textId="77777777" w:rsidR="003F47CF" w:rsidRPr="00BA04D2" w:rsidRDefault="003F47CF" w:rsidP="003F47CF">
      <w:pPr>
        <w:pStyle w:val="Style2"/>
      </w:pPr>
      <w:bookmarkStart w:id="83" w:name="_Toc217293622"/>
      <w:bookmarkStart w:id="84" w:name="_Toc217294944"/>
      <w:r w:rsidRPr="00BA04D2">
        <w:lastRenderedPageBreak/>
        <w:t>Supplementary Table 8. Pathway analysis LT3/Corn oil (LSSC)</w:t>
      </w:r>
      <w:bookmarkEnd w:id="83"/>
      <w:bookmarkEnd w:id="84"/>
    </w:p>
    <w:tbl>
      <w:tblPr>
        <w:tblStyle w:val="GridTable6Colorful-Accent5"/>
        <w:tblpPr w:leftFromText="180" w:rightFromText="180" w:vertAnchor="text" w:horzAnchor="margin" w:tblpY="70"/>
        <w:tblW w:w="8925" w:type="dxa"/>
        <w:tblLook w:val="04A0" w:firstRow="1" w:lastRow="0" w:firstColumn="1" w:lastColumn="0" w:noHBand="0" w:noVBand="1"/>
      </w:tblPr>
      <w:tblGrid>
        <w:gridCol w:w="3780"/>
        <w:gridCol w:w="1029"/>
        <w:gridCol w:w="1029"/>
        <w:gridCol w:w="1029"/>
        <w:gridCol w:w="1029"/>
        <w:gridCol w:w="1029"/>
      </w:tblGrid>
      <w:tr w:rsidR="003F47CF" w:rsidRPr="00BA04D2" w14:paraId="3C0EE967"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80" w:type="dxa"/>
            <w:shd w:val="clear" w:color="auto" w:fill="4472C4" w:themeFill="accent1"/>
            <w:noWrap/>
            <w:vAlign w:val="center"/>
            <w:hideMark/>
          </w:tcPr>
          <w:p w14:paraId="1A90C40D" w14:textId="77777777" w:rsidR="003F47CF" w:rsidRPr="00BA04D2" w:rsidRDefault="003F47CF" w:rsidP="000F7A14">
            <w:pPr>
              <w:spacing w:before="0"/>
              <w:jc w:val="left"/>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 Pathway analysis LT3-Corn oil (LSSC)</w:t>
            </w:r>
          </w:p>
        </w:tc>
        <w:tc>
          <w:tcPr>
            <w:tcW w:w="1029" w:type="dxa"/>
            <w:shd w:val="clear" w:color="auto" w:fill="4472C4" w:themeFill="accent1"/>
            <w:noWrap/>
            <w:vAlign w:val="center"/>
            <w:hideMark/>
          </w:tcPr>
          <w:p w14:paraId="3EBDF147"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1029" w:type="dxa"/>
            <w:shd w:val="clear" w:color="auto" w:fill="4472C4" w:themeFill="accent1"/>
            <w:noWrap/>
            <w:vAlign w:val="center"/>
            <w:hideMark/>
          </w:tcPr>
          <w:p w14:paraId="17DE005F"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1029" w:type="dxa"/>
            <w:shd w:val="clear" w:color="auto" w:fill="4472C4" w:themeFill="accent1"/>
            <w:noWrap/>
            <w:vAlign w:val="center"/>
            <w:hideMark/>
          </w:tcPr>
          <w:p w14:paraId="3AC0EC3E"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1029" w:type="dxa"/>
            <w:shd w:val="clear" w:color="auto" w:fill="4472C4" w:themeFill="accent1"/>
            <w:noWrap/>
            <w:vAlign w:val="center"/>
            <w:hideMark/>
          </w:tcPr>
          <w:p w14:paraId="1633D50D"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1029" w:type="dxa"/>
            <w:shd w:val="clear" w:color="auto" w:fill="4472C4" w:themeFill="accent1"/>
            <w:noWrap/>
            <w:vAlign w:val="center"/>
            <w:hideMark/>
          </w:tcPr>
          <w:p w14:paraId="5D8114FC"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2750523B"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231CF6C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Fructose and mannose metabolism</w:t>
            </w:r>
          </w:p>
        </w:tc>
        <w:tc>
          <w:tcPr>
            <w:tcW w:w="1029" w:type="dxa"/>
            <w:noWrap/>
            <w:vAlign w:val="center"/>
            <w:hideMark/>
          </w:tcPr>
          <w:p w14:paraId="2934DCE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18</w:t>
            </w:r>
          </w:p>
        </w:tc>
        <w:tc>
          <w:tcPr>
            <w:tcW w:w="1029" w:type="dxa"/>
            <w:noWrap/>
            <w:vAlign w:val="center"/>
            <w:hideMark/>
          </w:tcPr>
          <w:p w14:paraId="6C0B803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0·09</w:t>
            </w:r>
          </w:p>
        </w:tc>
        <w:tc>
          <w:tcPr>
            <w:tcW w:w="1029" w:type="dxa"/>
            <w:noWrap/>
            <w:vAlign w:val="center"/>
            <w:hideMark/>
          </w:tcPr>
          <w:p w14:paraId="10432A0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29" w:type="dxa"/>
            <w:noWrap/>
            <w:vAlign w:val="center"/>
            <w:hideMark/>
          </w:tcPr>
          <w:p w14:paraId="7BAF48C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0·003</w:t>
            </w:r>
          </w:p>
        </w:tc>
        <w:tc>
          <w:tcPr>
            <w:tcW w:w="1029" w:type="dxa"/>
            <w:noWrap/>
            <w:vAlign w:val="center"/>
            <w:hideMark/>
          </w:tcPr>
          <w:p w14:paraId="0E888B2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r>
      <w:tr w:rsidR="003F47CF" w:rsidRPr="00BA04D2" w14:paraId="5D5B282E"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4F6F7833"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Pentose phosphate pathway</w:t>
            </w:r>
          </w:p>
        </w:tc>
        <w:tc>
          <w:tcPr>
            <w:tcW w:w="1029" w:type="dxa"/>
            <w:noWrap/>
            <w:vAlign w:val="center"/>
            <w:hideMark/>
          </w:tcPr>
          <w:p w14:paraId="0263236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23</w:t>
            </w:r>
          </w:p>
        </w:tc>
        <w:tc>
          <w:tcPr>
            <w:tcW w:w="1029" w:type="dxa"/>
            <w:noWrap/>
            <w:vAlign w:val="center"/>
            <w:hideMark/>
          </w:tcPr>
          <w:p w14:paraId="30520F5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1029" w:type="dxa"/>
            <w:noWrap/>
            <w:vAlign w:val="center"/>
            <w:hideMark/>
          </w:tcPr>
          <w:p w14:paraId="57227BA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29" w:type="dxa"/>
            <w:noWrap/>
            <w:vAlign w:val="center"/>
            <w:hideMark/>
          </w:tcPr>
          <w:p w14:paraId="60EEB5B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0·006</w:t>
            </w:r>
          </w:p>
        </w:tc>
        <w:tc>
          <w:tcPr>
            <w:tcW w:w="1029" w:type="dxa"/>
            <w:noWrap/>
            <w:vAlign w:val="center"/>
            <w:hideMark/>
          </w:tcPr>
          <w:p w14:paraId="40BE3DF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r>
      <w:tr w:rsidR="003F47CF" w:rsidRPr="00BA04D2" w14:paraId="55C6F19C"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0D21608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Glycolysis or Gluconeogenesis</w:t>
            </w:r>
          </w:p>
        </w:tc>
        <w:tc>
          <w:tcPr>
            <w:tcW w:w="1029" w:type="dxa"/>
            <w:noWrap/>
            <w:vAlign w:val="center"/>
            <w:hideMark/>
          </w:tcPr>
          <w:p w14:paraId="5481D40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1029" w:type="dxa"/>
            <w:noWrap/>
            <w:vAlign w:val="center"/>
            <w:hideMark/>
          </w:tcPr>
          <w:p w14:paraId="13AF92A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1029" w:type="dxa"/>
            <w:noWrap/>
            <w:vAlign w:val="center"/>
            <w:hideMark/>
          </w:tcPr>
          <w:p w14:paraId="51997AB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29" w:type="dxa"/>
            <w:noWrap/>
            <w:vAlign w:val="center"/>
            <w:hideMark/>
          </w:tcPr>
          <w:p w14:paraId="08058FD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0·007</w:t>
            </w:r>
          </w:p>
        </w:tc>
        <w:tc>
          <w:tcPr>
            <w:tcW w:w="1029" w:type="dxa"/>
            <w:noWrap/>
            <w:vAlign w:val="center"/>
            <w:hideMark/>
          </w:tcPr>
          <w:p w14:paraId="586C821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r>
      <w:tr w:rsidR="003F47CF" w:rsidRPr="00BA04D2" w14:paraId="224B22FF"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4C2FDE4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Inositol phosphate metabolism</w:t>
            </w:r>
          </w:p>
        </w:tc>
        <w:tc>
          <w:tcPr>
            <w:tcW w:w="1029" w:type="dxa"/>
            <w:noWrap/>
            <w:vAlign w:val="center"/>
            <w:hideMark/>
          </w:tcPr>
          <w:p w14:paraId="636F96F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30</w:t>
            </w:r>
          </w:p>
        </w:tc>
        <w:tc>
          <w:tcPr>
            <w:tcW w:w="1029" w:type="dxa"/>
            <w:noWrap/>
            <w:vAlign w:val="center"/>
            <w:hideMark/>
          </w:tcPr>
          <w:p w14:paraId="4AFEA87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1029" w:type="dxa"/>
            <w:noWrap/>
            <w:vAlign w:val="center"/>
            <w:hideMark/>
          </w:tcPr>
          <w:p w14:paraId="2692B6C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29" w:type="dxa"/>
            <w:noWrap/>
            <w:vAlign w:val="center"/>
            <w:hideMark/>
          </w:tcPr>
          <w:p w14:paraId="657BA5D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c>
          <w:tcPr>
            <w:tcW w:w="1029" w:type="dxa"/>
            <w:noWrap/>
            <w:vAlign w:val="center"/>
            <w:hideMark/>
          </w:tcPr>
          <w:p w14:paraId="539550D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2F6F192F"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378A50C7"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Glycerophospholipid metabolism</w:t>
            </w:r>
          </w:p>
        </w:tc>
        <w:tc>
          <w:tcPr>
            <w:tcW w:w="1029" w:type="dxa"/>
            <w:noWrap/>
            <w:vAlign w:val="center"/>
            <w:hideMark/>
          </w:tcPr>
          <w:p w14:paraId="5049A85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1029" w:type="dxa"/>
            <w:noWrap/>
            <w:vAlign w:val="center"/>
            <w:hideMark/>
          </w:tcPr>
          <w:p w14:paraId="34CC582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1029" w:type="dxa"/>
            <w:noWrap/>
            <w:vAlign w:val="center"/>
            <w:hideMark/>
          </w:tcPr>
          <w:p w14:paraId="1E5F2A7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29" w:type="dxa"/>
            <w:noWrap/>
            <w:vAlign w:val="center"/>
            <w:hideMark/>
          </w:tcPr>
          <w:p w14:paraId="43EBC2B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c>
          <w:tcPr>
            <w:tcW w:w="1029" w:type="dxa"/>
            <w:noWrap/>
            <w:vAlign w:val="center"/>
            <w:hideMark/>
          </w:tcPr>
          <w:p w14:paraId="469A7B0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0·03</w:t>
            </w:r>
          </w:p>
        </w:tc>
      </w:tr>
      <w:tr w:rsidR="003F47CF" w:rsidRPr="00BA04D2" w14:paraId="01D3B80F"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5425DEC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D-Amino acid metabolism</w:t>
            </w:r>
          </w:p>
        </w:tc>
        <w:tc>
          <w:tcPr>
            <w:tcW w:w="1029" w:type="dxa"/>
            <w:noWrap/>
            <w:vAlign w:val="center"/>
            <w:hideMark/>
          </w:tcPr>
          <w:p w14:paraId="4BE0C67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15</w:t>
            </w:r>
          </w:p>
        </w:tc>
        <w:tc>
          <w:tcPr>
            <w:tcW w:w="1029" w:type="dxa"/>
            <w:noWrap/>
            <w:vAlign w:val="center"/>
            <w:hideMark/>
          </w:tcPr>
          <w:p w14:paraId="092BCB2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701E83C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29" w:type="dxa"/>
            <w:noWrap/>
            <w:vAlign w:val="center"/>
            <w:hideMark/>
          </w:tcPr>
          <w:p w14:paraId="5DB1F12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0E7D8E9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61F467FF"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3248C754"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Starch and sucrose metabolism</w:t>
            </w:r>
          </w:p>
        </w:tc>
        <w:tc>
          <w:tcPr>
            <w:tcW w:w="1029" w:type="dxa"/>
            <w:noWrap/>
            <w:vAlign w:val="center"/>
            <w:hideMark/>
          </w:tcPr>
          <w:p w14:paraId="2D13BDF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15</w:t>
            </w:r>
          </w:p>
        </w:tc>
        <w:tc>
          <w:tcPr>
            <w:tcW w:w="1029" w:type="dxa"/>
            <w:noWrap/>
            <w:vAlign w:val="center"/>
            <w:hideMark/>
          </w:tcPr>
          <w:p w14:paraId="696C163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729CC8C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29" w:type="dxa"/>
            <w:noWrap/>
            <w:vAlign w:val="center"/>
            <w:hideMark/>
          </w:tcPr>
          <w:p w14:paraId="03CFEFE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5B33814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308FA8E8"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78469998"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proofErr w:type="spellStart"/>
            <w:r w:rsidRPr="00BA04D2">
              <w:rPr>
                <w:rFonts w:eastAsia="Times New Roman" w:cs="Times New Roman"/>
                <w:b w:val="0"/>
                <w:bCs w:val="0"/>
                <w:i w:val="0"/>
                <w:color w:val="000000"/>
                <w:sz w:val="16"/>
                <w:szCs w:val="16"/>
                <w:lang w:eastAsia="en-AU"/>
              </w:rPr>
              <w:t>Glycerolipid</w:t>
            </w:r>
            <w:proofErr w:type="spellEnd"/>
            <w:r w:rsidRPr="00BA04D2">
              <w:rPr>
                <w:rFonts w:eastAsia="Times New Roman" w:cs="Times New Roman"/>
                <w:b w:val="0"/>
                <w:bCs w:val="0"/>
                <w:i w:val="0"/>
                <w:color w:val="000000"/>
                <w:sz w:val="16"/>
                <w:szCs w:val="16"/>
                <w:lang w:eastAsia="en-AU"/>
              </w:rPr>
              <w:t xml:space="preserve"> metabolism</w:t>
            </w:r>
          </w:p>
        </w:tc>
        <w:tc>
          <w:tcPr>
            <w:tcW w:w="1029" w:type="dxa"/>
            <w:noWrap/>
            <w:vAlign w:val="center"/>
            <w:hideMark/>
          </w:tcPr>
          <w:p w14:paraId="477F550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1029" w:type="dxa"/>
            <w:noWrap/>
            <w:vAlign w:val="center"/>
            <w:hideMark/>
          </w:tcPr>
          <w:p w14:paraId="7AECD9B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6B68E67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29" w:type="dxa"/>
            <w:noWrap/>
            <w:vAlign w:val="center"/>
            <w:hideMark/>
          </w:tcPr>
          <w:p w14:paraId="325F65C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c>
          <w:tcPr>
            <w:tcW w:w="1029" w:type="dxa"/>
            <w:noWrap/>
            <w:vAlign w:val="center"/>
            <w:hideMark/>
          </w:tcPr>
          <w:p w14:paraId="10D0AD2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20D96C2" w14:textId="77777777" w:rsidTr="000F7A1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124F89C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Arginine and proline metabolism</w:t>
            </w:r>
          </w:p>
        </w:tc>
        <w:tc>
          <w:tcPr>
            <w:tcW w:w="1029" w:type="dxa"/>
            <w:noWrap/>
            <w:vAlign w:val="center"/>
            <w:hideMark/>
          </w:tcPr>
          <w:p w14:paraId="106635D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1029" w:type="dxa"/>
            <w:noWrap/>
            <w:vAlign w:val="center"/>
            <w:hideMark/>
          </w:tcPr>
          <w:p w14:paraId="3C2B838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1029" w:type="dxa"/>
            <w:noWrap/>
            <w:vAlign w:val="center"/>
            <w:hideMark/>
          </w:tcPr>
          <w:p w14:paraId="6C62458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29" w:type="dxa"/>
            <w:noWrap/>
            <w:vAlign w:val="center"/>
            <w:hideMark/>
          </w:tcPr>
          <w:p w14:paraId="1113658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1029" w:type="dxa"/>
            <w:noWrap/>
            <w:vAlign w:val="center"/>
            <w:hideMark/>
          </w:tcPr>
          <w:p w14:paraId="302AB92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0·02</w:t>
            </w:r>
          </w:p>
        </w:tc>
      </w:tr>
      <w:tr w:rsidR="003F47CF" w:rsidRPr="00BA04D2" w14:paraId="142F90D6"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780" w:type="dxa"/>
            <w:noWrap/>
            <w:vAlign w:val="center"/>
            <w:hideMark/>
          </w:tcPr>
          <w:p w14:paraId="0E5D73E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1029" w:type="dxa"/>
            <w:noWrap/>
            <w:vAlign w:val="center"/>
            <w:hideMark/>
          </w:tcPr>
          <w:p w14:paraId="3234669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1029" w:type="dxa"/>
            <w:noWrap/>
            <w:vAlign w:val="center"/>
            <w:hideMark/>
          </w:tcPr>
          <w:p w14:paraId="1F51A55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0·37</w:t>
            </w:r>
          </w:p>
        </w:tc>
        <w:tc>
          <w:tcPr>
            <w:tcW w:w="1029" w:type="dxa"/>
            <w:noWrap/>
            <w:vAlign w:val="center"/>
            <w:hideMark/>
          </w:tcPr>
          <w:p w14:paraId="1A411B0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29" w:type="dxa"/>
            <w:noWrap/>
            <w:vAlign w:val="center"/>
            <w:hideMark/>
          </w:tcPr>
          <w:p w14:paraId="4EB6B14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0·31</w:t>
            </w:r>
          </w:p>
        </w:tc>
        <w:tc>
          <w:tcPr>
            <w:tcW w:w="1029" w:type="dxa"/>
            <w:noWrap/>
            <w:vAlign w:val="center"/>
            <w:hideMark/>
          </w:tcPr>
          <w:p w14:paraId="51BB296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0·03</w:t>
            </w:r>
          </w:p>
        </w:tc>
      </w:tr>
    </w:tbl>
    <w:p w14:paraId="7FD41B5C" w14:textId="77777777" w:rsidR="003F47CF" w:rsidRPr="00BA04D2" w:rsidRDefault="003F47CF" w:rsidP="003F47CF"/>
    <w:p w14:paraId="072A8C6A" w14:textId="77777777" w:rsidR="003F47CF" w:rsidRPr="00BA04D2" w:rsidRDefault="003F47CF" w:rsidP="003F47CF">
      <w:r w:rsidRPr="00BA04D2">
        <w:br w:type="page"/>
      </w:r>
    </w:p>
    <w:p w14:paraId="065978E1" w14:textId="77777777" w:rsidR="003F47CF" w:rsidRPr="00BA04D2" w:rsidRDefault="003F47CF" w:rsidP="003F47CF">
      <w:pPr>
        <w:pStyle w:val="Style2"/>
      </w:pPr>
      <w:bookmarkStart w:id="85" w:name="_Toc217293623"/>
      <w:bookmarkStart w:id="86" w:name="_Toc217294945"/>
      <w:r w:rsidRPr="00BA04D2">
        <w:lastRenderedPageBreak/>
        <w:t>Supplementary Table 9. Dysregulated metabolites in TRIAC/Corn oil (LSSC).</w:t>
      </w:r>
      <w:bookmarkEnd w:id="85"/>
      <w:bookmarkEnd w:id="86"/>
    </w:p>
    <w:tbl>
      <w:tblPr>
        <w:tblW w:w="8925" w:type="dxa"/>
        <w:tblInd w:w="-5" w:type="dxa"/>
        <w:tblLook w:val="04A0" w:firstRow="1" w:lastRow="0" w:firstColumn="1" w:lastColumn="0" w:noHBand="0" w:noVBand="1"/>
      </w:tblPr>
      <w:tblGrid>
        <w:gridCol w:w="3923"/>
        <w:gridCol w:w="838"/>
        <w:gridCol w:w="1426"/>
        <w:gridCol w:w="949"/>
        <w:gridCol w:w="1789"/>
      </w:tblGrid>
      <w:tr w:rsidR="003F47CF" w:rsidRPr="00BA04D2" w14:paraId="4D157001" w14:textId="77777777" w:rsidTr="000F7A14">
        <w:trPr>
          <w:trHeight w:val="29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F1652"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Dysregulated metabolites (TRIAC/Corn oil)</w:t>
            </w:r>
          </w:p>
          <w:p w14:paraId="738825AC"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(LSSC)</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491A282D"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0B842762"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7E796B1"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A8CF811"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693B39D3"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4A76A9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3-Demethylubiquinol-9</w:t>
            </w:r>
          </w:p>
        </w:tc>
        <w:tc>
          <w:tcPr>
            <w:tcW w:w="787" w:type="dxa"/>
            <w:tcBorders>
              <w:top w:val="nil"/>
              <w:left w:val="nil"/>
              <w:bottom w:val="single" w:sz="4" w:space="0" w:color="auto"/>
              <w:right w:val="single" w:sz="4" w:space="0" w:color="auto"/>
            </w:tcBorders>
            <w:shd w:val="clear" w:color="auto" w:fill="FFCCCC"/>
            <w:noWrap/>
            <w:vAlign w:val="center"/>
            <w:hideMark/>
          </w:tcPr>
          <w:p w14:paraId="454A18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46993BC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1·72</w:t>
            </w:r>
          </w:p>
        </w:tc>
        <w:tc>
          <w:tcPr>
            <w:tcW w:w="891" w:type="dxa"/>
            <w:tcBorders>
              <w:top w:val="nil"/>
              <w:left w:val="nil"/>
              <w:bottom w:val="single" w:sz="4" w:space="0" w:color="auto"/>
              <w:right w:val="single" w:sz="4" w:space="0" w:color="auto"/>
            </w:tcBorders>
            <w:shd w:val="clear" w:color="auto" w:fill="FFCCCC"/>
            <w:noWrap/>
            <w:vAlign w:val="center"/>
            <w:hideMark/>
          </w:tcPr>
          <w:p w14:paraId="7F9679F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4·02E-03</w:t>
            </w:r>
          </w:p>
        </w:tc>
        <w:tc>
          <w:tcPr>
            <w:tcW w:w="1680" w:type="dxa"/>
            <w:tcBorders>
              <w:top w:val="nil"/>
              <w:left w:val="nil"/>
              <w:bottom w:val="single" w:sz="4" w:space="0" w:color="auto"/>
              <w:right w:val="single" w:sz="4" w:space="0" w:color="auto"/>
            </w:tcBorders>
            <w:shd w:val="clear" w:color="auto" w:fill="FFCCCC"/>
            <w:noWrap/>
            <w:vAlign w:val="center"/>
            <w:hideMark/>
          </w:tcPr>
          <w:p w14:paraId="4AD1AF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E4F6DFA"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20264E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Co-[-(2-methyladenin-9-yl)]-Co-</w:t>
            </w:r>
            <w:proofErr w:type="spellStart"/>
            <w:r w:rsidRPr="00BA04D2">
              <w:rPr>
                <w:rFonts w:eastAsia="Times New Roman" w:cs="Times New Roman"/>
                <w:color w:val="000000"/>
                <w:sz w:val="16"/>
                <w:szCs w:val="16"/>
                <w:lang w:eastAsia="en-AU"/>
              </w:rPr>
              <w:t>adenosylcobamide</w:t>
            </w:r>
            <w:proofErr w:type="spellEnd"/>
            <w:r w:rsidRPr="00BA04D2">
              <w:rPr>
                <w:rFonts w:eastAsia="Times New Roman" w:cs="Times New Roman"/>
                <w:color w:val="000000"/>
                <w:sz w:val="16"/>
                <w:szCs w:val="16"/>
                <w:lang w:eastAsia="en-AU"/>
              </w:rPr>
              <w:t xml:space="preserve"> 5'-phosphate</w:t>
            </w:r>
          </w:p>
        </w:tc>
        <w:tc>
          <w:tcPr>
            <w:tcW w:w="787" w:type="dxa"/>
            <w:tcBorders>
              <w:top w:val="nil"/>
              <w:left w:val="nil"/>
              <w:bottom w:val="single" w:sz="4" w:space="0" w:color="auto"/>
              <w:right w:val="single" w:sz="4" w:space="0" w:color="auto"/>
            </w:tcBorders>
            <w:shd w:val="clear" w:color="auto" w:fill="FFCCCC"/>
            <w:noWrap/>
            <w:vAlign w:val="center"/>
            <w:hideMark/>
          </w:tcPr>
          <w:p w14:paraId="78B0F2A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37592F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1·55</w:t>
            </w:r>
          </w:p>
        </w:tc>
        <w:tc>
          <w:tcPr>
            <w:tcW w:w="891" w:type="dxa"/>
            <w:tcBorders>
              <w:top w:val="nil"/>
              <w:left w:val="nil"/>
              <w:bottom w:val="single" w:sz="4" w:space="0" w:color="auto"/>
              <w:right w:val="single" w:sz="4" w:space="0" w:color="auto"/>
            </w:tcBorders>
            <w:shd w:val="clear" w:color="auto" w:fill="FFCCCC"/>
            <w:noWrap/>
            <w:vAlign w:val="center"/>
            <w:hideMark/>
          </w:tcPr>
          <w:p w14:paraId="739099B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4·51E-03</w:t>
            </w:r>
          </w:p>
        </w:tc>
        <w:tc>
          <w:tcPr>
            <w:tcW w:w="1680" w:type="dxa"/>
            <w:tcBorders>
              <w:top w:val="nil"/>
              <w:left w:val="nil"/>
              <w:bottom w:val="single" w:sz="4" w:space="0" w:color="auto"/>
              <w:right w:val="single" w:sz="4" w:space="0" w:color="auto"/>
            </w:tcBorders>
            <w:shd w:val="clear" w:color="auto" w:fill="FFCCCC"/>
            <w:noWrap/>
            <w:vAlign w:val="center"/>
            <w:hideMark/>
          </w:tcPr>
          <w:p w14:paraId="0D6532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76FDA11"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483B1E5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Asn</w:t>
            </w:r>
            <w:proofErr w:type="spellEnd"/>
            <w:r w:rsidRPr="00BA04D2">
              <w:rPr>
                <w:rFonts w:eastAsia="Times New Roman" w:cs="Times New Roman"/>
                <w:color w:val="000000"/>
                <w:sz w:val="16"/>
                <w:szCs w:val="16"/>
                <w:lang w:eastAsia="en-AU"/>
              </w:rPr>
              <w:t>/Ser/</w:t>
            </w:r>
            <w:proofErr w:type="spellStart"/>
            <w:r w:rsidRPr="00BA04D2">
              <w:rPr>
                <w:rFonts w:eastAsia="Times New Roman" w:cs="Times New Roman"/>
                <w:color w:val="000000"/>
                <w:sz w:val="16"/>
                <w:szCs w:val="16"/>
                <w:lang w:eastAsia="en-AU"/>
              </w:rPr>
              <w:t>Thr</w:t>
            </w:r>
            <w:proofErr w:type="spellEnd"/>
          </w:p>
        </w:tc>
        <w:tc>
          <w:tcPr>
            <w:tcW w:w="787" w:type="dxa"/>
            <w:tcBorders>
              <w:top w:val="nil"/>
              <w:left w:val="nil"/>
              <w:bottom w:val="single" w:sz="4" w:space="0" w:color="auto"/>
              <w:right w:val="single" w:sz="4" w:space="0" w:color="auto"/>
            </w:tcBorders>
            <w:shd w:val="clear" w:color="auto" w:fill="FFCCCC"/>
            <w:noWrap/>
            <w:vAlign w:val="center"/>
            <w:hideMark/>
          </w:tcPr>
          <w:p w14:paraId="1F078F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0011507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1·53</w:t>
            </w:r>
          </w:p>
        </w:tc>
        <w:tc>
          <w:tcPr>
            <w:tcW w:w="891" w:type="dxa"/>
            <w:tcBorders>
              <w:top w:val="nil"/>
              <w:left w:val="nil"/>
              <w:bottom w:val="single" w:sz="4" w:space="0" w:color="auto"/>
              <w:right w:val="single" w:sz="4" w:space="0" w:color="auto"/>
            </w:tcBorders>
            <w:shd w:val="clear" w:color="auto" w:fill="FFCCCC"/>
            <w:noWrap/>
            <w:vAlign w:val="center"/>
            <w:hideMark/>
          </w:tcPr>
          <w:p w14:paraId="3347E63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4·80E-03</w:t>
            </w:r>
          </w:p>
        </w:tc>
        <w:tc>
          <w:tcPr>
            <w:tcW w:w="1680" w:type="dxa"/>
            <w:tcBorders>
              <w:top w:val="nil"/>
              <w:left w:val="nil"/>
              <w:bottom w:val="single" w:sz="4" w:space="0" w:color="auto"/>
              <w:right w:val="single" w:sz="4" w:space="0" w:color="auto"/>
            </w:tcBorders>
            <w:shd w:val="clear" w:color="auto" w:fill="FFCCCC"/>
            <w:noWrap/>
            <w:vAlign w:val="center"/>
            <w:hideMark/>
          </w:tcPr>
          <w:p w14:paraId="68581D7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1D6EFF1"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390D849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Coelenterazine cp</w:t>
            </w:r>
          </w:p>
        </w:tc>
        <w:tc>
          <w:tcPr>
            <w:tcW w:w="787" w:type="dxa"/>
            <w:tcBorders>
              <w:top w:val="nil"/>
              <w:left w:val="nil"/>
              <w:bottom w:val="single" w:sz="4" w:space="0" w:color="auto"/>
              <w:right w:val="single" w:sz="4" w:space="0" w:color="auto"/>
            </w:tcBorders>
            <w:shd w:val="clear" w:color="auto" w:fill="FFCCCC"/>
            <w:noWrap/>
            <w:vAlign w:val="center"/>
            <w:hideMark/>
          </w:tcPr>
          <w:p w14:paraId="56A524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187ABA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1·69</w:t>
            </w:r>
          </w:p>
        </w:tc>
        <w:tc>
          <w:tcPr>
            <w:tcW w:w="891" w:type="dxa"/>
            <w:tcBorders>
              <w:top w:val="nil"/>
              <w:left w:val="nil"/>
              <w:bottom w:val="single" w:sz="4" w:space="0" w:color="auto"/>
              <w:right w:val="single" w:sz="4" w:space="0" w:color="auto"/>
            </w:tcBorders>
            <w:shd w:val="clear" w:color="auto" w:fill="FFCCCC"/>
            <w:noWrap/>
            <w:vAlign w:val="center"/>
            <w:hideMark/>
          </w:tcPr>
          <w:p w14:paraId="374B2F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5·21E-03</w:t>
            </w:r>
          </w:p>
        </w:tc>
        <w:tc>
          <w:tcPr>
            <w:tcW w:w="1680" w:type="dxa"/>
            <w:tcBorders>
              <w:top w:val="nil"/>
              <w:left w:val="nil"/>
              <w:bottom w:val="single" w:sz="4" w:space="0" w:color="auto"/>
              <w:right w:val="single" w:sz="4" w:space="0" w:color="auto"/>
            </w:tcBorders>
            <w:shd w:val="clear" w:color="auto" w:fill="FFCCCC"/>
            <w:noWrap/>
            <w:vAlign w:val="center"/>
            <w:hideMark/>
          </w:tcPr>
          <w:p w14:paraId="5A5D21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F6D6CB9"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6DBFB8A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2-Palmitoylglycerophosphocholine</w:t>
            </w:r>
          </w:p>
        </w:tc>
        <w:tc>
          <w:tcPr>
            <w:tcW w:w="787" w:type="dxa"/>
            <w:tcBorders>
              <w:top w:val="nil"/>
              <w:left w:val="nil"/>
              <w:bottom w:val="single" w:sz="4" w:space="0" w:color="auto"/>
              <w:right w:val="single" w:sz="4" w:space="0" w:color="auto"/>
            </w:tcBorders>
            <w:shd w:val="clear" w:color="auto" w:fill="FFCCCC"/>
            <w:noWrap/>
            <w:vAlign w:val="center"/>
            <w:hideMark/>
          </w:tcPr>
          <w:p w14:paraId="6F1AEEA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7742416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5·39</w:t>
            </w:r>
          </w:p>
        </w:tc>
        <w:tc>
          <w:tcPr>
            <w:tcW w:w="891" w:type="dxa"/>
            <w:tcBorders>
              <w:top w:val="nil"/>
              <w:left w:val="nil"/>
              <w:bottom w:val="single" w:sz="4" w:space="0" w:color="auto"/>
              <w:right w:val="single" w:sz="4" w:space="0" w:color="auto"/>
            </w:tcBorders>
            <w:shd w:val="clear" w:color="auto" w:fill="FFCCCC"/>
            <w:noWrap/>
            <w:vAlign w:val="center"/>
            <w:hideMark/>
          </w:tcPr>
          <w:p w14:paraId="43D2EF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1·45E-02</w:t>
            </w:r>
          </w:p>
        </w:tc>
        <w:tc>
          <w:tcPr>
            <w:tcW w:w="1680" w:type="dxa"/>
            <w:tcBorders>
              <w:top w:val="nil"/>
              <w:left w:val="nil"/>
              <w:bottom w:val="single" w:sz="4" w:space="0" w:color="auto"/>
              <w:right w:val="single" w:sz="4" w:space="0" w:color="auto"/>
            </w:tcBorders>
            <w:shd w:val="clear" w:color="auto" w:fill="FFCCCC"/>
            <w:noWrap/>
            <w:vAlign w:val="center"/>
            <w:hideMark/>
          </w:tcPr>
          <w:p w14:paraId="0E38AD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B4316CF"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13F0B8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PA(O-36:2)</w:t>
            </w:r>
          </w:p>
        </w:tc>
        <w:tc>
          <w:tcPr>
            <w:tcW w:w="787" w:type="dxa"/>
            <w:tcBorders>
              <w:top w:val="nil"/>
              <w:left w:val="nil"/>
              <w:bottom w:val="single" w:sz="4" w:space="0" w:color="auto"/>
              <w:right w:val="single" w:sz="4" w:space="0" w:color="auto"/>
            </w:tcBorders>
            <w:shd w:val="clear" w:color="auto" w:fill="FFCCCC"/>
            <w:noWrap/>
            <w:vAlign w:val="center"/>
            <w:hideMark/>
          </w:tcPr>
          <w:p w14:paraId="14F0F7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7B4C89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1·50</w:t>
            </w:r>
          </w:p>
        </w:tc>
        <w:tc>
          <w:tcPr>
            <w:tcW w:w="891" w:type="dxa"/>
            <w:tcBorders>
              <w:top w:val="nil"/>
              <w:left w:val="nil"/>
              <w:bottom w:val="single" w:sz="4" w:space="0" w:color="auto"/>
              <w:right w:val="single" w:sz="4" w:space="0" w:color="auto"/>
            </w:tcBorders>
            <w:shd w:val="clear" w:color="auto" w:fill="FFCCCC"/>
            <w:noWrap/>
            <w:vAlign w:val="center"/>
            <w:hideMark/>
          </w:tcPr>
          <w:p w14:paraId="4249EA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2·63E-02</w:t>
            </w:r>
          </w:p>
        </w:tc>
        <w:tc>
          <w:tcPr>
            <w:tcW w:w="1680" w:type="dxa"/>
            <w:tcBorders>
              <w:top w:val="nil"/>
              <w:left w:val="nil"/>
              <w:bottom w:val="single" w:sz="4" w:space="0" w:color="auto"/>
              <w:right w:val="single" w:sz="4" w:space="0" w:color="auto"/>
            </w:tcBorders>
            <w:shd w:val="clear" w:color="auto" w:fill="FFCCCC"/>
            <w:noWrap/>
            <w:vAlign w:val="center"/>
            <w:hideMark/>
          </w:tcPr>
          <w:p w14:paraId="28C2264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02727F0"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17CED2B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16-Bromo-hexadecatrien-5,13-diynoic acid</w:t>
            </w:r>
          </w:p>
        </w:tc>
        <w:tc>
          <w:tcPr>
            <w:tcW w:w="787" w:type="dxa"/>
            <w:tcBorders>
              <w:top w:val="nil"/>
              <w:left w:val="nil"/>
              <w:bottom w:val="single" w:sz="4" w:space="0" w:color="auto"/>
              <w:right w:val="single" w:sz="4" w:space="0" w:color="auto"/>
            </w:tcBorders>
            <w:shd w:val="clear" w:color="auto" w:fill="FFCCCC"/>
            <w:noWrap/>
            <w:vAlign w:val="center"/>
            <w:hideMark/>
          </w:tcPr>
          <w:p w14:paraId="7475EC2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6AF166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1·55</w:t>
            </w:r>
          </w:p>
        </w:tc>
        <w:tc>
          <w:tcPr>
            <w:tcW w:w="891" w:type="dxa"/>
            <w:tcBorders>
              <w:top w:val="nil"/>
              <w:left w:val="nil"/>
              <w:bottom w:val="single" w:sz="4" w:space="0" w:color="auto"/>
              <w:right w:val="single" w:sz="4" w:space="0" w:color="auto"/>
            </w:tcBorders>
            <w:shd w:val="clear" w:color="auto" w:fill="FFCCCC"/>
            <w:noWrap/>
            <w:vAlign w:val="center"/>
            <w:hideMark/>
          </w:tcPr>
          <w:p w14:paraId="4A0220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3·06E-02</w:t>
            </w:r>
          </w:p>
        </w:tc>
        <w:tc>
          <w:tcPr>
            <w:tcW w:w="1680" w:type="dxa"/>
            <w:tcBorders>
              <w:top w:val="nil"/>
              <w:left w:val="nil"/>
              <w:bottom w:val="single" w:sz="4" w:space="0" w:color="auto"/>
              <w:right w:val="single" w:sz="4" w:space="0" w:color="auto"/>
            </w:tcBorders>
            <w:shd w:val="clear" w:color="auto" w:fill="FFCCCC"/>
            <w:noWrap/>
            <w:vAlign w:val="center"/>
            <w:hideMark/>
          </w:tcPr>
          <w:p w14:paraId="4EB490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72447AA"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7933E2FF"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Erythrulose</w:t>
            </w:r>
            <w:proofErr w:type="spellEnd"/>
            <w:r w:rsidRPr="00BA04D2">
              <w:rPr>
                <w:rFonts w:eastAsia="Times New Roman" w:cs="Times New Roman"/>
                <w:color w:val="000000"/>
                <w:sz w:val="16"/>
                <w:szCs w:val="16"/>
                <w:lang w:eastAsia="en-AU"/>
              </w:rPr>
              <w:t xml:space="preserve"> 1-phosphate</w:t>
            </w:r>
          </w:p>
        </w:tc>
        <w:tc>
          <w:tcPr>
            <w:tcW w:w="787" w:type="dxa"/>
            <w:tcBorders>
              <w:top w:val="nil"/>
              <w:left w:val="nil"/>
              <w:bottom w:val="single" w:sz="4" w:space="0" w:color="auto"/>
              <w:right w:val="single" w:sz="4" w:space="0" w:color="auto"/>
            </w:tcBorders>
            <w:shd w:val="clear" w:color="auto" w:fill="FFCCCC"/>
            <w:noWrap/>
            <w:vAlign w:val="center"/>
            <w:hideMark/>
          </w:tcPr>
          <w:p w14:paraId="5698556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C03394</w:t>
            </w:r>
          </w:p>
        </w:tc>
        <w:tc>
          <w:tcPr>
            <w:tcW w:w="1339" w:type="dxa"/>
            <w:tcBorders>
              <w:top w:val="nil"/>
              <w:left w:val="nil"/>
              <w:bottom w:val="single" w:sz="4" w:space="0" w:color="auto"/>
              <w:right w:val="single" w:sz="4" w:space="0" w:color="auto"/>
            </w:tcBorders>
            <w:shd w:val="clear" w:color="auto" w:fill="FFCCCC"/>
            <w:noWrap/>
            <w:vAlign w:val="center"/>
            <w:hideMark/>
          </w:tcPr>
          <w:p w14:paraId="2D11804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1·93</w:t>
            </w:r>
          </w:p>
        </w:tc>
        <w:tc>
          <w:tcPr>
            <w:tcW w:w="891" w:type="dxa"/>
            <w:tcBorders>
              <w:top w:val="nil"/>
              <w:left w:val="nil"/>
              <w:bottom w:val="single" w:sz="4" w:space="0" w:color="auto"/>
              <w:right w:val="single" w:sz="4" w:space="0" w:color="auto"/>
            </w:tcBorders>
            <w:shd w:val="clear" w:color="auto" w:fill="FFCCCC"/>
            <w:noWrap/>
            <w:vAlign w:val="center"/>
            <w:hideMark/>
          </w:tcPr>
          <w:p w14:paraId="1372E32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3·19E-02</w:t>
            </w:r>
          </w:p>
        </w:tc>
        <w:tc>
          <w:tcPr>
            <w:tcW w:w="1680" w:type="dxa"/>
            <w:tcBorders>
              <w:top w:val="nil"/>
              <w:left w:val="nil"/>
              <w:bottom w:val="single" w:sz="4" w:space="0" w:color="auto"/>
              <w:right w:val="single" w:sz="4" w:space="0" w:color="auto"/>
            </w:tcBorders>
            <w:shd w:val="clear" w:color="auto" w:fill="FFCCCC"/>
            <w:noWrap/>
            <w:vAlign w:val="center"/>
            <w:hideMark/>
          </w:tcPr>
          <w:p w14:paraId="39824F2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2962FAD"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25DE2831" w14:textId="77777777" w:rsidR="003F47CF" w:rsidRPr="00BA04D2" w:rsidRDefault="003F47CF" w:rsidP="000F7A14">
            <w:pPr>
              <w:spacing w:after="0"/>
              <w:jc w:val="left"/>
              <w:rPr>
                <w:rFonts w:eastAsia="Times New Roman" w:cs="Times New Roman"/>
                <w:color w:val="000000"/>
                <w:sz w:val="16"/>
                <w:szCs w:val="16"/>
                <w:lang w:eastAsia="en-AU"/>
              </w:rPr>
            </w:pPr>
            <w:bookmarkStart w:id="87" w:name="_Hlk206606210"/>
            <w:r w:rsidRPr="00BA04D2">
              <w:rPr>
                <w:rFonts w:eastAsia="Times New Roman" w:cs="Times New Roman"/>
                <w:color w:val="000000"/>
                <w:sz w:val="16"/>
                <w:szCs w:val="16"/>
                <w:lang w:eastAsia="en-AU"/>
              </w:rPr>
              <w:t>PIP (16:0/22:4)</w:t>
            </w:r>
            <w:bookmarkEnd w:id="87"/>
          </w:p>
        </w:tc>
        <w:tc>
          <w:tcPr>
            <w:tcW w:w="787" w:type="dxa"/>
            <w:tcBorders>
              <w:top w:val="nil"/>
              <w:left w:val="nil"/>
              <w:bottom w:val="single" w:sz="4" w:space="0" w:color="auto"/>
              <w:right w:val="single" w:sz="4" w:space="0" w:color="auto"/>
            </w:tcBorders>
            <w:shd w:val="clear" w:color="auto" w:fill="FFCCCC"/>
            <w:noWrap/>
            <w:vAlign w:val="center"/>
            <w:hideMark/>
          </w:tcPr>
          <w:p w14:paraId="56B894B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C00626</w:t>
            </w:r>
          </w:p>
        </w:tc>
        <w:tc>
          <w:tcPr>
            <w:tcW w:w="1339" w:type="dxa"/>
            <w:tcBorders>
              <w:top w:val="nil"/>
              <w:left w:val="nil"/>
              <w:bottom w:val="single" w:sz="4" w:space="0" w:color="auto"/>
              <w:right w:val="single" w:sz="4" w:space="0" w:color="auto"/>
            </w:tcBorders>
            <w:shd w:val="clear" w:color="auto" w:fill="FFCCCC"/>
            <w:noWrap/>
            <w:vAlign w:val="center"/>
            <w:hideMark/>
          </w:tcPr>
          <w:p w14:paraId="022D7A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1·70</w:t>
            </w:r>
          </w:p>
        </w:tc>
        <w:tc>
          <w:tcPr>
            <w:tcW w:w="891" w:type="dxa"/>
            <w:tcBorders>
              <w:top w:val="nil"/>
              <w:left w:val="nil"/>
              <w:bottom w:val="single" w:sz="4" w:space="0" w:color="auto"/>
              <w:right w:val="single" w:sz="4" w:space="0" w:color="auto"/>
            </w:tcBorders>
            <w:shd w:val="clear" w:color="auto" w:fill="FFCCCC"/>
            <w:noWrap/>
            <w:vAlign w:val="center"/>
            <w:hideMark/>
          </w:tcPr>
          <w:p w14:paraId="25AE76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3·28E-02</w:t>
            </w:r>
          </w:p>
        </w:tc>
        <w:tc>
          <w:tcPr>
            <w:tcW w:w="1680" w:type="dxa"/>
            <w:tcBorders>
              <w:top w:val="nil"/>
              <w:left w:val="nil"/>
              <w:bottom w:val="single" w:sz="4" w:space="0" w:color="auto"/>
              <w:right w:val="single" w:sz="4" w:space="0" w:color="auto"/>
            </w:tcBorders>
            <w:shd w:val="clear" w:color="auto" w:fill="FFCCCC"/>
            <w:noWrap/>
            <w:vAlign w:val="center"/>
            <w:hideMark/>
          </w:tcPr>
          <w:p w14:paraId="310687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801025D"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36AFE1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Orange I</w:t>
            </w:r>
          </w:p>
        </w:tc>
        <w:tc>
          <w:tcPr>
            <w:tcW w:w="787" w:type="dxa"/>
            <w:tcBorders>
              <w:top w:val="nil"/>
              <w:left w:val="nil"/>
              <w:bottom w:val="single" w:sz="4" w:space="0" w:color="auto"/>
              <w:right w:val="single" w:sz="4" w:space="0" w:color="auto"/>
            </w:tcBorders>
            <w:shd w:val="clear" w:color="auto" w:fill="FFCCCC"/>
            <w:noWrap/>
            <w:vAlign w:val="center"/>
            <w:hideMark/>
          </w:tcPr>
          <w:p w14:paraId="146159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75B52F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1·59</w:t>
            </w:r>
          </w:p>
        </w:tc>
        <w:tc>
          <w:tcPr>
            <w:tcW w:w="891" w:type="dxa"/>
            <w:tcBorders>
              <w:top w:val="nil"/>
              <w:left w:val="nil"/>
              <w:bottom w:val="single" w:sz="4" w:space="0" w:color="auto"/>
              <w:right w:val="single" w:sz="4" w:space="0" w:color="auto"/>
            </w:tcBorders>
            <w:shd w:val="clear" w:color="auto" w:fill="FFCCCC"/>
            <w:noWrap/>
            <w:vAlign w:val="center"/>
            <w:hideMark/>
          </w:tcPr>
          <w:p w14:paraId="42D9A08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3·82E-02</w:t>
            </w:r>
          </w:p>
        </w:tc>
        <w:tc>
          <w:tcPr>
            <w:tcW w:w="1680" w:type="dxa"/>
            <w:tcBorders>
              <w:top w:val="nil"/>
              <w:left w:val="nil"/>
              <w:bottom w:val="single" w:sz="4" w:space="0" w:color="auto"/>
              <w:right w:val="single" w:sz="4" w:space="0" w:color="auto"/>
            </w:tcBorders>
            <w:shd w:val="clear" w:color="auto" w:fill="FFCCCC"/>
            <w:noWrap/>
            <w:vAlign w:val="center"/>
            <w:hideMark/>
          </w:tcPr>
          <w:p w14:paraId="31EFCF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14C5BC1"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39C483E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3-Phosphonopyruvate</w:t>
            </w:r>
          </w:p>
        </w:tc>
        <w:tc>
          <w:tcPr>
            <w:tcW w:w="787" w:type="dxa"/>
            <w:tcBorders>
              <w:top w:val="nil"/>
              <w:left w:val="nil"/>
              <w:bottom w:val="single" w:sz="4" w:space="0" w:color="auto"/>
              <w:right w:val="single" w:sz="4" w:space="0" w:color="auto"/>
            </w:tcBorders>
            <w:shd w:val="clear" w:color="auto" w:fill="FFCCCC"/>
            <w:noWrap/>
            <w:vAlign w:val="center"/>
            <w:hideMark/>
          </w:tcPr>
          <w:p w14:paraId="4305E24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C02798</w:t>
            </w:r>
          </w:p>
        </w:tc>
        <w:tc>
          <w:tcPr>
            <w:tcW w:w="1339" w:type="dxa"/>
            <w:tcBorders>
              <w:top w:val="nil"/>
              <w:left w:val="nil"/>
              <w:bottom w:val="single" w:sz="4" w:space="0" w:color="auto"/>
              <w:right w:val="single" w:sz="4" w:space="0" w:color="auto"/>
            </w:tcBorders>
            <w:shd w:val="clear" w:color="auto" w:fill="FFCCCC"/>
            <w:noWrap/>
            <w:vAlign w:val="center"/>
            <w:hideMark/>
          </w:tcPr>
          <w:p w14:paraId="53C6AD1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1·94</w:t>
            </w:r>
          </w:p>
        </w:tc>
        <w:tc>
          <w:tcPr>
            <w:tcW w:w="891" w:type="dxa"/>
            <w:tcBorders>
              <w:top w:val="nil"/>
              <w:left w:val="nil"/>
              <w:bottom w:val="single" w:sz="4" w:space="0" w:color="auto"/>
              <w:right w:val="single" w:sz="4" w:space="0" w:color="auto"/>
            </w:tcBorders>
            <w:shd w:val="clear" w:color="auto" w:fill="FFCCCC"/>
            <w:noWrap/>
            <w:vAlign w:val="center"/>
            <w:hideMark/>
          </w:tcPr>
          <w:p w14:paraId="07EA0E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3·94E-02</w:t>
            </w:r>
          </w:p>
        </w:tc>
        <w:tc>
          <w:tcPr>
            <w:tcW w:w="1680" w:type="dxa"/>
            <w:tcBorders>
              <w:top w:val="nil"/>
              <w:left w:val="nil"/>
              <w:bottom w:val="single" w:sz="4" w:space="0" w:color="auto"/>
              <w:right w:val="single" w:sz="4" w:space="0" w:color="auto"/>
            </w:tcBorders>
            <w:shd w:val="clear" w:color="auto" w:fill="FFCCCC"/>
            <w:noWrap/>
            <w:vAlign w:val="center"/>
            <w:hideMark/>
          </w:tcPr>
          <w:p w14:paraId="393C81C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F22FEBE"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FFCCCC"/>
            <w:noWrap/>
            <w:vAlign w:val="center"/>
            <w:hideMark/>
          </w:tcPr>
          <w:p w14:paraId="4968E37D"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Triethylene</w:t>
            </w:r>
            <w:proofErr w:type="spellEnd"/>
            <w:r w:rsidRPr="00BA04D2">
              <w:rPr>
                <w:rFonts w:eastAsia="Times New Roman" w:cs="Times New Roman"/>
                <w:color w:val="000000"/>
                <w:sz w:val="16"/>
                <w:szCs w:val="16"/>
                <w:lang w:eastAsia="en-AU"/>
              </w:rPr>
              <w:t xml:space="preserve"> glycol</w:t>
            </w:r>
          </w:p>
        </w:tc>
        <w:tc>
          <w:tcPr>
            <w:tcW w:w="787" w:type="dxa"/>
            <w:tcBorders>
              <w:top w:val="nil"/>
              <w:left w:val="nil"/>
              <w:bottom w:val="single" w:sz="4" w:space="0" w:color="auto"/>
              <w:right w:val="single" w:sz="4" w:space="0" w:color="auto"/>
            </w:tcBorders>
            <w:shd w:val="clear" w:color="auto" w:fill="FFCCCC"/>
            <w:noWrap/>
            <w:vAlign w:val="center"/>
            <w:hideMark/>
          </w:tcPr>
          <w:p w14:paraId="57EC0D3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FFCCCC"/>
            <w:noWrap/>
            <w:vAlign w:val="center"/>
            <w:hideMark/>
          </w:tcPr>
          <w:p w14:paraId="15C4233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1·56</w:t>
            </w:r>
          </w:p>
        </w:tc>
        <w:tc>
          <w:tcPr>
            <w:tcW w:w="891" w:type="dxa"/>
            <w:tcBorders>
              <w:top w:val="nil"/>
              <w:left w:val="nil"/>
              <w:bottom w:val="single" w:sz="4" w:space="0" w:color="auto"/>
              <w:right w:val="single" w:sz="4" w:space="0" w:color="auto"/>
            </w:tcBorders>
            <w:shd w:val="clear" w:color="auto" w:fill="FFCCCC"/>
            <w:noWrap/>
            <w:vAlign w:val="center"/>
            <w:hideMark/>
          </w:tcPr>
          <w:p w14:paraId="2088CB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3·99E-02</w:t>
            </w:r>
          </w:p>
        </w:tc>
        <w:tc>
          <w:tcPr>
            <w:tcW w:w="1680" w:type="dxa"/>
            <w:tcBorders>
              <w:top w:val="nil"/>
              <w:left w:val="nil"/>
              <w:bottom w:val="single" w:sz="4" w:space="0" w:color="auto"/>
              <w:right w:val="single" w:sz="4" w:space="0" w:color="auto"/>
            </w:tcBorders>
            <w:shd w:val="clear" w:color="auto" w:fill="FFCCCC"/>
            <w:noWrap/>
            <w:vAlign w:val="center"/>
            <w:hideMark/>
          </w:tcPr>
          <w:p w14:paraId="3AFB8B7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FB0962A"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C93B209"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Araliacerebroside</w:t>
            </w:r>
            <w:proofErr w:type="spellEnd"/>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2921FC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17E0B6A9"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0·37</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22CC240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3·35E-04</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0C8FB2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CB41469"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47DB9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3-Hydroxy-2-methylpyridine-5-carboxylate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564AE0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C01270</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119DDB5B"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0·51</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6FF4FA3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4·39E-03</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242FE6C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6ACF819"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37FF6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Erucic acid</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5F32D82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C08316</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3C9BD36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0·64</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410A9BFE"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7·04E-03</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4F0F3D3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CADF68E"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4B68DA2" w14:textId="77777777" w:rsidR="003F47CF" w:rsidRPr="00BA04D2" w:rsidRDefault="003F47CF" w:rsidP="000F7A14">
            <w:pPr>
              <w:spacing w:after="0"/>
              <w:jc w:val="left"/>
              <w:rPr>
                <w:rFonts w:eastAsia="Times New Roman" w:cs="Times New Roman"/>
                <w:color w:val="000000"/>
                <w:sz w:val="16"/>
                <w:szCs w:val="16"/>
                <w:lang w:eastAsia="en-AU"/>
              </w:rPr>
            </w:pPr>
            <w:bookmarkStart w:id="88" w:name="_Hlk206606225"/>
            <w:r w:rsidRPr="00BA04D2">
              <w:rPr>
                <w:rFonts w:eastAsia="Times New Roman" w:cs="Times New Roman"/>
                <w:color w:val="000000"/>
                <w:sz w:val="16"/>
                <w:szCs w:val="16"/>
                <w:lang w:eastAsia="en-AU"/>
              </w:rPr>
              <w:t>Phosphorylcholine</w:t>
            </w:r>
            <w:bookmarkEnd w:id="88"/>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6A643C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C00588</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226ADFA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0·64</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791380B4"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1·02E-02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7C3D749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ACD0FEF"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8D886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Histidine </w:t>
            </w:r>
            <w:proofErr w:type="spellStart"/>
            <w:r w:rsidRPr="00BA04D2">
              <w:rPr>
                <w:rFonts w:eastAsia="Times New Roman" w:cs="Times New Roman"/>
                <w:color w:val="000000"/>
                <w:sz w:val="16"/>
                <w:szCs w:val="16"/>
                <w:lang w:eastAsia="en-AU"/>
              </w:rPr>
              <w:t>trimethylbetaine</w:t>
            </w:r>
            <w:proofErr w:type="spellEnd"/>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45B13D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C05575</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3B9EC7F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0·34</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5569F43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2·11E-02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5CC9F5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B24038F"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7E918B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2-(4-pyridyl) </w:t>
            </w:r>
            <w:proofErr w:type="spellStart"/>
            <w:r w:rsidRPr="00BA04D2">
              <w:rPr>
                <w:rFonts w:eastAsia="Times New Roman" w:cs="Times New Roman"/>
                <w:color w:val="000000"/>
                <w:sz w:val="16"/>
                <w:szCs w:val="16"/>
                <w:lang w:eastAsia="en-AU"/>
              </w:rPr>
              <w:t>ethanesulfonate</w:t>
            </w:r>
            <w:proofErr w:type="spellEnd"/>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04661C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5C720C91"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0·48</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1E58F28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2·17E-02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555D662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13A7B5A"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FA983A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Methionine sulfoxide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152C7D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C02989</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66D77D8D"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0·46</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73F8733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2·23E-02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1D6831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B4B4E25"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B9AF8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w:t>
            </w:r>
            <w:proofErr w:type="spellStart"/>
            <w:r w:rsidRPr="00BA04D2">
              <w:rPr>
                <w:rFonts w:eastAsia="Times New Roman" w:cs="Times New Roman"/>
                <w:color w:val="000000"/>
                <w:sz w:val="16"/>
                <w:szCs w:val="16"/>
                <w:lang w:eastAsia="en-AU"/>
              </w:rPr>
              <w:t>Aminobutyryl</w:t>
            </w:r>
            <w:proofErr w:type="spellEnd"/>
            <w:r w:rsidRPr="00BA04D2">
              <w:rPr>
                <w:rFonts w:eastAsia="Times New Roman" w:cs="Times New Roman"/>
                <w:color w:val="000000"/>
                <w:sz w:val="16"/>
                <w:szCs w:val="16"/>
                <w:lang w:eastAsia="en-AU"/>
              </w:rPr>
              <w:t>-lysine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034A60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575D22FE"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0·63</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2B144CE2"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2·70E-02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44D6461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6987866"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301DC5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gamma-Glutamyl-L-putrescine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396E31C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C15699</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53792A30"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0·40</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6A544D6D"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2·88E-02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3F2B2E3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2EDC06A"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24FD6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Farnesyl phosphate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5BE0A5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C20121</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543BE94A"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0·45</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1971984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3·01E-02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35EB677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5758B0C"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5FB571C"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Eicosadienoic</w:t>
            </w:r>
            <w:proofErr w:type="spellEnd"/>
            <w:r w:rsidRPr="00BA04D2">
              <w:rPr>
                <w:rFonts w:eastAsia="Times New Roman" w:cs="Times New Roman"/>
                <w:color w:val="000000"/>
                <w:sz w:val="16"/>
                <w:szCs w:val="16"/>
                <w:lang w:eastAsia="en-AU"/>
              </w:rPr>
              <w:t xml:space="preserve"> acid</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6649944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C16525</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2FCA5018"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0·65</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7F6F7C8F"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3·68E-02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730A83F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634531F"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642F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2-Amino-4-methyl-5-hydroxyethylthiazole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5391D4A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1C97D90C"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0·54</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086E54B0"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3·78E-02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0BB3A7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AAEE36B"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065736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4-Nitrophenol-alpha-D-galactopyranoside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6F07FCA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C04452</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20752150"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0·30</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488BB0D6"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3·98E-02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320BD3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68D2786"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257383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Hydroxyprolyl</w:t>
            </w:r>
            <w:proofErr w:type="spellEnd"/>
            <w:r w:rsidRPr="00BA04D2">
              <w:rPr>
                <w:rFonts w:eastAsia="Times New Roman" w:cs="Times New Roman"/>
                <w:color w:val="000000"/>
                <w:sz w:val="16"/>
                <w:szCs w:val="16"/>
                <w:lang w:eastAsia="en-AU"/>
              </w:rPr>
              <w:t>-Isoleucine</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171486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097C75B9"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0·49</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06BD0165"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4·02E-02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1BEB223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DAEFC4F" w14:textId="77777777" w:rsidTr="000F7A14">
        <w:trPr>
          <w:trHeight w:val="290"/>
        </w:trPr>
        <w:tc>
          <w:tcPr>
            <w:tcW w:w="3686"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031FD59"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Phosphoribosylformimino</w:t>
            </w:r>
            <w:proofErr w:type="spellEnd"/>
            <w:r w:rsidRPr="00BA04D2">
              <w:rPr>
                <w:rFonts w:eastAsia="Times New Roman" w:cs="Times New Roman"/>
                <w:color w:val="000000"/>
                <w:sz w:val="16"/>
                <w:szCs w:val="16"/>
                <w:lang w:eastAsia="en-AU"/>
              </w:rPr>
              <w:t>-AICAR-P</w:t>
            </w:r>
          </w:p>
        </w:tc>
        <w:tc>
          <w:tcPr>
            <w:tcW w:w="787" w:type="dxa"/>
            <w:tcBorders>
              <w:top w:val="nil"/>
              <w:left w:val="nil"/>
              <w:bottom w:val="single" w:sz="4" w:space="0" w:color="auto"/>
              <w:right w:val="single" w:sz="4" w:space="0" w:color="auto"/>
            </w:tcBorders>
            <w:shd w:val="clear" w:color="auto" w:fill="D9E2F3" w:themeFill="accent1" w:themeFillTint="33"/>
            <w:noWrap/>
            <w:vAlign w:val="center"/>
            <w:hideMark/>
          </w:tcPr>
          <w:p w14:paraId="68D1059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C04896</w:t>
            </w:r>
          </w:p>
        </w:tc>
        <w:tc>
          <w:tcPr>
            <w:tcW w:w="1339" w:type="dxa"/>
            <w:tcBorders>
              <w:top w:val="nil"/>
              <w:left w:val="nil"/>
              <w:bottom w:val="single" w:sz="4" w:space="0" w:color="auto"/>
              <w:right w:val="single" w:sz="4" w:space="0" w:color="auto"/>
            </w:tcBorders>
            <w:shd w:val="clear" w:color="auto" w:fill="D9E2F3" w:themeFill="accent1" w:themeFillTint="33"/>
            <w:noWrap/>
            <w:vAlign w:val="center"/>
            <w:hideMark/>
          </w:tcPr>
          <w:p w14:paraId="35D14069"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0·40</w:t>
            </w:r>
          </w:p>
        </w:tc>
        <w:tc>
          <w:tcPr>
            <w:tcW w:w="891" w:type="dxa"/>
            <w:tcBorders>
              <w:top w:val="nil"/>
              <w:left w:val="nil"/>
              <w:bottom w:val="single" w:sz="4" w:space="0" w:color="auto"/>
              <w:right w:val="single" w:sz="4" w:space="0" w:color="auto"/>
            </w:tcBorders>
            <w:shd w:val="clear" w:color="auto" w:fill="D9E2F3" w:themeFill="accent1" w:themeFillTint="33"/>
            <w:noWrap/>
            <w:vAlign w:val="center"/>
            <w:hideMark/>
          </w:tcPr>
          <w:p w14:paraId="37A0D6F5" w14:textId="77777777" w:rsidR="003F47CF" w:rsidRPr="00BA04D2" w:rsidRDefault="003F47CF" w:rsidP="000F7A14">
            <w:pPr>
              <w:spacing w:after="0"/>
              <w:jc w:val="left"/>
              <w:rPr>
                <w:rFonts w:eastAsia="Times New Roman" w:cs="Times New Roman"/>
                <w:sz w:val="16"/>
                <w:szCs w:val="16"/>
                <w:lang w:eastAsia="en-AU"/>
              </w:rPr>
            </w:pPr>
            <w:r w:rsidRPr="00BA04D2">
              <w:rPr>
                <w:rFonts w:eastAsia="Times New Roman" w:cs="Times New Roman"/>
                <w:sz w:val="16"/>
                <w:szCs w:val="16"/>
                <w:lang w:eastAsia="en-AU"/>
              </w:rPr>
              <w:t>4·35E-02</w:t>
            </w:r>
          </w:p>
        </w:tc>
        <w:tc>
          <w:tcPr>
            <w:tcW w:w="1680" w:type="dxa"/>
            <w:tcBorders>
              <w:top w:val="nil"/>
              <w:left w:val="nil"/>
              <w:bottom w:val="single" w:sz="4" w:space="0" w:color="auto"/>
              <w:right w:val="single" w:sz="4" w:space="0" w:color="auto"/>
            </w:tcBorders>
            <w:shd w:val="clear" w:color="auto" w:fill="D9E2F3" w:themeFill="accent1" w:themeFillTint="33"/>
            <w:noWrap/>
            <w:vAlign w:val="center"/>
            <w:hideMark/>
          </w:tcPr>
          <w:p w14:paraId="306354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6D125C28" w14:textId="77777777" w:rsidR="003F47CF" w:rsidRPr="00BA04D2" w:rsidRDefault="003F47CF" w:rsidP="003F47CF"/>
    <w:p w14:paraId="7466554D" w14:textId="77777777" w:rsidR="003F47CF" w:rsidRPr="00BA04D2" w:rsidRDefault="003F47CF" w:rsidP="003F47CF">
      <w:r w:rsidRPr="00BA04D2">
        <w:br w:type="page"/>
      </w:r>
    </w:p>
    <w:p w14:paraId="14E36509" w14:textId="77777777" w:rsidR="003F47CF" w:rsidRPr="00BA04D2" w:rsidRDefault="003F47CF" w:rsidP="003F47CF">
      <w:pPr>
        <w:pStyle w:val="Style2"/>
      </w:pPr>
      <w:bookmarkStart w:id="89" w:name="_Toc217293624"/>
      <w:bookmarkStart w:id="90" w:name="_Toc217294946"/>
      <w:r w:rsidRPr="00BA04D2">
        <w:lastRenderedPageBreak/>
        <w:t>Supplementary Table 10. Pathway analysis TRIAC</w:t>
      </w:r>
      <w:r>
        <w:t>/</w:t>
      </w:r>
      <w:r w:rsidRPr="00BA04D2">
        <w:t>Corn oil (LSSC)</w:t>
      </w:r>
      <w:bookmarkEnd w:id="89"/>
      <w:bookmarkEnd w:id="90"/>
    </w:p>
    <w:tbl>
      <w:tblPr>
        <w:tblStyle w:val="GridTable6Colorful-Accent5"/>
        <w:tblpPr w:leftFromText="180" w:rightFromText="180" w:vertAnchor="text" w:horzAnchor="margin" w:tblpY="103"/>
        <w:tblW w:w="8925" w:type="dxa"/>
        <w:tblLook w:val="04A0" w:firstRow="1" w:lastRow="0" w:firstColumn="1" w:lastColumn="0" w:noHBand="0" w:noVBand="1"/>
      </w:tblPr>
      <w:tblGrid>
        <w:gridCol w:w="3991"/>
        <w:gridCol w:w="986"/>
        <w:gridCol w:w="987"/>
        <w:gridCol w:w="987"/>
        <w:gridCol w:w="987"/>
        <w:gridCol w:w="987"/>
      </w:tblGrid>
      <w:tr w:rsidR="003F47CF" w:rsidRPr="00BA04D2" w14:paraId="7A3A378E"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91" w:type="dxa"/>
            <w:shd w:val="clear" w:color="auto" w:fill="4472C4" w:themeFill="accent1"/>
            <w:noWrap/>
            <w:vAlign w:val="center"/>
            <w:hideMark/>
          </w:tcPr>
          <w:p w14:paraId="72A7B9B2" w14:textId="77777777" w:rsidR="003F47CF" w:rsidRPr="00BA04D2" w:rsidRDefault="003F47CF" w:rsidP="000F7A14">
            <w:pPr>
              <w:spacing w:before="0"/>
              <w:jc w:val="left"/>
              <w:rPr>
                <w:rFonts w:eastAsia="Times New Roman" w:cs="Times New Roman"/>
                <w:i w:val="0"/>
                <w:color w:val="000000"/>
                <w:sz w:val="16"/>
                <w:szCs w:val="16"/>
                <w:lang w:eastAsia="en-AU"/>
              </w:rPr>
            </w:pPr>
            <w:bookmarkStart w:id="91" w:name="_Hlk208474601"/>
            <w:r w:rsidRPr="00BA04D2">
              <w:rPr>
                <w:rFonts w:eastAsia="Times New Roman" w:cs="Times New Roman"/>
                <w:i w:val="0"/>
                <w:color w:val="000000"/>
                <w:sz w:val="16"/>
                <w:szCs w:val="16"/>
                <w:lang w:eastAsia="en-AU"/>
              </w:rPr>
              <w:t> Pathway analysis TRIAC</w:t>
            </w:r>
            <w:r>
              <w:rPr>
                <w:rFonts w:eastAsia="Times New Roman" w:cs="Times New Roman"/>
                <w:i w:val="0"/>
                <w:color w:val="000000"/>
                <w:sz w:val="16"/>
                <w:szCs w:val="16"/>
                <w:lang w:eastAsia="en-AU"/>
              </w:rPr>
              <w:t>/</w:t>
            </w:r>
            <w:r w:rsidRPr="00BA04D2">
              <w:rPr>
                <w:rFonts w:eastAsia="Times New Roman" w:cs="Times New Roman"/>
                <w:i w:val="0"/>
                <w:color w:val="000000"/>
                <w:sz w:val="16"/>
                <w:szCs w:val="16"/>
                <w:lang w:eastAsia="en-AU"/>
              </w:rPr>
              <w:t xml:space="preserve">Corn oil (LSSC) </w:t>
            </w:r>
            <w:bookmarkEnd w:id="91"/>
          </w:p>
        </w:tc>
        <w:tc>
          <w:tcPr>
            <w:tcW w:w="986" w:type="dxa"/>
            <w:shd w:val="clear" w:color="auto" w:fill="4472C4" w:themeFill="accent1"/>
            <w:noWrap/>
            <w:vAlign w:val="center"/>
            <w:hideMark/>
          </w:tcPr>
          <w:p w14:paraId="278BE10B"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987" w:type="dxa"/>
            <w:shd w:val="clear" w:color="auto" w:fill="4472C4" w:themeFill="accent1"/>
            <w:noWrap/>
            <w:vAlign w:val="center"/>
            <w:hideMark/>
          </w:tcPr>
          <w:p w14:paraId="3C4534BE"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987" w:type="dxa"/>
            <w:shd w:val="clear" w:color="auto" w:fill="4472C4" w:themeFill="accent1"/>
            <w:noWrap/>
            <w:vAlign w:val="center"/>
            <w:hideMark/>
          </w:tcPr>
          <w:p w14:paraId="46053D62"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987" w:type="dxa"/>
            <w:shd w:val="clear" w:color="auto" w:fill="4472C4" w:themeFill="accent1"/>
            <w:noWrap/>
            <w:vAlign w:val="center"/>
            <w:hideMark/>
          </w:tcPr>
          <w:p w14:paraId="5210A2B4"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987" w:type="dxa"/>
            <w:shd w:val="clear" w:color="auto" w:fill="4472C4" w:themeFill="accent1"/>
            <w:noWrap/>
            <w:vAlign w:val="center"/>
            <w:hideMark/>
          </w:tcPr>
          <w:p w14:paraId="633EC5E1"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795257D4"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91" w:type="dxa"/>
            <w:noWrap/>
            <w:vAlign w:val="center"/>
            <w:hideMark/>
          </w:tcPr>
          <w:p w14:paraId="2672353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Phospholipid Biosynthesis</w:t>
            </w:r>
          </w:p>
        </w:tc>
        <w:tc>
          <w:tcPr>
            <w:tcW w:w="986" w:type="dxa"/>
            <w:noWrap/>
            <w:vAlign w:val="center"/>
            <w:hideMark/>
          </w:tcPr>
          <w:p w14:paraId="0670C89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25</w:t>
            </w:r>
          </w:p>
        </w:tc>
        <w:tc>
          <w:tcPr>
            <w:tcW w:w="987" w:type="dxa"/>
            <w:noWrap/>
            <w:vAlign w:val="center"/>
            <w:hideMark/>
          </w:tcPr>
          <w:p w14:paraId="2FCD010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0·07</w:t>
            </w:r>
          </w:p>
        </w:tc>
        <w:tc>
          <w:tcPr>
            <w:tcW w:w="987" w:type="dxa"/>
            <w:noWrap/>
            <w:vAlign w:val="center"/>
            <w:hideMark/>
          </w:tcPr>
          <w:p w14:paraId="66AC78A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87" w:type="dxa"/>
            <w:noWrap/>
            <w:vAlign w:val="center"/>
            <w:hideMark/>
          </w:tcPr>
          <w:p w14:paraId="019C763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0·002</w:t>
            </w:r>
          </w:p>
        </w:tc>
        <w:tc>
          <w:tcPr>
            <w:tcW w:w="987" w:type="dxa"/>
            <w:noWrap/>
            <w:vAlign w:val="center"/>
            <w:hideMark/>
          </w:tcPr>
          <w:p w14:paraId="6A7082AF"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0·03</w:t>
            </w:r>
          </w:p>
        </w:tc>
      </w:tr>
      <w:tr w:rsidR="003F47CF" w:rsidRPr="00BA04D2" w14:paraId="3290E8C0"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991" w:type="dxa"/>
            <w:noWrap/>
            <w:vAlign w:val="center"/>
            <w:hideMark/>
          </w:tcPr>
          <w:p w14:paraId="670046A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bookmarkStart w:id="92" w:name="_Hlk206605689"/>
            <w:r w:rsidRPr="00BA04D2">
              <w:rPr>
                <w:rFonts w:eastAsia="Times New Roman" w:cs="Times New Roman"/>
                <w:b w:val="0"/>
                <w:bCs w:val="0"/>
                <w:i w:val="0"/>
                <w:color w:val="000000"/>
                <w:sz w:val="16"/>
                <w:szCs w:val="16"/>
                <w:lang w:eastAsia="en-AU"/>
              </w:rPr>
              <w:t>Phosphatidylcholine Biosynthesis</w:t>
            </w:r>
            <w:bookmarkEnd w:id="92"/>
          </w:p>
        </w:tc>
        <w:tc>
          <w:tcPr>
            <w:tcW w:w="986" w:type="dxa"/>
            <w:noWrap/>
            <w:vAlign w:val="center"/>
            <w:hideMark/>
          </w:tcPr>
          <w:p w14:paraId="10A3E24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18</w:t>
            </w:r>
          </w:p>
        </w:tc>
        <w:tc>
          <w:tcPr>
            <w:tcW w:w="987" w:type="dxa"/>
            <w:noWrap/>
            <w:vAlign w:val="center"/>
            <w:hideMark/>
          </w:tcPr>
          <w:p w14:paraId="7A2C23D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c>
          <w:tcPr>
            <w:tcW w:w="987" w:type="dxa"/>
            <w:noWrap/>
            <w:vAlign w:val="center"/>
            <w:hideMark/>
          </w:tcPr>
          <w:p w14:paraId="0A68DB5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87" w:type="dxa"/>
            <w:noWrap/>
            <w:vAlign w:val="center"/>
            <w:hideMark/>
          </w:tcPr>
          <w:p w14:paraId="73B3241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c>
          <w:tcPr>
            <w:tcW w:w="987" w:type="dxa"/>
            <w:noWrap/>
            <w:vAlign w:val="center"/>
            <w:hideMark/>
          </w:tcPr>
          <w:p w14:paraId="3A7B985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r>
      <w:tr w:rsidR="003F47CF" w:rsidRPr="00BA04D2" w14:paraId="60EE94B5"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91" w:type="dxa"/>
            <w:noWrap/>
            <w:vAlign w:val="center"/>
            <w:hideMark/>
          </w:tcPr>
          <w:p w14:paraId="7C3DD3B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Sphingolipid Metabolism</w:t>
            </w:r>
          </w:p>
        </w:tc>
        <w:tc>
          <w:tcPr>
            <w:tcW w:w="986" w:type="dxa"/>
            <w:noWrap/>
            <w:vAlign w:val="center"/>
            <w:hideMark/>
          </w:tcPr>
          <w:p w14:paraId="6AF09FC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987" w:type="dxa"/>
            <w:noWrap/>
            <w:vAlign w:val="center"/>
            <w:hideMark/>
          </w:tcPr>
          <w:p w14:paraId="2C2F407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0·11</w:t>
            </w:r>
          </w:p>
        </w:tc>
        <w:tc>
          <w:tcPr>
            <w:tcW w:w="987" w:type="dxa"/>
            <w:noWrap/>
            <w:vAlign w:val="center"/>
            <w:hideMark/>
          </w:tcPr>
          <w:p w14:paraId="2BC993C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87" w:type="dxa"/>
            <w:noWrap/>
            <w:vAlign w:val="center"/>
            <w:hideMark/>
          </w:tcPr>
          <w:p w14:paraId="6F367AF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c>
          <w:tcPr>
            <w:tcW w:w="987" w:type="dxa"/>
            <w:noWrap/>
            <w:vAlign w:val="center"/>
            <w:hideMark/>
          </w:tcPr>
          <w:p w14:paraId="1817B7B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3B994FA4"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991" w:type="dxa"/>
            <w:noWrap/>
            <w:vAlign w:val="center"/>
            <w:hideMark/>
          </w:tcPr>
          <w:p w14:paraId="3BCBBF51"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Methionine Metabolism</w:t>
            </w:r>
          </w:p>
        </w:tc>
        <w:tc>
          <w:tcPr>
            <w:tcW w:w="986" w:type="dxa"/>
            <w:noWrap/>
            <w:vAlign w:val="center"/>
            <w:hideMark/>
          </w:tcPr>
          <w:p w14:paraId="12775EE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987" w:type="dxa"/>
            <w:noWrap/>
            <w:vAlign w:val="center"/>
            <w:hideMark/>
          </w:tcPr>
          <w:p w14:paraId="088124B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987" w:type="dxa"/>
            <w:noWrap/>
            <w:vAlign w:val="center"/>
            <w:hideMark/>
          </w:tcPr>
          <w:p w14:paraId="5D69E43B"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87" w:type="dxa"/>
            <w:noWrap/>
            <w:vAlign w:val="center"/>
            <w:hideMark/>
          </w:tcPr>
          <w:p w14:paraId="4265994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c>
          <w:tcPr>
            <w:tcW w:w="987" w:type="dxa"/>
            <w:noWrap/>
            <w:vAlign w:val="center"/>
            <w:hideMark/>
          </w:tcPr>
          <w:p w14:paraId="4EB61D9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bl>
    <w:p w14:paraId="03912C1C" w14:textId="77777777" w:rsidR="003F47CF" w:rsidRPr="00BA04D2" w:rsidRDefault="003F47CF" w:rsidP="003F47CF">
      <w:pPr>
        <w:spacing w:line="259" w:lineRule="auto"/>
        <w:jc w:val="left"/>
      </w:pPr>
    </w:p>
    <w:p w14:paraId="7355E65E" w14:textId="77777777" w:rsidR="003F47CF" w:rsidRPr="00BA04D2" w:rsidRDefault="003F47CF" w:rsidP="003F47CF">
      <w:pPr>
        <w:spacing w:line="259" w:lineRule="auto"/>
        <w:jc w:val="left"/>
      </w:pPr>
      <w:r w:rsidRPr="00BA04D2">
        <w:br w:type="page"/>
      </w:r>
    </w:p>
    <w:p w14:paraId="417386D4" w14:textId="77777777" w:rsidR="003F47CF" w:rsidRPr="00BA04D2" w:rsidRDefault="003F47CF" w:rsidP="003F47CF">
      <w:pPr>
        <w:pStyle w:val="Style2"/>
      </w:pPr>
      <w:bookmarkStart w:id="93" w:name="_Toc217293625"/>
      <w:bookmarkStart w:id="94" w:name="_Toc217294947"/>
      <w:r w:rsidRPr="00BA04D2">
        <w:lastRenderedPageBreak/>
        <w:t>Supplementary Table 11. Dysregulated metabolites in DITPA/TRIAC (LSSC).</w:t>
      </w:r>
      <w:bookmarkEnd w:id="93"/>
      <w:bookmarkEnd w:id="94"/>
    </w:p>
    <w:tbl>
      <w:tblPr>
        <w:tblW w:w="8930" w:type="dxa"/>
        <w:tblInd w:w="-5" w:type="dxa"/>
        <w:tblLook w:val="04A0" w:firstRow="1" w:lastRow="0" w:firstColumn="1" w:lastColumn="0" w:noHBand="0" w:noVBand="1"/>
      </w:tblPr>
      <w:tblGrid>
        <w:gridCol w:w="3759"/>
        <w:gridCol w:w="934"/>
        <w:gridCol w:w="1361"/>
        <w:gridCol w:w="1060"/>
        <w:gridCol w:w="1816"/>
      </w:tblGrid>
      <w:tr w:rsidR="003F47CF" w:rsidRPr="00BA04D2" w14:paraId="50A5DF05" w14:textId="77777777" w:rsidTr="000F7A14">
        <w:trPr>
          <w:trHeight w:val="29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85566"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Dysregulated metabolites (DITPA/TRIAC)</w:t>
            </w:r>
          </w:p>
          <w:p w14:paraId="42C0F07D" w14:textId="77777777" w:rsidR="003F47CF" w:rsidRPr="00BA04D2" w:rsidRDefault="003F47CF" w:rsidP="000F7A14">
            <w:pPr>
              <w:spacing w:after="0"/>
              <w:jc w:val="center"/>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(LSSC)</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ED6BB5B"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EDE8AFF"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A8712B6"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E57AD3"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609C1BC7"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0669B2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w:t>
            </w:r>
            <w:proofErr w:type="spellStart"/>
            <w:r w:rsidRPr="00BA04D2">
              <w:rPr>
                <w:rFonts w:eastAsia="Times New Roman" w:cs="Times New Roman"/>
                <w:color w:val="000000"/>
                <w:sz w:val="16"/>
                <w:szCs w:val="16"/>
                <w:lang w:eastAsia="en-AU"/>
              </w:rPr>
              <w:t>eicosatetraenoyl</w:t>
            </w:r>
            <w:proofErr w:type="spellEnd"/>
            <w:r w:rsidRPr="00BA04D2">
              <w:rPr>
                <w:rFonts w:eastAsia="Times New Roman" w:cs="Times New Roman"/>
                <w:color w:val="000000"/>
                <w:sz w:val="16"/>
                <w:szCs w:val="16"/>
                <w:lang w:eastAsia="en-AU"/>
              </w:rPr>
              <w:t>)-sn-glycero-3-phospho-(1'-sn-glycerol)</w:t>
            </w:r>
          </w:p>
        </w:tc>
        <w:tc>
          <w:tcPr>
            <w:tcW w:w="875" w:type="dxa"/>
            <w:tcBorders>
              <w:top w:val="nil"/>
              <w:left w:val="nil"/>
              <w:bottom w:val="single" w:sz="4" w:space="0" w:color="auto"/>
              <w:right w:val="single" w:sz="4" w:space="0" w:color="auto"/>
            </w:tcBorders>
            <w:shd w:val="clear" w:color="auto" w:fill="FFCCCC"/>
            <w:noWrap/>
            <w:vAlign w:val="center"/>
            <w:hideMark/>
          </w:tcPr>
          <w:p w14:paraId="1FE1C5B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336AE18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1·53</w:t>
            </w:r>
          </w:p>
        </w:tc>
        <w:tc>
          <w:tcPr>
            <w:tcW w:w="993" w:type="dxa"/>
            <w:tcBorders>
              <w:top w:val="nil"/>
              <w:left w:val="nil"/>
              <w:bottom w:val="single" w:sz="4" w:space="0" w:color="auto"/>
              <w:right w:val="single" w:sz="4" w:space="0" w:color="auto"/>
            </w:tcBorders>
            <w:shd w:val="clear" w:color="auto" w:fill="FFCCCC"/>
            <w:noWrap/>
            <w:vAlign w:val="center"/>
            <w:hideMark/>
          </w:tcPr>
          <w:p w14:paraId="265A24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5·89E-03</w:t>
            </w:r>
          </w:p>
        </w:tc>
        <w:tc>
          <w:tcPr>
            <w:tcW w:w="1701" w:type="dxa"/>
            <w:tcBorders>
              <w:top w:val="nil"/>
              <w:left w:val="nil"/>
              <w:bottom w:val="single" w:sz="4" w:space="0" w:color="auto"/>
              <w:right w:val="single" w:sz="4" w:space="0" w:color="auto"/>
            </w:tcBorders>
            <w:shd w:val="clear" w:color="auto" w:fill="FFCCCC"/>
            <w:noWrap/>
            <w:vAlign w:val="center"/>
            <w:hideMark/>
          </w:tcPr>
          <w:p w14:paraId="6B4567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5ECC85F"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5FE280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SM(d18:1/18:0)</w:t>
            </w:r>
          </w:p>
        </w:tc>
        <w:tc>
          <w:tcPr>
            <w:tcW w:w="875" w:type="dxa"/>
            <w:tcBorders>
              <w:top w:val="nil"/>
              <w:left w:val="nil"/>
              <w:bottom w:val="single" w:sz="4" w:space="0" w:color="auto"/>
              <w:right w:val="single" w:sz="4" w:space="0" w:color="auto"/>
            </w:tcBorders>
            <w:shd w:val="clear" w:color="auto" w:fill="FFCCCC"/>
            <w:noWrap/>
            <w:vAlign w:val="center"/>
            <w:hideMark/>
          </w:tcPr>
          <w:p w14:paraId="0F750F3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C00550</w:t>
            </w:r>
          </w:p>
        </w:tc>
        <w:tc>
          <w:tcPr>
            <w:tcW w:w="1275" w:type="dxa"/>
            <w:tcBorders>
              <w:top w:val="nil"/>
              <w:left w:val="nil"/>
              <w:bottom w:val="single" w:sz="4" w:space="0" w:color="auto"/>
              <w:right w:val="single" w:sz="4" w:space="0" w:color="auto"/>
            </w:tcBorders>
            <w:shd w:val="clear" w:color="auto" w:fill="FFCCCC"/>
            <w:noWrap/>
            <w:vAlign w:val="center"/>
            <w:hideMark/>
          </w:tcPr>
          <w:p w14:paraId="18D4C44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1·58</w:t>
            </w:r>
          </w:p>
        </w:tc>
        <w:tc>
          <w:tcPr>
            <w:tcW w:w="993" w:type="dxa"/>
            <w:tcBorders>
              <w:top w:val="nil"/>
              <w:left w:val="nil"/>
              <w:bottom w:val="single" w:sz="4" w:space="0" w:color="auto"/>
              <w:right w:val="single" w:sz="4" w:space="0" w:color="auto"/>
            </w:tcBorders>
            <w:shd w:val="clear" w:color="auto" w:fill="FFCCCC"/>
            <w:noWrap/>
            <w:vAlign w:val="center"/>
            <w:hideMark/>
          </w:tcPr>
          <w:p w14:paraId="357A02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7·95E-03</w:t>
            </w:r>
          </w:p>
        </w:tc>
        <w:tc>
          <w:tcPr>
            <w:tcW w:w="1701" w:type="dxa"/>
            <w:tcBorders>
              <w:top w:val="nil"/>
              <w:left w:val="nil"/>
              <w:bottom w:val="single" w:sz="4" w:space="0" w:color="auto"/>
              <w:right w:val="single" w:sz="4" w:space="0" w:color="auto"/>
            </w:tcBorders>
            <w:shd w:val="clear" w:color="auto" w:fill="FFCCCC"/>
            <w:noWrap/>
            <w:vAlign w:val="center"/>
            <w:hideMark/>
          </w:tcPr>
          <w:p w14:paraId="24C573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E18E91E"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27CFBA4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2-Amino-4-methyl-5-hydroxyethylthiazole</w:t>
            </w:r>
          </w:p>
        </w:tc>
        <w:tc>
          <w:tcPr>
            <w:tcW w:w="875" w:type="dxa"/>
            <w:tcBorders>
              <w:top w:val="nil"/>
              <w:left w:val="nil"/>
              <w:bottom w:val="single" w:sz="4" w:space="0" w:color="auto"/>
              <w:right w:val="single" w:sz="4" w:space="0" w:color="auto"/>
            </w:tcBorders>
            <w:shd w:val="clear" w:color="auto" w:fill="FFCCCC"/>
            <w:noWrap/>
            <w:vAlign w:val="center"/>
            <w:hideMark/>
          </w:tcPr>
          <w:p w14:paraId="672B1B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BC51D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1·57</w:t>
            </w:r>
          </w:p>
        </w:tc>
        <w:tc>
          <w:tcPr>
            <w:tcW w:w="993" w:type="dxa"/>
            <w:tcBorders>
              <w:top w:val="nil"/>
              <w:left w:val="nil"/>
              <w:bottom w:val="single" w:sz="4" w:space="0" w:color="auto"/>
              <w:right w:val="single" w:sz="4" w:space="0" w:color="auto"/>
            </w:tcBorders>
            <w:shd w:val="clear" w:color="auto" w:fill="FFCCCC"/>
            <w:noWrap/>
            <w:vAlign w:val="center"/>
            <w:hideMark/>
          </w:tcPr>
          <w:p w14:paraId="5407586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8·48E-03</w:t>
            </w:r>
          </w:p>
        </w:tc>
        <w:tc>
          <w:tcPr>
            <w:tcW w:w="1701" w:type="dxa"/>
            <w:tcBorders>
              <w:top w:val="nil"/>
              <w:left w:val="nil"/>
              <w:bottom w:val="single" w:sz="4" w:space="0" w:color="auto"/>
              <w:right w:val="single" w:sz="4" w:space="0" w:color="auto"/>
            </w:tcBorders>
            <w:shd w:val="clear" w:color="auto" w:fill="FFCCCC"/>
            <w:noWrap/>
            <w:vAlign w:val="center"/>
            <w:hideMark/>
          </w:tcPr>
          <w:p w14:paraId="38D77E6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9258F5E"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5CB40A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N-(2-hydroxy-tetracosanoyl)-1-beta-glucosyl-hexadecasphingadienine</w:t>
            </w:r>
          </w:p>
        </w:tc>
        <w:tc>
          <w:tcPr>
            <w:tcW w:w="875" w:type="dxa"/>
            <w:tcBorders>
              <w:top w:val="nil"/>
              <w:left w:val="nil"/>
              <w:bottom w:val="single" w:sz="4" w:space="0" w:color="auto"/>
              <w:right w:val="single" w:sz="4" w:space="0" w:color="auto"/>
            </w:tcBorders>
            <w:shd w:val="clear" w:color="auto" w:fill="FFCCCC"/>
            <w:noWrap/>
            <w:vAlign w:val="center"/>
            <w:hideMark/>
          </w:tcPr>
          <w:p w14:paraId="0202B75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3D40A0A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w:t>
            </w:r>
          </w:p>
        </w:tc>
        <w:tc>
          <w:tcPr>
            <w:tcW w:w="993" w:type="dxa"/>
            <w:tcBorders>
              <w:top w:val="nil"/>
              <w:left w:val="nil"/>
              <w:bottom w:val="single" w:sz="4" w:space="0" w:color="auto"/>
              <w:right w:val="single" w:sz="4" w:space="0" w:color="auto"/>
            </w:tcBorders>
            <w:shd w:val="clear" w:color="auto" w:fill="FFCCCC"/>
            <w:noWrap/>
            <w:vAlign w:val="center"/>
            <w:hideMark/>
          </w:tcPr>
          <w:p w14:paraId="73611AC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1·46E-02</w:t>
            </w:r>
          </w:p>
        </w:tc>
        <w:tc>
          <w:tcPr>
            <w:tcW w:w="1701" w:type="dxa"/>
            <w:tcBorders>
              <w:top w:val="nil"/>
              <w:left w:val="nil"/>
              <w:bottom w:val="single" w:sz="4" w:space="0" w:color="auto"/>
              <w:right w:val="single" w:sz="4" w:space="0" w:color="auto"/>
            </w:tcBorders>
            <w:shd w:val="clear" w:color="auto" w:fill="FFCCCC"/>
            <w:noWrap/>
            <w:vAlign w:val="center"/>
            <w:hideMark/>
          </w:tcPr>
          <w:p w14:paraId="6F4C9C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27D42CB"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60F9F678"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Pentaethylene</w:t>
            </w:r>
            <w:proofErr w:type="spellEnd"/>
            <w:r w:rsidRPr="00BA04D2">
              <w:rPr>
                <w:rFonts w:eastAsia="Times New Roman" w:cs="Times New Roman"/>
                <w:color w:val="000000"/>
                <w:sz w:val="16"/>
                <w:szCs w:val="16"/>
                <w:lang w:eastAsia="en-AU"/>
              </w:rPr>
              <w:t xml:space="preserve"> glycol</w:t>
            </w:r>
          </w:p>
        </w:tc>
        <w:tc>
          <w:tcPr>
            <w:tcW w:w="875" w:type="dxa"/>
            <w:tcBorders>
              <w:top w:val="nil"/>
              <w:left w:val="nil"/>
              <w:bottom w:val="single" w:sz="4" w:space="0" w:color="auto"/>
              <w:right w:val="single" w:sz="4" w:space="0" w:color="auto"/>
            </w:tcBorders>
            <w:shd w:val="clear" w:color="auto" w:fill="FFCCCC"/>
            <w:noWrap/>
            <w:vAlign w:val="center"/>
            <w:hideMark/>
          </w:tcPr>
          <w:p w14:paraId="707133F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1E31A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1·69</w:t>
            </w:r>
          </w:p>
        </w:tc>
        <w:tc>
          <w:tcPr>
            <w:tcW w:w="993" w:type="dxa"/>
            <w:tcBorders>
              <w:top w:val="nil"/>
              <w:left w:val="nil"/>
              <w:bottom w:val="single" w:sz="4" w:space="0" w:color="auto"/>
              <w:right w:val="single" w:sz="4" w:space="0" w:color="auto"/>
            </w:tcBorders>
            <w:shd w:val="clear" w:color="auto" w:fill="FFCCCC"/>
            <w:noWrap/>
            <w:vAlign w:val="center"/>
            <w:hideMark/>
          </w:tcPr>
          <w:p w14:paraId="406CC7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1·77E-02</w:t>
            </w:r>
          </w:p>
        </w:tc>
        <w:tc>
          <w:tcPr>
            <w:tcW w:w="1701" w:type="dxa"/>
            <w:tcBorders>
              <w:top w:val="nil"/>
              <w:left w:val="nil"/>
              <w:bottom w:val="single" w:sz="4" w:space="0" w:color="auto"/>
              <w:right w:val="single" w:sz="4" w:space="0" w:color="auto"/>
            </w:tcBorders>
            <w:shd w:val="clear" w:color="auto" w:fill="FFCCCC"/>
            <w:noWrap/>
            <w:vAlign w:val="center"/>
            <w:hideMark/>
          </w:tcPr>
          <w:p w14:paraId="2828060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C901534"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3A783B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w:t>
            </w:r>
            <w:proofErr w:type="spellStart"/>
            <w:r w:rsidRPr="00BA04D2">
              <w:rPr>
                <w:rFonts w:eastAsia="Times New Roman" w:cs="Times New Roman"/>
                <w:color w:val="000000"/>
                <w:sz w:val="16"/>
                <w:szCs w:val="16"/>
                <w:lang w:eastAsia="en-AU"/>
              </w:rPr>
              <w:t>Aminobutyryl</w:t>
            </w:r>
            <w:proofErr w:type="spellEnd"/>
            <w:r w:rsidRPr="00BA04D2">
              <w:rPr>
                <w:rFonts w:eastAsia="Times New Roman" w:cs="Times New Roman"/>
                <w:color w:val="000000"/>
                <w:sz w:val="16"/>
                <w:szCs w:val="16"/>
                <w:lang w:eastAsia="en-AU"/>
              </w:rPr>
              <w:t>-lysine</w:t>
            </w:r>
          </w:p>
        </w:tc>
        <w:tc>
          <w:tcPr>
            <w:tcW w:w="875" w:type="dxa"/>
            <w:tcBorders>
              <w:top w:val="nil"/>
              <w:left w:val="nil"/>
              <w:bottom w:val="single" w:sz="4" w:space="0" w:color="auto"/>
              <w:right w:val="single" w:sz="4" w:space="0" w:color="auto"/>
            </w:tcBorders>
            <w:shd w:val="clear" w:color="auto" w:fill="FFCCCC"/>
            <w:noWrap/>
            <w:vAlign w:val="center"/>
            <w:hideMark/>
          </w:tcPr>
          <w:p w14:paraId="3188568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566CA3E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1·77</w:t>
            </w:r>
          </w:p>
        </w:tc>
        <w:tc>
          <w:tcPr>
            <w:tcW w:w="993" w:type="dxa"/>
            <w:tcBorders>
              <w:top w:val="nil"/>
              <w:left w:val="nil"/>
              <w:bottom w:val="single" w:sz="4" w:space="0" w:color="auto"/>
              <w:right w:val="single" w:sz="4" w:space="0" w:color="auto"/>
            </w:tcBorders>
            <w:shd w:val="clear" w:color="auto" w:fill="FFCCCC"/>
            <w:noWrap/>
            <w:vAlign w:val="center"/>
            <w:hideMark/>
          </w:tcPr>
          <w:p w14:paraId="20D7CD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2·28E-02</w:t>
            </w:r>
          </w:p>
        </w:tc>
        <w:tc>
          <w:tcPr>
            <w:tcW w:w="1701" w:type="dxa"/>
            <w:tcBorders>
              <w:top w:val="nil"/>
              <w:left w:val="nil"/>
              <w:bottom w:val="single" w:sz="4" w:space="0" w:color="auto"/>
              <w:right w:val="single" w:sz="4" w:space="0" w:color="auto"/>
            </w:tcBorders>
            <w:shd w:val="clear" w:color="auto" w:fill="FFCCCC"/>
            <w:noWrap/>
            <w:vAlign w:val="center"/>
            <w:hideMark/>
          </w:tcPr>
          <w:p w14:paraId="12059E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8918207"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3E8A55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Theanine</w:t>
            </w:r>
          </w:p>
        </w:tc>
        <w:tc>
          <w:tcPr>
            <w:tcW w:w="875" w:type="dxa"/>
            <w:tcBorders>
              <w:top w:val="nil"/>
              <w:left w:val="nil"/>
              <w:bottom w:val="single" w:sz="4" w:space="0" w:color="auto"/>
              <w:right w:val="single" w:sz="4" w:space="0" w:color="auto"/>
            </w:tcBorders>
            <w:shd w:val="clear" w:color="auto" w:fill="FFCCCC"/>
            <w:noWrap/>
            <w:vAlign w:val="center"/>
            <w:hideMark/>
          </w:tcPr>
          <w:p w14:paraId="5BEF2E1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C01047</w:t>
            </w:r>
          </w:p>
        </w:tc>
        <w:tc>
          <w:tcPr>
            <w:tcW w:w="1275" w:type="dxa"/>
            <w:tcBorders>
              <w:top w:val="nil"/>
              <w:left w:val="nil"/>
              <w:bottom w:val="single" w:sz="4" w:space="0" w:color="auto"/>
              <w:right w:val="single" w:sz="4" w:space="0" w:color="auto"/>
            </w:tcBorders>
            <w:shd w:val="clear" w:color="auto" w:fill="FFCCCC"/>
            <w:noWrap/>
            <w:vAlign w:val="center"/>
            <w:hideMark/>
          </w:tcPr>
          <w:p w14:paraId="01C8274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1·98</w:t>
            </w:r>
          </w:p>
        </w:tc>
        <w:tc>
          <w:tcPr>
            <w:tcW w:w="993" w:type="dxa"/>
            <w:tcBorders>
              <w:top w:val="nil"/>
              <w:left w:val="nil"/>
              <w:bottom w:val="single" w:sz="4" w:space="0" w:color="auto"/>
              <w:right w:val="single" w:sz="4" w:space="0" w:color="auto"/>
            </w:tcBorders>
            <w:shd w:val="clear" w:color="auto" w:fill="FFCCCC"/>
            <w:noWrap/>
            <w:vAlign w:val="center"/>
            <w:hideMark/>
          </w:tcPr>
          <w:p w14:paraId="7697E9D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3·32E-02</w:t>
            </w:r>
          </w:p>
        </w:tc>
        <w:tc>
          <w:tcPr>
            <w:tcW w:w="1701" w:type="dxa"/>
            <w:tcBorders>
              <w:top w:val="nil"/>
              <w:left w:val="nil"/>
              <w:bottom w:val="single" w:sz="4" w:space="0" w:color="auto"/>
              <w:right w:val="single" w:sz="4" w:space="0" w:color="auto"/>
            </w:tcBorders>
            <w:shd w:val="clear" w:color="auto" w:fill="FFCCCC"/>
            <w:noWrap/>
            <w:vAlign w:val="center"/>
            <w:hideMark/>
          </w:tcPr>
          <w:p w14:paraId="3CF1F0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BFEF645"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7135FF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FA (19:1)</w:t>
            </w:r>
          </w:p>
        </w:tc>
        <w:tc>
          <w:tcPr>
            <w:tcW w:w="875" w:type="dxa"/>
            <w:tcBorders>
              <w:top w:val="nil"/>
              <w:left w:val="nil"/>
              <w:bottom w:val="single" w:sz="4" w:space="0" w:color="auto"/>
              <w:right w:val="single" w:sz="4" w:space="0" w:color="auto"/>
            </w:tcBorders>
            <w:shd w:val="clear" w:color="auto" w:fill="FFCCCC"/>
            <w:noWrap/>
            <w:vAlign w:val="center"/>
            <w:hideMark/>
          </w:tcPr>
          <w:p w14:paraId="3F917A4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B0DEA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1·83</w:t>
            </w:r>
          </w:p>
        </w:tc>
        <w:tc>
          <w:tcPr>
            <w:tcW w:w="993" w:type="dxa"/>
            <w:tcBorders>
              <w:top w:val="nil"/>
              <w:left w:val="nil"/>
              <w:bottom w:val="single" w:sz="4" w:space="0" w:color="auto"/>
              <w:right w:val="single" w:sz="4" w:space="0" w:color="auto"/>
            </w:tcBorders>
            <w:shd w:val="clear" w:color="auto" w:fill="FFCCCC"/>
            <w:noWrap/>
            <w:vAlign w:val="center"/>
            <w:hideMark/>
          </w:tcPr>
          <w:p w14:paraId="6FDB23F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3·47E-02</w:t>
            </w:r>
          </w:p>
        </w:tc>
        <w:tc>
          <w:tcPr>
            <w:tcW w:w="1701" w:type="dxa"/>
            <w:tcBorders>
              <w:top w:val="nil"/>
              <w:left w:val="nil"/>
              <w:bottom w:val="single" w:sz="4" w:space="0" w:color="auto"/>
              <w:right w:val="single" w:sz="4" w:space="0" w:color="auto"/>
            </w:tcBorders>
            <w:shd w:val="clear" w:color="auto" w:fill="FFCCCC"/>
            <w:noWrap/>
            <w:vAlign w:val="center"/>
            <w:hideMark/>
          </w:tcPr>
          <w:p w14:paraId="44FF94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416BF1A"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1F3A84F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Cytidine</w:t>
            </w:r>
          </w:p>
        </w:tc>
        <w:tc>
          <w:tcPr>
            <w:tcW w:w="875" w:type="dxa"/>
            <w:tcBorders>
              <w:top w:val="nil"/>
              <w:left w:val="nil"/>
              <w:bottom w:val="single" w:sz="4" w:space="0" w:color="auto"/>
              <w:right w:val="single" w:sz="4" w:space="0" w:color="auto"/>
            </w:tcBorders>
            <w:shd w:val="clear" w:color="auto" w:fill="FFCCCC"/>
            <w:noWrap/>
            <w:vAlign w:val="center"/>
            <w:hideMark/>
          </w:tcPr>
          <w:p w14:paraId="230ADD2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C00475</w:t>
            </w:r>
          </w:p>
        </w:tc>
        <w:tc>
          <w:tcPr>
            <w:tcW w:w="1275" w:type="dxa"/>
            <w:tcBorders>
              <w:top w:val="nil"/>
              <w:left w:val="nil"/>
              <w:bottom w:val="single" w:sz="4" w:space="0" w:color="auto"/>
              <w:right w:val="single" w:sz="4" w:space="0" w:color="auto"/>
            </w:tcBorders>
            <w:shd w:val="clear" w:color="auto" w:fill="FFCCCC"/>
            <w:noWrap/>
            <w:vAlign w:val="center"/>
            <w:hideMark/>
          </w:tcPr>
          <w:p w14:paraId="72D3059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2·49</w:t>
            </w:r>
          </w:p>
        </w:tc>
        <w:tc>
          <w:tcPr>
            <w:tcW w:w="993" w:type="dxa"/>
            <w:tcBorders>
              <w:top w:val="nil"/>
              <w:left w:val="nil"/>
              <w:bottom w:val="single" w:sz="4" w:space="0" w:color="auto"/>
              <w:right w:val="single" w:sz="4" w:space="0" w:color="auto"/>
            </w:tcBorders>
            <w:shd w:val="clear" w:color="auto" w:fill="FFCCCC"/>
            <w:noWrap/>
            <w:vAlign w:val="center"/>
            <w:hideMark/>
          </w:tcPr>
          <w:p w14:paraId="24899B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4·27E-02</w:t>
            </w:r>
          </w:p>
        </w:tc>
        <w:tc>
          <w:tcPr>
            <w:tcW w:w="1701" w:type="dxa"/>
            <w:tcBorders>
              <w:top w:val="nil"/>
              <w:left w:val="nil"/>
              <w:bottom w:val="single" w:sz="4" w:space="0" w:color="auto"/>
              <w:right w:val="single" w:sz="4" w:space="0" w:color="auto"/>
            </w:tcBorders>
            <w:shd w:val="clear" w:color="auto" w:fill="FFCCCC"/>
            <w:noWrap/>
            <w:vAlign w:val="center"/>
            <w:hideMark/>
          </w:tcPr>
          <w:p w14:paraId="4E126E1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BE1609D"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67AE123F"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GlcCer</w:t>
            </w:r>
            <w:proofErr w:type="spellEnd"/>
            <w:r w:rsidRPr="00BA04D2">
              <w:rPr>
                <w:rFonts w:eastAsia="Times New Roman" w:cs="Times New Roman"/>
                <w:color w:val="000000"/>
                <w:sz w:val="16"/>
                <w:szCs w:val="16"/>
                <w:lang w:eastAsia="en-AU"/>
              </w:rPr>
              <w:t>(d18:1/23:0)</w:t>
            </w:r>
          </w:p>
        </w:tc>
        <w:tc>
          <w:tcPr>
            <w:tcW w:w="875" w:type="dxa"/>
            <w:tcBorders>
              <w:top w:val="nil"/>
              <w:left w:val="nil"/>
              <w:bottom w:val="single" w:sz="4" w:space="0" w:color="auto"/>
              <w:right w:val="single" w:sz="4" w:space="0" w:color="auto"/>
            </w:tcBorders>
            <w:shd w:val="clear" w:color="auto" w:fill="FFCCCC"/>
            <w:noWrap/>
            <w:vAlign w:val="center"/>
            <w:hideMark/>
          </w:tcPr>
          <w:p w14:paraId="1BFEF7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F77D89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1·53</w:t>
            </w:r>
          </w:p>
        </w:tc>
        <w:tc>
          <w:tcPr>
            <w:tcW w:w="993" w:type="dxa"/>
            <w:tcBorders>
              <w:top w:val="nil"/>
              <w:left w:val="nil"/>
              <w:bottom w:val="single" w:sz="4" w:space="0" w:color="auto"/>
              <w:right w:val="single" w:sz="4" w:space="0" w:color="auto"/>
            </w:tcBorders>
            <w:shd w:val="clear" w:color="auto" w:fill="FFCCCC"/>
            <w:noWrap/>
            <w:vAlign w:val="center"/>
            <w:hideMark/>
          </w:tcPr>
          <w:p w14:paraId="53BCE3A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1075A25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1972901"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60441052"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Heptaethylene</w:t>
            </w:r>
            <w:proofErr w:type="spellEnd"/>
            <w:r w:rsidRPr="00BA04D2">
              <w:rPr>
                <w:rFonts w:eastAsia="Times New Roman" w:cs="Times New Roman"/>
                <w:color w:val="000000"/>
                <w:sz w:val="16"/>
                <w:szCs w:val="16"/>
                <w:lang w:eastAsia="en-AU"/>
              </w:rPr>
              <w:t xml:space="preserve"> glycol</w:t>
            </w:r>
          </w:p>
        </w:tc>
        <w:tc>
          <w:tcPr>
            <w:tcW w:w="875" w:type="dxa"/>
            <w:tcBorders>
              <w:top w:val="nil"/>
              <w:left w:val="nil"/>
              <w:bottom w:val="single" w:sz="4" w:space="0" w:color="auto"/>
              <w:right w:val="single" w:sz="4" w:space="0" w:color="auto"/>
            </w:tcBorders>
            <w:shd w:val="clear" w:color="auto" w:fill="FFCCCC"/>
            <w:noWrap/>
            <w:vAlign w:val="center"/>
            <w:hideMark/>
          </w:tcPr>
          <w:p w14:paraId="2E32F6D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434D39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2·89</w:t>
            </w:r>
          </w:p>
        </w:tc>
        <w:tc>
          <w:tcPr>
            <w:tcW w:w="993" w:type="dxa"/>
            <w:tcBorders>
              <w:top w:val="nil"/>
              <w:left w:val="nil"/>
              <w:bottom w:val="single" w:sz="4" w:space="0" w:color="auto"/>
              <w:right w:val="single" w:sz="4" w:space="0" w:color="auto"/>
            </w:tcBorders>
            <w:shd w:val="clear" w:color="auto" w:fill="FFCCCC"/>
            <w:noWrap/>
            <w:vAlign w:val="center"/>
            <w:hideMark/>
          </w:tcPr>
          <w:p w14:paraId="29A67C9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73063E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1CF83F4"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FFCCCC"/>
            <w:noWrap/>
            <w:vAlign w:val="center"/>
            <w:hideMark/>
          </w:tcPr>
          <w:p w14:paraId="2F0CFA2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w:t>
            </w:r>
            <w:proofErr w:type="gramStart"/>
            <w:r w:rsidRPr="00BA04D2">
              <w:rPr>
                <w:rFonts w:eastAsia="Times New Roman" w:cs="Times New Roman"/>
                <w:color w:val="000000"/>
                <w:sz w:val="16"/>
                <w:szCs w:val="16"/>
                <w:lang w:eastAsia="en-AU"/>
              </w:rPr>
              <w:t>pyridyl)</w:t>
            </w:r>
            <w:proofErr w:type="spellStart"/>
            <w:r w:rsidRPr="00BA04D2">
              <w:rPr>
                <w:rFonts w:eastAsia="Times New Roman" w:cs="Times New Roman"/>
                <w:color w:val="000000"/>
                <w:sz w:val="16"/>
                <w:szCs w:val="16"/>
                <w:lang w:eastAsia="en-AU"/>
              </w:rPr>
              <w:t>ethanesulfonate</w:t>
            </w:r>
            <w:proofErr w:type="spellEnd"/>
            <w:proofErr w:type="gramEnd"/>
          </w:p>
        </w:tc>
        <w:tc>
          <w:tcPr>
            <w:tcW w:w="875" w:type="dxa"/>
            <w:tcBorders>
              <w:top w:val="nil"/>
              <w:left w:val="nil"/>
              <w:bottom w:val="single" w:sz="4" w:space="0" w:color="auto"/>
              <w:right w:val="single" w:sz="4" w:space="0" w:color="auto"/>
            </w:tcBorders>
            <w:shd w:val="clear" w:color="auto" w:fill="FFCCCC"/>
            <w:noWrap/>
            <w:vAlign w:val="center"/>
            <w:hideMark/>
          </w:tcPr>
          <w:p w14:paraId="1FE6A95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6EFBB81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1·72</w:t>
            </w:r>
          </w:p>
        </w:tc>
        <w:tc>
          <w:tcPr>
            <w:tcW w:w="993" w:type="dxa"/>
            <w:tcBorders>
              <w:top w:val="nil"/>
              <w:left w:val="nil"/>
              <w:bottom w:val="single" w:sz="4" w:space="0" w:color="auto"/>
              <w:right w:val="single" w:sz="4" w:space="0" w:color="auto"/>
            </w:tcBorders>
            <w:shd w:val="clear" w:color="auto" w:fill="FFCCCC"/>
            <w:noWrap/>
            <w:vAlign w:val="center"/>
            <w:hideMark/>
          </w:tcPr>
          <w:p w14:paraId="49D20E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FFCCCC"/>
            <w:noWrap/>
            <w:vAlign w:val="center"/>
            <w:hideMark/>
          </w:tcPr>
          <w:p w14:paraId="1A7EE9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B8680B4"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105D59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Ophthalmic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7DF292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C21016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73A218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C24C42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1·29E-04</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98702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DB4D736"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20442C0"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Ureidopropionic</w:t>
            </w:r>
            <w:proofErr w:type="spellEnd"/>
            <w:r w:rsidRPr="00BA04D2">
              <w:rPr>
                <w:rFonts w:eastAsia="Times New Roman" w:cs="Times New Roman"/>
                <w:color w:val="000000"/>
                <w:sz w:val="16"/>
                <w:szCs w:val="16"/>
                <w:lang w:eastAsia="en-AU"/>
              </w:rPr>
              <w:t xml:space="preserve">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48816C8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C02642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82E75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955072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3·10E-03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DFFE9A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116D04C"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DB0F72D"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Phosphoenolpyruvic</w:t>
            </w:r>
            <w:proofErr w:type="spellEnd"/>
            <w:r w:rsidRPr="00BA04D2">
              <w:rPr>
                <w:rFonts w:eastAsia="Times New Roman" w:cs="Times New Roman"/>
                <w:color w:val="000000"/>
                <w:sz w:val="16"/>
                <w:szCs w:val="16"/>
                <w:lang w:eastAsia="en-AU"/>
              </w:rPr>
              <w:t xml:space="preserve">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9075A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C00074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A373C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429A8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3·23E-03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2D20743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D140282"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41D2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Met/Met/His</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F36FD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BADE3E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90C24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6·49E-03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1DC57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ED056C6"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3B141B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2,3-dihydro-3-hydroxy-anthranilate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423310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C0A04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75F94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7·27E-03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8CE564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6B8AB2B"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99DF59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gamma-L-Glutamyl-L-pipecolic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5BE3B83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A1FC4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FCF4D4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8·38E-03</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ED4D9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51BE9CE"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58B5D3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Asp/Asp/Asp/Pro/Gln</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0E8339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B3F0A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C910C0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1·14E-02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386CA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7076F75"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AE572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2-Palmitoylglycerophosphocholine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4F63C3B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157667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0·17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103E0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1·46E-02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CB5D7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29E6DB7"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34B80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Allantoin</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42859E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C02350</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B130C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0·50</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4CEB6C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1·72E-02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94622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EFBEC2F"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2E3D07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Homo-L-arginine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68C1F81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C01924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45687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0·56</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6A8A00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2·14E-02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E110B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33A6269"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1A0AC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2-(Methylamino)benzoic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1C0A6E9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C03005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7410D6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75AC79B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2·96E-02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74C561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157F904"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1DE3A2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Aminoadipic acid</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456A96A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C00956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52186D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0·37</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123FBE1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3·05E-02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26CC1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4C8CE0F"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6F8BB1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Adenosine triphosphate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F2F04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9DBE2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39752A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3·67E-02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F4B3F5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849C95A"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695E1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Cysteinyl-Hydroxyproline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0F0452D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3EA9B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A62538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3·96E-02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92C01B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69E19F1"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1BE6AAB"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Hydroxymethylphosphonate</w:t>
            </w:r>
            <w:proofErr w:type="spellEnd"/>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10F0E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C06455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9A51E5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0·49</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E8A563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4·45E-02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5C1B19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D27533E"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A55E7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4-Amino-4-deoxy-L-arabinose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5CAB69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C20931</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6EC40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0·63</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207CB6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4·88E-02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6B761C4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0074CCA"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8B132C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Undecanoylglycine</w:t>
            </w:r>
            <w:proofErr w:type="spellEnd"/>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20F62AE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ED7B5C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46499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4·99E-02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32714F9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DC49EBA"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319C1AA"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Homostachydrine</w:t>
            </w:r>
            <w:proofErr w:type="spellEnd"/>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E27804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C08283</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C70343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47905D2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85270F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5755EE1"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B0A2E1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NADPH</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3097377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437CD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5BE248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130016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B65D725"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2C587C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Thymine</w:t>
            </w:r>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6EF68CF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C00178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38A0D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6241A72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0BB5756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B548343" w14:textId="77777777" w:rsidTr="000F7A14">
        <w:trPr>
          <w:trHeight w:val="290"/>
        </w:trPr>
        <w:tc>
          <w:tcPr>
            <w:tcW w:w="3520"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CFB816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DL--</w:t>
            </w:r>
            <w:proofErr w:type="spellStart"/>
            <w:r w:rsidRPr="00BA04D2">
              <w:rPr>
                <w:rFonts w:eastAsia="Times New Roman" w:cs="Times New Roman"/>
                <w:color w:val="000000"/>
                <w:sz w:val="16"/>
                <w:szCs w:val="16"/>
                <w:lang w:eastAsia="en-AU"/>
              </w:rPr>
              <w:t>hydroxynorvaline</w:t>
            </w:r>
            <w:proofErr w:type="spellEnd"/>
          </w:p>
        </w:tc>
        <w:tc>
          <w:tcPr>
            <w:tcW w:w="875" w:type="dxa"/>
            <w:tcBorders>
              <w:top w:val="nil"/>
              <w:left w:val="nil"/>
              <w:bottom w:val="single" w:sz="4" w:space="0" w:color="auto"/>
              <w:right w:val="single" w:sz="4" w:space="0" w:color="auto"/>
            </w:tcBorders>
            <w:shd w:val="clear" w:color="auto" w:fill="D9E2F3" w:themeFill="accent1" w:themeFillTint="33"/>
            <w:noWrap/>
            <w:vAlign w:val="center"/>
            <w:hideMark/>
          </w:tcPr>
          <w:p w14:paraId="77A039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8D9A1C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14:paraId="301FB0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5·00E-02</w:t>
            </w:r>
          </w:p>
        </w:tc>
        <w:tc>
          <w:tcPr>
            <w:tcW w:w="1701" w:type="dxa"/>
            <w:tcBorders>
              <w:top w:val="nil"/>
              <w:left w:val="nil"/>
              <w:bottom w:val="single" w:sz="4" w:space="0" w:color="auto"/>
              <w:right w:val="single" w:sz="4" w:space="0" w:color="auto"/>
            </w:tcBorders>
            <w:shd w:val="clear" w:color="auto" w:fill="D9E2F3" w:themeFill="accent1" w:themeFillTint="33"/>
            <w:noWrap/>
            <w:vAlign w:val="center"/>
            <w:hideMark/>
          </w:tcPr>
          <w:p w14:paraId="4AB1A0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143C5199" w14:textId="77777777" w:rsidR="003F47CF" w:rsidRPr="00BA04D2" w:rsidRDefault="003F47CF" w:rsidP="003F47CF">
      <w:pPr>
        <w:spacing w:line="259" w:lineRule="auto"/>
        <w:jc w:val="left"/>
      </w:pPr>
      <w:r w:rsidRPr="00BA04D2">
        <w:br w:type="page"/>
      </w:r>
    </w:p>
    <w:p w14:paraId="69130D28" w14:textId="77777777" w:rsidR="003F47CF" w:rsidRPr="00BA04D2" w:rsidRDefault="003F47CF" w:rsidP="003F47CF">
      <w:pPr>
        <w:pStyle w:val="Style2"/>
      </w:pPr>
      <w:bookmarkStart w:id="95" w:name="_Toc217293626"/>
      <w:bookmarkStart w:id="96" w:name="_Toc217294948"/>
      <w:r w:rsidRPr="00BA04D2">
        <w:lastRenderedPageBreak/>
        <w:t>Supplementary Table 12. Pathway analysis- DITPA/TRIAC (LSSC)</w:t>
      </w:r>
      <w:bookmarkEnd w:id="95"/>
      <w:bookmarkEnd w:id="96"/>
    </w:p>
    <w:tbl>
      <w:tblPr>
        <w:tblStyle w:val="GridTable6Colorful-Accent5"/>
        <w:tblpPr w:leftFromText="180" w:rightFromText="180" w:vertAnchor="text" w:horzAnchor="margin" w:tblpY="135"/>
        <w:tblW w:w="8925" w:type="dxa"/>
        <w:tblLook w:val="04A0" w:firstRow="1" w:lastRow="0" w:firstColumn="1" w:lastColumn="0" w:noHBand="0" w:noVBand="1"/>
      </w:tblPr>
      <w:tblGrid>
        <w:gridCol w:w="3865"/>
        <w:gridCol w:w="1012"/>
        <w:gridCol w:w="1012"/>
        <w:gridCol w:w="1012"/>
        <w:gridCol w:w="1012"/>
        <w:gridCol w:w="1012"/>
      </w:tblGrid>
      <w:tr w:rsidR="003F47CF" w:rsidRPr="00BA04D2" w14:paraId="43A09A4D"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shd w:val="clear" w:color="auto" w:fill="4472C4" w:themeFill="accent1"/>
            <w:noWrap/>
            <w:vAlign w:val="center"/>
            <w:hideMark/>
          </w:tcPr>
          <w:p w14:paraId="1AECA8AD" w14:textId="77777777" w:rsidR="003F47CF" w:rsidRPr="00BA04D2" w:rsidRDefault="003F47CF" w:rsidP="000F7A14">
            <w:pPr>
              <w:spacing w:before="0"/>
              <w:jc w:val="left"/>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 </w:t>
            </w:r>
            <w:bookmarkStart w:id="97" w:name="_Hlk208474272"/>
            <w:r w:rsidRPr="00BA04D2">
              <w:rPr>
                <w:rFonts w:eastAsia="Times New Roman" w:cs="Times New Roman"/>
                <w:i w:val="0"/>
                <w:color w:val="000000"/>
                <w:sz w:val="16"/>
                <w:szCs w:val="16"/>
                <w:lang w:eastAsia="en-AU"/>
              </w:rPr>
              <w:t>Pathway analysis- DITPA/TRIAC (LSSC)</w:t>
            </w:r>
            <w:bookmarkEnd w:id="97"/>
          </w:p>
        </w:tc>
        <w:tc>
          <w:tcPr>
            <w:tcW w:w="1012" w:type="dxa"/>
            <w:shd w:val="clear" w:color="auto" w:fill="4472C4" w:themeFill="accent1"/>
            <w:noWrap/>
            <w:vAlign w:val="center"/>
            <w:hideMark/>
          </w:tcPr>
          <w:p w14:paraId="040FB2F8"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1012" w:type="dxa"/>
            <w:shd w:val="clear" w:color="auto" w:fill="4472C4" w:themeFill="accent1"/>
            <w:noWrap/>
            <w:vAlign w:val="center"/>
            <w:hideMark/>
          </w:tcPr>
          <w:p w14:paraId="69517775"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1012" w:type="dxa"/>
            <w:shd w:val="clear" w:color="auto" w:fill="4472C4" w:themeFill="accent1"/>
            <w:noWrap/>
            <w:vAlign w:val="center"/>
            <w:hideMark/>
          </w:tcPr>
          <w:p w14:paraId="7560B983"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1012" w:type="dxa"/>
            <w:shd w:val="clear" w:color="auto" w:fill="4472C4" w:themeFill="accent1"/>
            <w:noWrap/>
            <w:vAlign w:val="center"/>
            <w:hideMark/>
          </w:tcPr>
          <w:p w14:paraId="1AB9DA04"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1012" w:type="dxa"/>
            <w:shd w:val="clear" w:color="auto" w:fill="4472C4" w:themeFill="accent1"/>
            <w:noWrap/>
            <w:vAlign w:val="center"/>
            <w:hideMark/>
          </w:tcPr>
          <w:p w14:paraId="66ED9601"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43871016"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034C521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Pyrimidine metabolism</w:t>
            </w:r>
          </w:p>
        </w:tc>
        <w:tc>
          <w:tcPr>
            <w:tcW w:w="1012" w:type="dxa"/>
            <w:noWrap/>
            <w:vAlign w:val="center"/>
            <w:hideMark/>
          </w:tcPr>
          <w:p w14:paraId="21F524B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1012" w:type="dxa"/>
            <w:noWrap/>
            <w:vAlign w:val="center"/>
            <w:hideMark/>
          </w:tcPr>
          <w:p w14:paraId="548DCEA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0·25</w:t>
            </w:r>
          </w:p>
        </w:tc>
        <w:tc>
          <w:tcPr>
            <w:tcW w:w="1012" w:type="dxa"/>
            <w:noWrap/>
            <w:vAlign w:val="center"/>
            <w:hideMark/>
          </w:tcPr>
          <w:p w14:paraId="5F3DD58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w:t>
            </w:r>
          </w:p>
        </w:tc>
        <w:tc>
          <w:tcPr>
            <w:tcW w:w="1012" w:type="dxa"/>
            <w:noWrap/>
            <w:vAlign w:val="center"/>
            <w:hideMark/>
          </w:tcPr>
          <w:p w14:paraId="6235755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0·002</w:t>
            </w:r>
          </w:p>
        </w:tc>
        <w:tc>
          <w:tcPr>
            <w:tcW w:w="1012" w:type="dxa"/>
            <w:noWrap/>
            <w:vAlign w:val="center"/>
            <w:hideMark/>
          </w:tcPr>
          <w:p w14:paraId="37E411A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r>
      <w:tr w:rsidR="003F47CF" w:rsidRPr="00BA04D2" w14:paraId="34B6CCFA"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2F80E79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1012" w:type="dxa"/>
            <w:noWrap/>
            <w:vAlign w:val="center"/>
            <w:hideMark/>
          </w:tcPr>
          <w:p w14:paraId="7F41969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1012" w:type="dxa"/>
            <w:noWrap/>
            <w:vAlign w:val="center"/>
            <w:hideMark/>
          </w:tcPr>
          <w:p w14:paraId="123C3AE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0·46</w:t>
            </w:r>
          </w:p>
        </w:tc>
        <w:tc>
          <w:tcPr>
            <w:tcW w:w="1012" w:type="dxa"/>
            <w:noWrap/>
            <w:vAlign w:val="center"/>
            <w:hideMark/>
          </w:tcPr>
          <w:p w14:paraId="2BABEA5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1012" w:type="dxa"/>
            <w:noWrap/>
            <w:vAlign w:val="center"/>
            <w:hideMark/>
          </w:tcPr>
          <w:p w14:paraId="7D48BC5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0·07</w:t>
            </w:r>
          </w:p>
        </w:tc>
        <w:tc>
          <w:tcPr>
            <w:tcW w:w="1012" w:type="dxa"/>
            <w:noWrap/>
            <w:vAlign w:val="center"/>
            <w:hideMark/>
          </w:tcPr>
          <w:p w14:paraId="6A6EB8D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r>
      <w:tr w:rsidR="003F47CF" w:rsidRPr="00BA04D2" w14:paraId="15CF3F7B"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63E272BA"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Citrate cycle (TCA cycle)</w:t>
            </w:r>
          </w:p>
        </w:tc>
        <w:tc>
          <w:tcPr>
            <w:tcW w:w="1012" w:type="dxa"/>
            <w:noWrap/>
            <w:vAlign w:val="center"/>
            <w:hideMark/>
          </w:tcPr>
          <w:p w14:paraId="0158369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1012" w:type="dxa"/>
            <w:noWrap/>
            <w:vAlign w:val="center"/>
            <w:hideMark/>
          </w:tcPr>
          <w:p w14:paraId="303323B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1012" w:type="dxa"/>
            <w:noWrap/>
            <w:vAlign w:val="center"/>
            <w:hideMark/>
          </w:tcPr>
          <w:p w14:paraId="34EDC35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206B341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1012" w:type="dxa"/>
            <w:noWrap/>
            <w:vAlign w:val="center"/>
            <w:hideMark/>
          </w:tcPr>
          <w:p w14:paraId="4BB9110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DE6A79C"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4AC30C21"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Pantothenate and CoA biosynthesis</w:t>
            </w:r>
          </w:p>
        </w:tc>
        <w:tc>
          <w:tcPr>
            <w:tcW w:w="1012" w:type="dxa"/>
            <w:noWrap/>
            <w:vAlign w:val="center"/>
            <w:hideMark/>
          </w:tcPr>
          <w:p w14:paraId="37B51B8A"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20</w:t>
            </w:r>
          </w:p>
        </w:tc>
        <w:tc>
          <w:tcPr>
            <w:tcW w:w="1012" w:type="dxa"/>
            <w:noWrap/>
            <w:vAlign w:val="center"/>
            <w:hideMark/>
          </w:tcPr>
          <w:p w14:paraId="39EE56E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1012" w:type="dxa"/>
            <w:noWrap/>
            <w:vAlign w:val="center"/>
            <w:hideMark/>
          </w:tcPr>
          <w:p w14:paraId="0788804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1AAD417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0·12</w:t>
            </w:r>
          </w:p>
        </w:tc>
        <w:tc>
          <w:tcPr>
            <w:tcW w:w="1012" w:type="dxa"/>
            <w:noWrap/>
            <w:vAlign w:val="center"/>
            <w:hideMark/>
          </w:tcPr>
          <w:p w14:paraId="03B6264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0·04</w:t>
            </w:r>
          </w:p>
        </w:tc>
      </w:tr>
      <w:tr w:rsidR="003F47CF" w:rsidRPr="00BA04D2" w14:paraId="449D01EE"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14B9129F"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beta-Alanine metabolism</w:t>
            </w:r>
          </w:p>
        </w:tc>
        <w:tc>
          <w:tcPr>
            <w:tcW w:w="1012" w:type="dxa"/>
            <w:noWrap/>
            <w:vAlign w:val="center"/>
            <w:hideMark/>
          </w:tcPr>
          <w:p w14:paraId="1B0C167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21</w:t>
            </w:r>
          </w:p>
        </w:tc>
        <w:tc>
          <w:tcPr>
            <w:tcW w:w="1012" w:type="dxa"/>
            <w:noWrap/>
            <w:vAlign w:val="center"/>
            <w:hideMark/>
          </w:tcPr>
          <w:p w14:paraId="39C759C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0·14</w:t>
            </w:r>
          </w:p>
        </w:tc>
        <w:tc>
          <w:tcPr>
            <w:tcW w:w="1012" w:type="dxa"/>
            <w:noWrap/>
            <w:vAlign w:val="center"/>
            <w:hideMark/>
          </w:tcPr>
          <w:p w14:paraId="2FCC131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430627FC"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1012" w:type="dxa"/>
            <w:noWrap/>
            <w:vAlign w:val="center"/>
            <w:hideMark/>
          </w:tcPr>
          <w:p w14:paraId="5E38D05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r>
      <w:tr w:rsidR="003F47CF" w:rsidRPr="00BA04D2" w14:paraId="56B67968"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565FD203"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Pyruvate metabolism</w:t>
            </w:r>
          </w:p>
        </w:tc>
        <w:tc>
          <w:tcPr>
            <w:tcW w:w="1012" w:type="dxa"/>
            <w:noWrap/>
            <w:vAlign w:val="center"/>
            <w:hideMark/>
          </w:tcPr>
          <w:p w14:paraId="3508B30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23</w:t>
            </w:r>
          </w:p>
        </w:tc>
        <w:tc>
          <w:tcPr>
            <w:tcW w:w="1012" w:type="dxa"/>
            <w:noWrap/>
            <w:vAlign w:val="center"/>
            <w:hideMark/>
          </w:tcPr>
          <w:p w14:paraId="29C8E9A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0·15</w:t>
            </w:r>
          </w:p>
        </w:tc>
        <w:tc>
          <w:tcPr>
            <w:tcW w:w="1012" w:type="dxa"/>
            <w:noWrap/>
            <w:vAlign w:val="center"/>
            <w:hideMark/>
          </w:tcPr>
          <w:p w14:paraId="1BB7E0B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78359A4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0·14</w:t>
            </w:r>
          </w:p>
        </w:tc>
        <w:tc>
          <w:tcPr>
            <w:tcW w:w="1012" w:type="dxa"/>
            <w:noWrap/>
            <w:vAlign w:val="center"/>
            <w:hideMark/>
          </w:tcPr>
          <w:p w14:paraId="3B6CC46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150003D"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315C5F27"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One carbon pool by folate</w:t>
            </w:r>
          </w:p>
        </w:tc>
        <w:tc>
          <w:tcPr>
            <w:tcW w:w="1012" w:type="dxa"/>
            <w:noWrap/>
            <w:vAlign w:val="center"/>
            <w:hideMark/>
          </w:tcPr>
          <w:p w14:paraId="3FBB22E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1012" w:type="dxa"/>
            <w:noWrap/>
            <w:vAlign w:val="center"/>
            <w:hideMark/>
          </w:tcPr>
          <w:p w14:paraId="0935BEB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1012" w:type="dxa"/>
            <w:noWrap/>
            <w:vAlign w:val="center"/>
            <w:hideMark/>
          </w:tcPr>
          <w:p w14:paraId="6DE18BE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00C1039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1012" w:type="dxa"/>
            <w:noWrap/>
            <w:vAlign w:val="center"/>
            <w:hideMark/>
          </w:tcPr>
          <w:p w14:paraId="07B2CC3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5ACBBE1A"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25260F5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Glycolysis or Gluconeogenesis</w:t>
            </w:r>
          </w:p>
        </w:tc>
        <w:tc>
          <w:tcPr>
            <w:tcW w:w="1012" w:type="dxa"/>
            <w:noWrap/>
            <w:vAlign w:val="center"/>
            <w:hideMark/>
          </w:tcPr>
          <w:p w14:paraId="402789D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1012" w:type="dxa"/>
            <w:noWrap/>
            <w:vAlign w:val="center"/>
            <w:hideMark/>
          </w:tcPr>
          <w:p w14:paraId="47E00C5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1012" w:type="dxa"/>
            <w:noWrap/>
            <w:vAlign w:val="center"/>
            <w:hideMark/>
          </w:tcPr>
          <w:p w14:paraId="7947576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40EFE6ED"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0·16</w:t>
            </w:r>
          </w:p>
        </w:tc>
        <w:tc>
          <w:tcPr>
            <w:tcW w:w="1012" w:type="dxa"/>
            <w:noWrap/>
            <w:vAlign w:val="center"/>
            <w:hideMark/>
          </w:tcPr>
          <w:p w14:paraId="4E7ADF0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0·10</w:t>
            </w:r>
          </w:p>
        </w:tc>
      </w:tr>
      <w:tr w:rsidR="003F47CF" w:rsidRPr="00BA04D2" w14:paraId="38742102"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5548D71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Glutathione metabolism</w:t>
            </w:r>
          </w:p>
        </w:tc>
        <w:tc>
          <w:tcPr>
            <w:tcW w:w="1012" w:type="dxa"/>
            <w:noWrap/>
            <w:vAlign w:val="center"/>
            <w:hideMark/>
          </w:tcPr>
          <w:p w14:paraId="6671746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28</w:t>
            </w:r>
          </w:p>
        </w:tc>
        <w:tc>
          <w:tcPr>
            <w:tcW w:w="1012" w:type="dxa"/>
            <w:noWrap/>
            <w:vAlign w:val="center"/>
            <w:hideMark/>
          </w:tcPr>
          <w:p w14:paraId="298BCA2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0·18</w:t>
            </w:r>
          </w:p>
        </w:tc>
        <w:tc>
          <w:tcPr>
            <w:tcW w:w="1012" w:type="dxa"/>
            <w:noWrap/>
            <w:vAlign w:val="center"/>
            <w:hideMark/>
          </w:tcPr>
          <w:p w14:paraId="72D7AE4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5745F81E"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1012" w:type="dxa"/>
            <w:noWrap/>
            <w:vAlign w:val="center"/>
            <w:hideMark/>
          </w:tcPr>
          <w:p w14:paraId="324C696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0·03</w:t>
            </w:r>
          </w:p>
        </w:tc>
      </w:tr>
      <w:tr w:rsidR="003F47CF" w:rsidRPr="00BA04D2" w14:paraId="50650AF8"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5A2310F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Lysine degradation</w:t>
            </w:r>
          </w:p>
        </w:tc>
        <w:tc>
          <w:tcPr>
            <w:tcW w:w="1012" w:type="dxa"/>
            <w:noWrap/>
            <w:vAlign w:val="center"/>
            <w:hideMark/>
          </w:tcPr>
          <w:p w14:paraId="0E4F636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30</w:t>
            </w:r>
          </w:p>
        </w:tc>
        <w:tc>
          <w:tcPr>
            <w:tcW w:w="1012" w:type="dxa"/>
            <w:noWrap/>
            <w:vAlign w:val="center"/>
            <w:hideMark/>
          </w:tcPr>
          <w:p w14:paraId="16A5F1D7"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1012" w:type="dxa"/>
            <w:noWrap/>
            <w:vAlign w:val="center"/>
            <w:hideMark/>
          </w:tcPr>
          <w:p w14:paraId="773B832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41230B9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0·18</w:t>
            </w:r>
          </w:p>
        </w:tc>
        <w:tc>
          <w:tcPr>
            <w:tcW w:w="1012" w:type="dxa"/>
            <w:noWrap/>
            <w:vAlign w:val="center"/>
            <w:hideMark/>
          </w:tcPr>
          <w:p w14:paraId="787F8D8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0·11</w:t>
            </w:r>
          </w:p>
        </w:tc>
      </w:tr>
      <w:tr w:rsidR="003F47CF" w:rsidRPr="00BA04D2" w14:paraId="78C39AEC"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4F62BC6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Sphingolipid metabolism</w:t>
            </w:r>
          </w:p>
        </w:tc>
        <w:tc>
          <w:tcPr>
            <w:tcW w:w="1012" w:type="dxa"/>
            <w:noWrap/>
            <w:vAlign w:val="center"/>
            <w:hideMark/>
          </w:tcPr>
          <w:p w14:paraId="19E2ECB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32</w:t>
            </w:r>
          </w:p>
        </w:tc>
        <w:tc>
          <w:tcPr>
            <w:tcW w:w="1012" w:type="dxa"/>
            <w:noWrap/>
            <w:vAlign w:val="center"/>
            <w:hideMark/>
          </w:tcPr>
          <w:p w14:paraId="319F5FB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0·21</w:t>
            </w:r>
          </w:p>
        </w:tc>
        <w:tc>
          <w:tcPr>
            <w:tcW w:w="1012" w:type="dxa"/>
            <w:noWrap/>
            <w:vAlign w:val="center"/>
            <w:hideMark/>
          </w:tcPr>
          <w:p w14:paraId="4A282E1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027D528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1012" w:type="dxa"/>
            <w:noWrap/>
            <w:vAlign w:val="center"/>
            <w:hideMark/>
          </w:tcPr>
          <w:p w14:paraId="1CD37F3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D51354D"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3865" w:type="dxa"/>
            <w:noWrap/>
            <w:vAlign w:val="center"/>
            <w:hideMark/>
          </w:tcPr>
          <w:p w14:paraId="031B46F3"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Cysteine and methionine metabolism</w:t>
            </w:r>
          </w:p>
        </w:tc>
        <w:tc>
          <w:tcPr>
            <w:tcW w:w="1012" w:type="dxa"/>
            <w:noWrap/>
            <w:vAlign w:val="center"/>
            <w:hideMark/>
          </w:tcPr>
          <w:p w14:paraId="487D8B74"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33</w:t>
            </w:r>
          </w:p>
        </w:tc>
        <w:tc>
          <w:tcPr>
            <w:tcW w:w="1012" w:type="dxa"/>
            <w:noWrap/>
            <w:vAlign w:val="center"/>
            <w:hideMark/>
          </w:tcPr>
          <w:p w14:paraId="135BBD4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0·21</w:t>
            </w:r>
          </w:p>
        </w:tc>
        <w:tc>
          <w:tcPr>
            <w:tcW w:w="1012" w:type="dxa"/>
            <w:noWrap/>
            <w:vAlign w:val="center"/>
            <w:hideMark/>
          </w:tcPr>
          <w:p w14:paraId="417A33D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1012" w:type="dxa"/>
            <w:noWrap/>
            <w:vAlign w:val="center"/>
            <w:hideMark/>
          </w:tcPr>
          <w:p w14:paraId="0823F5D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1012" w:type="dxa"/>
            <w:noWrap/>
            <w:vAlign w:val="center"/>
            <w:hideMark/>
          </w:tcPr>
          <w:p w14:paraId="669BAD3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bl>
    <w:p w14:paraId="2F76C3C2" w14:textId="77777777" w:rsidR="003F47CF" w:rsidRPr="00BA04D2" w:rsidRDefault="003F47CF" w:rsidP="003F47CF">
      <w:pPr>
        <w:spacing w:line="259" w:lineRule="auto"/>
        <w:jc w:val="left"/>
      </w:pPr>
    </w:p>
    <w:p w14:paraId="7A40BBD2" w14:textId="77777777" w:rsidR="003F47CF" w:rsidRPr="00BA04D2" w:rsidRDefault="003F47CF" w:rsidP="003F47CF">
      <w:pPr>
        <w:spacing w:line="259" w:lineRule="auto"/>
        <w:jc w:val="left"/>
      </w:pPr>
      <w:r w:rsidRPr="00BA04D2">
        <w:br w:type="page"/>
      </w:r>
    </w:p>
    <w:p w14:paraId="20725908" w14:textId="77777777" w:rsidR="003F47CF" w:rsidRPr="00BA04D2" w:rsidRDefault="003F47CF" w:rsidP="003F47CF">
      <w:pPr>
        <w:pStyle w:val="Style2"/>
      </w:pPr>
      <w:bookmarkStart w:id="98" w:name="_Toc217293627"/>
      <w:bookmarkStart w:id="99" w:name="_Toc217294949"/>
      <w:r w:rsidRPr="00BA04D2">
        <w:lastRenderedPageBreak/>
        <w:t>Supplementary Table 13. Dysregulated metabolites in DITPA/LT3 (TSC).</w:t>
      </w:r>
      <w:bookmarkEnd w:id="98"/>
      <w:bookmarkEnd w:id="99"/>
    </w:p>
    <w:tbl>
      <w:tblPr>
        <w:tblW w:w="8925" w:type="dxa"/>
        <w:tblLook w:val="04A0" w:firstRow="1" w:lastRow="0" w:firstColumn="1" w:lastColumn="0" w:noHBand="0" w:noVBand="1"/>
      </w:tblPr>
      <w:tblGrid>
        <w:gridCol w:w="3991"/>
        <w:gridCol w:w="784"/>
        <w:gridCol w:w="1383"/>
        <w:gridCol w:w="1007"/>
        <w:gridCol w:w="1760"/>
      </w:tblGrid>
      <w:tr w:rsidR="003F47CF" w:rsidRPr="00BA04D2" w14:paraId="1D9AAEE5" w14:textId="77777777" w:rsidTr="000F7A14">
        <w:trPr>
          <w:trHeight w:val="29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E578E" w14:textId="77777777" w:rsidR="003F47CF" w:rsidRPr="00BA04D2" w:rsidRDefault="003F47CF" w:rsidP="000F7A14">
            <w:pPr>
              <w:spacing w:after="0"/>
              <w:jc w:val="left"/>
              <w:rPr>
                <w:rFonts w:eastAsia="Times New Roman" w:cs="Times New Roman"/>
                <w:b/>
                <w:bCs/>
                <w:color w:val="000000"/>
                <w:sz w:val="16"/>
                <w:szCs w:val="16"/>
                <w:lang w:eastAsia="en-AU"/>
              </w:rPr>
            </w:pPr>
            <w:bookmarkStart w:id="100" w:name="_Hlk208474689"/>
            <w:r w:rsidRPr="00BA04D2">
              <w:rPr>
                <w:rFonts w:eastAsia="Times New Roman" w:cs="Times New Roman"/>
                <w:b/>
                <w:bCs/>
                <w:color w:val="000000"/>
                <w:sz w:val="16"/>
                <w:szCs w:val="16"/>
                <w:lang w:eastAsia="en-AU"/>
              </w:rPr>
              <w:t>Dysregulated metabolites (DITPA/LT3)</w:t>
            </w:r>
          </w:p>
          <w:p w14:paraId="5001BFA5"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(TSC)</w:t>
            </w:r>
            <w:bookmarkEnd w:id="100"/>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E220DB5"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KEGG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B74C0C2"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Fold Change</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39138A73"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p-value</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3DB32B8E" w14:textId="77777777" w:rsidR="003F47CF" w:rsidRPr="00BA04D2" w:rsidRDefault="003F47CF" w:rsidP="000F7A14">
            <w:pPr>
              <w:spacing w:after="0"/>
              <w:jc w:val="left"/>
              <w:rPr>
                <w:rFonts w:eastAsia="Times New Roman" w:cs="Times New Roman"/>
                <w:b/>
                <w:bCs/>
                <w:color w:val="000000"/>
                <w:sz w:val="16"/>
                <w:szCs w:val="16"/>
                <w:lang w:eastAsia="en-AU"/>
              </w:rPr>
            </w:pPr>
            <w:r w:rsidRPr="00BA04D2">
              <w:rPr>
                <w:rFonts w:eastAsia="Times New Roman" w:cs="Times New Roman"/>
                <w:b/>
                <w:bCs/>
                <w:color w:val="000000"/>
                <w:sz w:val="16"/>
                <w:szCs w:val="16"/>
                <w:lang w:eastAsia="en-AU"/>
              </w:rPr>
              <w:t>Regulation status</w:t>
            </w:r>
          </w:p>
        </w:tc>
      </w:tr>
      <w:tr w:rsidR="003F47CF" w:rsidRPr="00BA04D2" w14:paraId="1FF1D5D4"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52344588"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Tetraethylene</w:t>
            </w:r>
            <w:proofErr w:type="spellEnd"/>
            <w:r w:rsidRPr="00BA04D2">
              <w:rPr>
                <w:rFonts w:eastAsia="Times New Roman" w:cs="Times New Roman"/>
                <w:color w:val="000000"/>
                <w:sz w:val="16"/>
                <w:szCs w:val="16"/>
                <w:lang w:eastAsia="en-AU"/>
              </w:rPr>
              <w:t xml:space="preserve"> glycol</w:t>
            </w:r>
          </w:p>
        </w:tc>
        <w:tc>
          <w:tcPr>
            <w:tcW w:w="709" w:type="dxa"/>
            <w:tcBorders>
              <w:top w:val="nil"/>
              <w:left w:val="nil"/>
              <w:bottom w:val="single" w:sz="4" w:space="0" w:color="auto"/>
              <w:right w:val="single" w:sz="4" w:space="0" w:color="auto"/>
            </w:tcBorders>
            <w:shd w:val="clear" w:color="auto" w:fill="FFCCCC"/>
            <w:noWrap/>
            <w:vAlign w:val="center"/>
            <w:hideMark/>
          </w:tcPr>
          <w:p w14:paraId="3A5C51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029DD6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14·35</w:t>
            </w:r>
          </w:p>
        </w:tc>
        <w:tc>
          <w:tcPr>
            <w:tcW w:w="929" w:type="dxa"/>
            <w:tcBorders>
              <w:top w:val="nil"/>
              <w:left w:val="nil"/>
              <w:bottom w:val="single" w:sz="4" w:space="0" w:color="auto"/>
              <w:right w:val="single" w:sz="4" w:space="0" w:color="auto"/>
            </w:tcBorders>
            <w:shd w:val="clear" w:color="auto" w:fill="FFCCCC"/>
            <w:noWrap/>
            <w:vAlign w:val="center"/>
            <w:hideMark/>
          </w:tcPr>
          <w:p w14:paraId="7C32665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7·49E-04</w:t>
            </w:r>
          </w:p>
        </w:tc>
        <w:tc>
          <w:tcPr>
            <w:tcW w:w="1623" w:type="dxa"/>
            <w:tcBorders>
              <w:top w:val="nil"/>
              <w:left w:val="nil"/>
              <w:bottom w:val="single" w:sz="4" w:space="0" w:color="auto"/>
              <w:right w:val="single" w:sz="4" w:space="0" w:color="auto"/>
            </w:tcBorders>
            <w:shd w:val="clear" w:color="auto" w:fill="FFCCCC"/>
            <w:noWrap/>
            <w:vAlign w:val="center"/>
            <w:hideMark/>
          </w:tcPr>
          <w:p w14:paraId="348CFD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913CDA5"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1BA4E18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Triethylene</w:t>
            </w:r>
            <w:proofErr w:type="spellEnd"/>
            <w:r w:rsidRPr="00BA04D2">
              <w:rPr>
                <w:rFonts w:eastAsia="Times New Roman" w:cs="Times New Roman"/>
                <w:color w:val="000000"/>
                <w:sz w:val="16"/>
                <w:szCs w:val="16"/>
                <w:lang w:eastAsia="en-AU"/>
              </w:rPr>
              <w:t xml:space="preserve"> glycol</w:t>
            </w:r>
          </w:p>
        </w:tc>
        <w:tc>
          <w:tcPr>
            <w:tcW w:w="709" w:type="dxa"/>
            <w:tcBorders>
              <w:top w:val="nil"/>
              <w:left w:val="nil"/>
              <w:bottom w:val="single" w:sz="4" w:space="0" w:color="auto"/>
              <w:right w:val="single" w:sz="4" w:space="0" w:color="auto"/>
            </w:tcBorders>
            <w:shd w:val="clear" w:color="auto" w:fill="FFCCCC"/>
            <w:noWrap/>
            <w:vAlign w:val="center"/>
            <w:hideMark/>
          </w:tcPr>
          <w:p w14:paraId="1F6C1A9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145991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5·82</w:t>
            </w:r>
          </w:p>
        </w:tc>
        <w:tc>
          <w:tcPr>
            <w:tcW w:w="929" w:type="dxa"/>
            <w:tcBorders>
              <w:top w:val="nil"/>
              <w:left w:val="nil"/>
              <w:bottom w:val="single" w:sz="4" w:space="0" w:color="auto"/>
              <w:right w:val="single" w:sz="4" w:space="0" w:color="auto"/>
            </w:tcBorders>
            <w:shd w:val="clear" w:color="auto" w:fill="FFCCCC"/>
            <w:noWrap/>
            <w:vAlign w:val="center"/>
            <w:hideMark/>
          </w:tcPr>
          <w:p w14:paraId="360F70C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2·21E-03</w:t>
            </w:r>
          </w:p>
        </w:tc>
        <w:tc>
          <w:tcPr>
            <w:tcW w:w="1623" w:type="dxa"/>
            <w:tcBorders>
              <w:top w:val="nil"/>
              <w:left w:val="nil"/>
              <w:bottom w:val="single" w:sz="4" w:space="0" w:color="auto"/>
              <w:right w:val="single" w:sz="4" w:space="0" w:color="auto"/>
            </w:tcBorders>
            <w:shd w:val="clear" w:color="auto" w:fill="FFCCCC"/>
            <w:noWrap/>
            <w:vAlign w:val="center"/>
            <w:hideMark/>
          </w:tcPr>
          <w:p w14:paraId="0965950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2B155962"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27C4F614"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Agaritinal</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4A212D8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5DBE90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2·05</w:t>
            </w:r>
          </w:p>
        </w:tc>
        <w:tc>
          <w:tcPr>
            <w:tcW w:w="929" w:type="dxa"/>
            <w:tcBorders>
              <w:top w:val="nil"/>
              <w:left w:val="nil"/>
              <w:bottom w:val="single" w:sz="4" w:space="0" w:color="auto"/>
              <w:right w:val="single" w:sz="4" w:space="0" w:color="auto"/>
            </w:tcBorders>
            <w:shd w:val="clear" w:color="auto" w:fill="FFCCCC"/>
            <w:noWrap/>
            <w:vAlign w:val="center"/>
            <w:hideMark/>
          </w:tcPr>
          <w:p w14:paraId="1087CE1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2·72E-03</w:t>
            </w:r>
          </w:p>
        </w:tc>
        <w:tc>
          <w:tcPr>
            <w:tcW w:w="1623" w:type="dxa"/>
            <w:tcBorders>
              <w:top w:val="nil"/>
              <w:left w:val="nil"/>
              <w:bottom w:val="single" w:sz="4" w:space="0" w:color="auto"/>
              <w:right w:val="single" w:sz="4" w:space="0" w:color="auto"/>
            </w:tcBorders>
            <w:shd w:val="clear" w:color="auto" w:fill="FFCCCC"/>
            <w:noWrap/>
            <w:vAlign w:val="center"/>
            <w:hideMark/>
          </w:tcPr>
          <w:p w14:paraId="44F94D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8955275"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D12C2D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N-Acetyl-b-</w:t>
            </w:r>
            <w:proofErr w:type="spellStart"/>
            <w:r w:rsidRPr="00BA04D2">
              <w:rPr>
                <w:rFonts w:eastAsia="Times New Roman" w:cs="Times New Roman"/>
                <w:color w:val="000000"/>
                <w:sz w:val="16"/>
                <w:szCs w:val="16"/>
                <w:lang w:eastAsia="en-AU"/>
              </w:rPr>
              <w:t>glucosaminylamine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03CA96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C01239</w:t>
            </w:r>
          </w:p>
        </w:tc>
        <w:tc>
          <w:tcPr>
            <w:tcW w:w="1275" w:type="dxa"/>
            <w:tcBorders>
              <w:top w:val="nil"/>
              <w:left w:val="nil"/>
              <w:bottom w:val="single" w:sz="4" w:space="0" w:color="auto"/>
              <w:right w:val="single" w:sz="4" w:space="0" w:color="auto"/>
            </w:tcBorders>
            <w:shd w:val="clear" w:color="auto" w:fill="FFCCCC"/>
            <w:noWrap/>
            <w:vAlign w:val="center"/>
            <w:hideMark/>
          </w:tcPr>
          <w:p w14:paraId="0DF568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2·07</w:t>
            </w:r>
          </w:p>
        </w:tc>
        <w:tc>
          <w:tcPr>
            <w:tcW w:w="929" w:type="dxa"/>
            <w:tcBorders>
              <w:top w:val="nil"/>
              <w:left w:val="nil"/>
              <w:bottom w:val="single" w:sz="4" w:space="0" w:color="auto"/>
              <w:right w:val="single" w:sz="4" w:space="0" w:color="auto"/>
            </w:tcBorders>
            <w:shd w:val="clear" w:color="auto" w:fill="FFCCCC"/>
            <w:noWrap/>
            <w:vAlign w:val="center"/>
            <w:hideMark/>
          </w:tcPr>
          <w:p w14:paraId="1AC950E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3·67E-03</w:t>
            </w:r>
          </w:p>
        </w:tc>
        <w:tc>
          <w:tcPr>
            <w:tcW w:w="1623" w:type="dxa"/>
            <w:tcBorders>
              <w:top w:val="nil"/>
              <w:left w:val="nil"/>
              <w:bottom w:val="single" w:sz="4" w:space="0" w:color="auto"/>
              <w:right w:val="single" w:sz="4" w:space="0" w:color="auto"/>
            </w:tcBorders>
            <w:shd w:val="clear" w:color="auto" w:fill="FFCCCC"/>
            <w:noWrap/>
            <w:vAlign w:val="center"/>
            <w:hideMark/>
          </w:tcPr>
          <w:p w14:paraId="38329BF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59900E0"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389072D"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Ptilosaponoside</w:t>
            </w:r>
            <w:proofErr w:type="spellEnd"/>
            <w:r w:rsidRPr="00BA04D2">
              <w:rPr>
                <w:rFonts w:eastAsia="Times New Roman" w:cs="Times New Roman"/>
                <w:color w:val="000000"/>
                <w:sz w:val="16"/>
                <w:szCs w:val="16"/>
                <w:lang w:eastAsia="en-AU"/>
              </w:rPr>
              <w:t xml:space="preserve"> A</w:t>
            </w:r>
          </w:p>
        </w:tc>
        <w:tc>
          <w:tcPr>
            <w:tcW w:w="709" w:type="dxa"/>
            <w:tcBorders>
              <w:top w:val="nil"/>
              <w:left w:val="nil"/>
              <w:bottom w:val="single" w:sz="4" w:space="0" w:color="auto"/>
              <w:right w:val="single" w:sz="4" w:space="0" w:color="auto"/>
            </w:tcBorders>
            <w:shd w:val="clear" w:color="auto" w:fill="FFCCCC"/>
            <w:noWrap/>
            <w:vAlign w:val="center"/>
            <w:hideMark/>
          </w:tcPr>
          <w:p w14:paraId="1AE53DC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67802C3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2·24</w:t>
            </w:r>
          </w:p>
        </w:tc>
        <w:tc>
          <w:tcPr>
            <w:tcW w:w="929" w:type="dxa"/>
            <w:tcBorders>
              <w:top w:val="nil"/>
              <w:left w:val="nil"/>
              <w:bottom w:val="single" w:sz="4" w:space="0" w:color="auto"/>
              <w:right w:val="single" w:sz="4" w:space="0" w:color="auto"/>
            </w:tcBorders>
            <w:shd w:val="clear" w:color="auto" w:fill="FFCCCC"/>
            <w:noWrap/>
            <w:vAlign w:val="center"/>
            <w:hideMark/>
          </w:tcPr>
          <w:p w14:paraId="3B2C74B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1·04E-02</w:t>
            </w:r>
          </w:p>
        </w:tc>
        <w:tc>
          <w:tcPr>
            <w:tcW w:w="1623" w:type="dxa"/>
            <w:tcBorders>
              <w:top w:val="nil"/>
              <w:left w:val="nil"/>
              <w:bottom w:val="single" w:sz="4" w:space="0" w:color="auto"/>
              <w:right w:val="single" w:sz="4" w:space="0" w:color="auto"/>
            </w:tcBorders>
            <w:shd w:val="clear" w:color="auto" w:fill="FFCCCC"/>
            <w:noWrap/>
            <w:vAlign w:val="center"/>
            <w:hideMark/>
          </w:tcPr>
          <w:p w14:paraId="3387A3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C5A8E38"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09C390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w:t>
            </w:r>
            <w:proofErr w:type="spellStart"/>
            <w:r w:rsidRPr="00BA04D2">
              <w:rPr>
                <w:rFonts w:eastAsia="Times New Roman" w:cs="Times New Roman"/>
                <w:color w:val="000000"/>
                <w:sz w:val="16"/>
                <w:szCs w:val="16"/>
                <w:lang w:eastAsia="en-AU"/>
              </w:rPr>
              <w:t>Desosamine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2E80EE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23578BE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2·00</w:t>
            </w:r>
          </w:p>
        </w:tc>
        <w:tc>
          <w:tcPr>
            <w:tcW w:w="929" w:type="dxa"/>
            <w:tcBorders>
              <w:top w:val="nil"/>
              <w:left w:val="nil"/>
              <w:bottom w:val="single" w:sz="4" w:space="0" w:color="auto"/>
              <w:right w:val="single" w:sz="4" w:space="0" w:color="auto"/>
            </w:tcBorders>
            <w:shd w:val="clear" w:color="auto" w:fill="FFCCCC"/>
            <w:noWrap/>
            <w:vAlign w:val="center"/>
            <w:hideMark/>
          </w:tcPr>
          <w:p w14:paraId="709F79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1·94E-02</w:t>
            </w:r>
          </w:p>
        </w:tc>
        <w:tc>
          <w:tcPr>
            <w:tcW w:w="1623" w:type="dxa"/>
            <w:tcBorders>
              <w:top w:val="nil"/>
              <w:left w:val="nil"/>
              <w:bottom w:val="single" w:sz="4" w:space="0" w:color="auto"/>
              <w:right w:val="single" w:sz="4" w:space="0" w:color="auto"/>
            </w:tcBorders>
            <w:shd w:val="clear" w:color="auto" w:fill="FFCCCC"/>
            <w:noWrap/>
            <w:vAlign w:val="center"/>
            <w:hideMark/>
          </w:tcPr>
          <w:p w14:paraId="310DE0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765EA16"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390EFF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Ala/Asp/Pro/Ser</w:t>
            </w:r>
          </w:p>
        </w:tc>
        <w:tc>
          <w:tcPr>
            <w:tcW w:w="709" w:type="dxa"/>
            <w:tcBorders>
              <w:top w:val="nil"/>
              <w:left w:val="nil"/>
              <w:bottom w:val="single" w:sz="4" w:space="0" w:color="auto"/>
              <w:right w:val="single" w:sz="4" w:space="0" w:color="auto"/>
            </w:tcBorders>
            <w:shd w:val="clear" w:color="auto" w:fill="FFCCCC"/>
            <w:noWrap/>
            <w:vAlign w:val="center"/>
            <w:hideMark/>
          </w:tcPr>
          <w:p w14:paraId="0F6F360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3878173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1·60</w:t>
            </w:r>
          </w:p>
        </w:tc>
        <w:tc>
          <w:tcPr>
            <w:tcW w:w="929" w:type="dxa"/>
            <w:tcBorders>
              <w:top w:val="nil"/>
              <w:left w:val="nil"/>
              <w:bottom w:val="single" w:sz="4" w:space="0" w:color="auto"/>
              <w:right w:val="single" w:sz="4" w:space="0" w:color="auto"/>
            </w:tcBorders>
            <w:shd w:val="clear" w:color="auto" w:fill="FFCCCC"/>
            <w:noWrap/>
            <w:vAlign w:val="center"/>
            <w:hideMark/>
          </w:tcPr>
          <w:p w14:paraId="721F51B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1·99E-02</w:t>
            </w:r>
          </w:p>
        </w:tc>
        <w:tc>
          <w:tcPr>
            <w:tcW w:w="1623" w:type="dxa"/>
            <w:tcBorders>
              <w:top w:val="nil"/>
              <w:left w:val="nil"/>
              <w:bottom w:val="single" w:sz="4" w:space="0" w:color="auto"/>
              <w:right w:val="single" w:sz="4" w:space="0" w:color="auto"/>
            </w:tcBorders>
            <w:shd w:val="clear" w:color="auto" w:fill="FFCCCC"/>
            <w:noWrap/>
            <w:vAlign w:val="center"/>
            <w:hideMark/>
          </w:tcPr>
          <w:p w14:paraId="368E2D2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6E601D1"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BD21014"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Pentaethylene</w:t>
            </w:r>
            <w:proofErr w:type="spellEnd"/>
            <w:r w:rsidRPr="00BA04D2">
              <w:rPr>
                <w:rFonts w:eastAsia="Times New Roman" w:cs="Times New Roman"/>
                <w:color w:val="000000"/>
                <w:sz w:val="16"/>
                <w:szCs w:val="16"/>
                <w:lang w:eastAsia="en-AU"/>
              </w:rPr>
              <w:t xml:space="preserve"> glycol</w:t>
            </w:r>
          </w:p>
        </w:tc>
        <w:tc>
          <w:tcPr>
            <w:tcW w:w="709" w:type="dxa"/>
            <w:tcBorders>
              <w:top w:val="nil"/>
              <w:left w:val="nil"/>
              <w:bottom w:val="single" w:sz="4" w:space="0" w:color="auto"/>
              <w:right w:val="single" w:sz="4" w:space="0" w:color="auto"/>
            </w:tcBorders>
            <w:shd w:val="clear" w:color="auto" w:fill="FFCCCC"/>
            <w:noWrap/>
            <w:vAlign w:val="center"/>
            <w:hideMark/>
          </w:tcPr>
          <w:p w14:paraId="74BFB1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8F7F4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20·15</w:t>
            </w:r>
          </w:p>
        </w:tc>
        <w:tc>
          <w:tcPr>
            <w:tcW w:w="929" w:type="dxa"/>
            <w:tcBorders>
              <w:top w:val="nil"/>
              <w:left w:val="nil"/>
              <w:bottom w:val="single" w:sz="4" w:space="0" w:color="auto"/>
              <w:right w:val="single" w:sz="4" w:space="0" w:color="auto"/>
            </w:tcBorders>
            <w:shd w:val="clear" w:color="auto" w:fill="FFCCCC"/>
            <w:noWrap/>
            <w:vAlign w:val="center"/>
            <w:hideMark/>
          </w:tcPr>
          <w:p w14:paraId="5B78FA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2·49E-02</w:t>
            </w:r>
          </w:p>
        </w:tc>
        <w:tc>
          <w:tcPr>
            <w:tcW w:w="1623" w:type="dxa"/>
            <w:tcBorders>
              <w:top w:val="nil"/>
              <w:left w:val="nil"/>
              <w:bottom w:val="single" w:sz="4" w:space="0" w:color="auto"/>
              <w:right w:val="single" w:sz="4" w:space="0" w:color="auto"/>
            </w:tcBorders>
            <w:shd w:val="clear" w:color="auto" w:fill="FFCCCC"/>
            <w:noWrap/>
            <w:vAlign w:val="center"/>
            <w:hideMark/>
          </w:tcPr>
          <w:p w14:paraId="4B2C207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C8B1339"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70E09C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Secobarbital</w:t>
            </w:r>
          </w:p>
        </w:tc>
        <w:tc>
          <w:tcPr>
            <w:tcW w:w="709" w:type="dxa"/>
            <w:tcBorders>
              <w:top w:val="nil"/>
              <w:left w:val="nil"/>
              <w:bottom w:val="single" w:sz="4" w:space="0" w:color="auto"/>
              <w:right w:val="single" w:sz="4" w:space="0" w:color="auto"/>
            </w:tcBorders>
            <w:shd w:val="clear" w:color="auto" w:fill="FFCCCC"/>
            <w:noWrap/>
            <w:vAlign w:val="center"/>
            <w:hideMark/>
          </w:tcPr>
          <w:p w14:paraId="73E276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51F4B5D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1·50</w:t>
            </w:r>
          </w:p>
        </w:tc>
        <w:tc>
          <w:tcPr>
            <w:tcW w:w="929" w:type="dxa"/>
            <w:tcBorders>
              <w:top w:val="nil"/>
              <w:left w:val="nil"/>
              <w:bottom w:val="single" w:sz="4" w:space="0" w:color="auto"/>
              <w:right w:val="single" w:sz="4" w:space="0" w:color="auto"/>
            </w:tcBorders>
            <w:shd w:val="clear" w:color="auto" w:fill="FFCCCC"/>
            <w:noWrap/>
            <w:vAlign w:val="center"/>
            <w:hideMark/>
          </w:tcPr>
          <w:p w14:paraId="33F106C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2·60E-02</w:t>
            </w:r>
          </w:p>
        </w:tc>
        <w:tc>
          <w:tcPr>
            <w:tcW w:w="1623" w:type="dxa"/>
            <w:tcBorders>
              <w:top w:val="nil"/>
              <w:left w:val="nil"/>
              <w:bottom w:val="single" w:sz="4" w:space="0" w:color="auto"/>
              <w:right w:val="single" w:sz="4" w:space="0" w:color="auto"/>
            </w:tcBorders>
            <w:shd w:val="clear" w:color="auto" w:fill="FFCCCC"/>
            <w:noWrap/>
            <w:vAlign w:val="center"/>
            <w:hideMark/>
          </w:tcPr>
          <w:p w14:paraId="409E861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9BACAB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1E6D36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Deoxycytidine</w:t>
            </w:r>
          </w:p>
        </w:tc>
        <w:tc>
          <w:tcPr>
            <w:tcW w:w="709" w:type="dxa"/>
            <w:tcBorders>
              <w:top w:val="nil"/>
              <w:left w:val="nil"/>
              <w:bottom w:val="single" w:sz="4" w:space="0" w:color="auto"/>
              <w:right w:val="single" w:sz="4" w:space="0" w:color="auto"/>
            </w:tcBorders>
            <w:shd w:val="clear" w:color="auto" w:fill="FFCCCC"/>
            <w:noWrap/>
            <w:vAlign w:val="center"/>
            <w:hideMark/>
          </w:tcPr>
          <w:p w14:paraId="5ED60F9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C00881</w:t>
            </w:r>
          </w:p>
        </w:tc>
        <w:tc>
          <w:tcPr>
            <w:tcW w:w="1275" w:type="dxa"/>
            <w:tcBorders>
              <w:top w:val="nil"/>
              <w:left w:val="nil"/>
              <w:bottom w:val="single" w:sz="4" w:space="0" w:color="auto"/>
              <w:right w:val="single" w:sz="4" w:space="0" w:color="auto"/>
            </w:tcBorders>
            <w:shd w:val="clear" w:color="auto" w:fill="FFCCCC"/>
            <w:noWrap/>
            <w:vAlign w:val="center"/>
            <w:hideMark/>
          </w:tcPr>
          <w:p w14:paraId="5521D2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2·17</w:t>
            </w:r>
          </w:p>
        </w:tc>
        <w:tc>
          <w:tcPr>
            <w:tcW w:w="929" w:type="dxa"/>
            <w:tcBorders>
              <w:top w:val="nil"/>
              <w:left w:val="nil"/>
              <w:bottom w:val="single" w:sz="4" w:space="0" w:color="auto"/>
              <w:right w:val="single" w:sz="4" w:space="0" w:color="auto"/>
            </w:tcBorders>
            <w:shd w:val="clear" w:color="auto" w:fill="FFCCCC"/>
            <w:noWrap/>
            <w:vAlign w:val="center"/>
            <w:hideMark/>
          </w:tcPr>
          <w:p w14:paraId="0D8DACC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2·61E-02</w:t>
            </w:r>
          </w:p>
        </w:tc>
        <w:tc>
          <w:tcPr>
            <w:tcW w:w="1623" w:type="dxa"/>
            <w:tcBorders>
              <w:top w:val="nil"/>
              <w:left w:val="nil"/>
              <w:bottom w:val="single" w:sz="4" w:space="0" w:color="auto"/>
              <w:right w:val="single" w:sz="4" w:space="0" w:color="auto"/>
            </w:tcBorders>
            <w:shd w:val="clear" w:color="auto" w:fill="FFCCCC"/>
            <w:noWrap/>
            <w:vAlign w:val="center"/>
            <w:hideMark/>
          </w:tcPr>
          <w:p w14:paraId="0F29980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70AE303"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1DFFBDD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Cytidine</w:t>
            </w:r>
          </w:p>
        </w:tc>
        <w:tc>
          <w:tcPr>
            <w:tcW w:w="709" w:type="dxa"/>
            <w:tcBorders>
              <w:top w:val="nil"/>
              <w:left w:val="nil"/>
              <w:bottom w:val="single" w:sz="4" w:space="0" w:color="auto"/>
              <w:right w:val="single" w:sz="4" w:space="0" w:color="auto"/>
            </w:tcBorders>
            <w:shd w:val="clear" w:color="auto" w:fill="FFCCCC"/>
            <w:noWrap/>
            <w:vAlign w:val="center"/>
            <w:hideMark/>
          </w:tcPr>
          <w:p w14:paraId="77221E5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C00475</w:t>
            </w:r>
          </w:p>
        </w:tc>
        <w:tc>
          <w:tcPr>
            <w:tcW w:w="1275" w:type="dxa"/>
            <w:tcBorders>
              <w:top w:val="nil"/>
              <w:left w:val="nil"/>
              <w:bottom w:val="single" w:sz="4" w:space="0" w:color="auto"/>
              <w:right w:val="single" w:sz="4" w:space="0" w:color="auto"/>
            </w:tcBorders>
            <w:shd w:val="clear" w:color="auto" w:fill="FFCCCC"/>
            <w:noWrap/>
            <w:vAlign w:val="center"/>
            <w:hideMark/>
          </w:tcPr>
          <w:p w14:paraId="72F2F5E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2·97</w:t>
            </w:r>
          </w:p>
        </w:tc>
        <w:tc>
          <w:tcPr>
            <w:tcW w:w="929" w:type="dxa"/>
            <w:tcBorders>
              <w:top w:val="nil"/>
              <w:left w:val="nil"/>
              <w:bottom w:val="single" w:sz="4" w:space="0" w:color="auto"/>
              <w:right w:val="single" w:sz="4" w:space="0" w:color="auto"/>
            </w:tcBorders>
            <w:shd w:val="clear" w:color="auto" w:fill="FFCCCC"/>
            <w:noWrap/>
            <w:vAlign w:val="center"/>
            <w:hideMark/>
          </w:tcPr>
          <w:p w14:paraId="6DCF7F6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2·72E-02</w:t>
            </w:r>
          </w:p>
        </w:tc>
        <w:tc>
          <w:tcPr>
            <w:tcW w:w="1623" w:type="dxa"/>
            <w:tcBorders>
              <w:top w:val="nil"/>
              <w:left w:val="nil"/>
              <w:bottom w:val="single" w:sz="4" w:space="0" w:color="auto"/>
              <w:right w:val="single" w:sz="4" w:space="0" w:color="auto"/>
            </w:tcBorders>
            <w:shd w:val="clear" w:color="auto" w:fill="FFCCCC"/>
            <w:noWrap/>
            <w:vAlign w:val="center"/>
            <w:hideMark/>
          </w:tcPr>
          <w:p w14:paraId="4C572A9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6BF57455"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07B3CE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3-Sulfopropanoate</w:t>
            </w:r>
          </w:p>
        </w:tc>
        <w:tc>
          <w:tcPr>
            <w:tcW w:w="709" w:type="dxa"/>
            <w:tcBorders>
              <w:top w:val="nil"/>
              <w:left w:val="nil"/>
              <w:bottom w:val="single" w:sz="4" w:space="0" w:color="auto"/>
              <w:right w:val="single" w:sz="4" w:space="0" w:color="auto"/>
            </w:tcBorders>
            <w:shd w:val="clear" w:color="auto" w:fill="FFCCCC"/>
            <w:noWrap/>
            <w:vAlign w:val="center"/>
            <w:hideMark/>
          </w:tcPr>
          <w:p w14:paraId="17FFE12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4E6D97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1·77</w:t>
            </w:r>
          </w:p>
        </w:tc>
        <w:tc>
          <w:tcPr>
            <w:tcW w:w="929" w:type="dxa"/>
            <w:tcBorders>
              <w:top w:val="nil"/>
              <w:left w:val="nil"/>
              <w:bottom w:val="single" w:sz="4" w:space="0" w:color="auto"/>
              <w:right w:val="single" w:sz="4" w:space="0" w:color="auto"/>
            </w:tcBorders>
            <w:shd w:val="clear" w:color="auto" w:fill="FFCCCC"/>
            <w:noWrap/>
            <w:vAlign w:val="center"/>
            <w:hideMark/>
          </w:tcPr>
          <w:p w14:paraId="5D5B8B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2·74E-02</w:t>
            </w:r>
          </w:p>
        </w:tc>
        <w:tc>
          <w:tcPr>
            <w:tcW w:w="1623" w:type="dxa"/>
            <w:tcBorders>
              <w:top w:val="nil"/>
              <w:left w:val="nil"/>
              <w:bottom w:val="single" w:sz="4" w:space="0" w:color="auto"/>
              <w:right w:val="single" w:sz="4" w:space="0" w:color="auto"/>
            </w:tcBorders>
            <w:shd w:val="clear" w:color="auto" w:fill="FFCCCC"/>
            <w:noWrap/>
            <w:vAlign w:val="center"/>
            <w:hideMark/>
          </w:tcPr>
          <w:p w14:paraId="1C00F64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38BD5DA"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427CDFF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 xml:space="preserve">FA (13:2) </w:t>
            </w:r>
            <w:proofErr w:type="spellStart"/>
            <w:r w:rsidRPr="00BA04D2">
              <w:rPr>
                <w:rFonts w:eastAsia="Times New Roman" w:cs="Times New Roman"/>
                <w:color w:val="000000"/>
                <w:sz w:val="16"/>
                <w:szCs w:val="16"/>
                <w:lang w:eastAsia="en-AU"/>
              </w:rPr>
              <w:t>tridecadienoic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FFCCCC"/>
            <w:noWrap/>
            <w:vAlign w:val="center"/>
            <w:hideMark/>
          </w:tcPr>
          <w:p w14:paraId="4BA8963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D98930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1·71</w:t>
            </w:r>
          </w:p>
        </w:tc>
        <w:tc>
          <w:tcPr>
            <w:tcW w:w="929" w:type="dxa"/>
            <w:tcBorders>
              <w:top w:val="nil"/>
              <w:left w:val="nil"/>
              <w:bottom w:val="single" w:sz="4" w:space="0" w:color="auto"/>
              <w:right w:val="single" w:sz="4" w:space="0" w:color="auto"/>
            </w:tcBorders>
            <w:shd w:val="clear" w:color="auto" w:fill="FFCCCC"/>
            <w:noWrap/>
            <w:vAlign w:val="center"/>
            <w:hideMark/>
          </w:tcPr>
          <w:p w14:paraId="014C55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3·01E-02</w:t>
            </w:r>
          </w:p>
        </w:tc>
        <w:tc>
          <w:tcPr>
            <w:tcW w:w="1623" w:type="dxa"/>
            <w:tcBorders>
              <w:top w:val="nil"/>
              <w:left w:val="nil"/>
              <w:bottom w:val="single" w:sz="4" w:space="0" w:color="auto"/>
              <w:right w:val="single" w:sz="4" w:space="0" w:color="auto"/>
            </w:tcBorders>
            <w:shd w:val="clear" w:color="auto" w:fill="FFCCCC"/>
            <w:noWrap/>
            <w:vAlign w:val="center"/>
            <w:hideMark/>
          </w:tcPr>
          <w:p w14:paraId="688AE54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4E71350"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1697DC7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Glycerol 3-phosphate</w:t>
            </w:r>
          </w:p>
        </w:tc>
        <w:tc>
          <w:tcPr>
            <w:tcW w:w="709" w:type="dxa"/>
            <w:tcBorders>
              <w:top w:val="nil"/>
              <w:left w:val="nil"/>
              <w:bottom w:val="single" w:sz="4" w:space="0" w:color="auto"/>
              <w:right w:val="single" w:sz="4" w:space="0" w:color="auto"/>
            </w:tcBorders>
            <w:shd w:val="clear" w:color="auto" w:fill="FFCCCC"/>
            <w:noWrap/>
            <w:vAlign w:val="center"/>
            <w:hideMark/>
          </w:tcPr>
          <w:p w14:paraId="5AF0C97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C00093</w:t>
            </w:r>
          </w:p>
        </w:tc>
        <w:tc>
          <w:tcPr>
            <w:tcW w:w="1275" w:type="dxa"/>
            <w:tcBorders>
              <w:top w:val="nil"/>
              <w:left w:val="nil"/>
              <w:bottom w:val="single" w:sz="4" w:space="0" w:color="auto"/>
              <w:right w:val="single" w:sz="4" w:space="0" w:color="auto"/>
            </w:tcBorders>
            <w:shd w:val="clear" w:color="auto" w:fill="FFCCCC"/>
            <w:noWrap/>
            <w:vAlign w:val="center"/>
            <w:hideMark/>
          </w:tcPr>
          <w:p w14:paraId="626EDCE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1·52</w:t>
            </w:r>
          </w:p>
        </w:tc>
        <w:tc>
          <w:tcPr>
            <w:tcW w:w="929" w:type="dxa"/>
            <w:tcBorders>
              <w:top w:val="nil"/>
              <w:left w:val="nil"/>
              <w:bottom w:val="single" w:sz="4" w:space="0" w:color="auto"/>
              <w:right w:val="single" w:sz="4" w:space="0" w:color="auto"/>
            </w:tcBorders>
            <w:shd w:val="clear" w:color="auto" w:fill="FFCCCC"/>
            <w:noWrap/>
            <w:vAlign w:val="center"/>
            <w:hideMark/>
          </w:tcPr>
          <w:p w14:paraId="521EA7D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3·26E-02</w:t>
            </w:r>
          </w:p>
        </w:tc>
        <w:tc>
          <w:tcPr>
            <w:tcW w:w="1623" w:type="dxa"/>
            <w:tcBorders>
              <w:top w:val="nil"/>
              <w:left w:val="nil"/>
              <w:bottom w:val="single" w:sz="4" w:space="0" w:color="auto"/>
              <w:right w:val="single" w:sz="4" w:space="0" w:color="auto"/>
            </w:tcBorders>
            <w:shd w:val="clear" w:color="auto" w:fill="FFCCCC"/>
            <w:noWrap/>
            <w:vAlign w:val="center"/>
            <w:hideMark/>
          </w:tcPr>
          <w:p w14:paraId="7D190BD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F71C78B"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FDCBB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Nicotinamide N-oxide</w:t>
            </w:r>
          </w:p>
        </w:tc>
        <w:tc>
          <w:tcPr>
            <w:tcW w:w="709" w:type="dxa"/>
            <w:tcBorders>
              <w:top w:val="nil"/>
              <w:left w:val="nil"/>
              <w:bottom w:val="single" w:sz="4" w:space="0" w:color="auto"/>
              <w:right w:val="single" w:sz="4" w:space="0" w:color="auto"/>
            </w:tcBorders>
            <w:shd w:val="clear" w:color="auto" w:fill="FFCCCC"/>
            <w:noWrap/>
            <w:vAlign w:val="center"/>
            <w:hideMark/>
          </w:tcPr>
          <w:p w14:paraId="02121C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0BE4F5E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2·29</w:t>
            </w:r>
          </w:p>
        </w:tc>
        <w:tc>
          <w:tcPr>
            <w:tcW w:w="929" w:type="dxa"/>
            <w:tcBorders>
              <w:top w:val="nil"/>
              <w:left w:val="nil"/>
              <w:bottom w:val="single" w:sz="4" w:space="0" w:color="auto"/>
              <w:right w:val="single" w:sz="4" w:space="0" w:color="auto"/>
            </w:tcBorders>
            <w:shd w:val="clear" w:color="auto" w:fill="FFCCCC"/>
            <w:noWrap/>
            <w:vAlign w:val="center"/>
            <w:hideMark/>
          </w:tcPr>
          <w:p w14:paraId="69BA22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3·34E-02</w:t>
            </w:r>
          </w:p>
        </w:tc>
        <w:tc>
          <w:tcPr>
            <w:tcW w:w="1623" w:type="dxa"/>
            <w:tcBorders>
              <w:top w:val="nil"/>
              <w:left w:val="nil"/>
              <w:bottom w:val="single" w:sz="4" w:space="0" w:color="auto"/>
              <w:right w:val="single" w:sz="4" w:space="0" w:color="auto"/>
            </w:tcBorders>
            <w:shd w:val="clear" w:color="auto" w:fill="FFCCCC"/>
            <w:noWrap/>
            <w:vAlign w:val="center"/>
            <w:hideMark/>
          </w:tcPr>
          <w:p w14:paraId="24C5484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1D820B42"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0B0108D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w:t>
            </w:r>
            <w:proofErr w:type="spellStart"/>
            <w:r w:rsidRPr="00BA04D2">
              <w:rPr>
                <w:rFonts w:eastAsia="Times New Roman" w:cs="Times New Roman"/>
                <w:color w:val="000000"/>
                <w:sz w:val="16"/>
                <w:szCs w:val="16"/>
                <w:lang w:eastAsia="en-AU"/>
              </w:rPr>
              <w:t>Acetylfelinine</w:t>
            </w:r>
            <w:proofErr w:type="spellEnd"/>
          </w:p>
        </w:tc>
        <w:tc>
          <w:tcPr>
            <w:tcW w:w="709" w:type="dxa"/>
            <w:tcBorders>
              <w:top w:val="nil"/>
              <w:left w:val="nil"/>
              <w:bottom w:val="single" w:sz="4" w:space="0" w:color="auto"/>
              <w:right w:val="single" w:sz="4" w:space="0" w:color="auto"/>
            </w:tcBorders>
            <w:shd w:val="clear" w:color="auto" w:fill="FFCCCC"/>
            <w:noWrap/>
            <w:vAlign w:val="center"/>
            <w:hideMark/>
          </w:tcPr>
          <w:p w14:paraId="41BD2F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11C66E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2·00</w:t>
            </w:r>
          </w:p>
        </w:tc>
        <w:tc>
          <w:tcPr>
            <w:tcW w:w="929" w:type="dxa"/>
            <w:tcBorders>
              <w:top w:val="nil"/>
              <w:left w:val="nil"/>
              <w:bottom w:val="single" w:sz="4" w:space="0" w:color="auto"/>
              <w:right w:val="single" w:sz="4" w:space="0" w:color="auto"/>
            </w:tcBorders>
            <w:shd w:val="clear" w:color="auto" w:fill="FFCCCC"/>
            <w:noWrap/>
            <w:vAlign w:val="center"/>
            <w:hideMark/>
          </w:tcPr>
          <w:p w14:paraId="0494244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3·48E-02</w:t>
            </w:r>
          </w:p>
        </w:tc>
        <w:tc>
          <w:tcPr>
            <w:tcW w:w="1623" w:type="dxa"/>
            <w:tcBorders>
              <w:top w:val="nil"/>
              <w:left w:val="nil"/>
              <w:bottom w:val="single" w:sz="4" w:space="0" w:color="auto"/>
              <w:right w:val="single" w:sz="4" w:space="0" w:color="auto"/>
            </w:tcBorders>
            <w:shd w:val="clear" w:color="auto" w:fill="FFCCCC"/>
            <w:noWrap/>
            <w:vAlign w:val="center"/>
            <w:hideMark/>
          </w:tcPr>
          <w:p w14:paraId="423F9D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2823F66"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20F6A19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5-Methylbarbiturate</w:t>
            </w:r>
          </w:p>
        </w:tc>
        <w:tc>
          <w:tcPr>
            <w:tcW w:w="709" w:type="dxa"/>
            <w:tcBorders>
              <w:top w:val="nil"/>
              <w:left w:val="nil"/>
              <w:bottom w:val="single" w:sz="4" w:space="0" w:color="auto"/>
              <w:right w:val="single" w:sz="4" w:space="0" w:color="auto"/>
            </w:tcBorders>
            <w:shd w:val="clear" w:color="auto" w:fill="FFCCCC"/>
            <w:noWrap/>
            <w:vAlign w:val="center"/>
            <w:hideMark/>
          </w:tcPr>
          <w:p w14:paraId="30A2FE8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C05281</w:t>
            </w:r>
          </w:p>
        </w:tc>
        <w:tc>
          <w:tcPr>
            <w:tcW w:w="1275" w:type="dxa"/>
            <w:tcBorders>
              <w:top w:val="nil"/>
              <w:left w:val="nil"/>
              <w:bottom w:val="single" w:sz="4" w:space="0" w:color="auto"/>
              <w:right w:val="single" w:sz="4" w:space="0" w:color="auto"/>
            </w:tcBorders>
            <w:shd w:val="clear" w:color="auto" w:fill="FFCCCC"/>
            <w:noWrap/>
            <w:vAlign w:val="center"/>
            <w:hideMark/>
          </w:tcPr>
          <w:p w14:paraId="780BF3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1·68</w:t>
            </w:r>
          </w:p>
        </w:tc>
        <w:tc>
          <w:tcPr>
            <w:tcW w:w="929" w:type="dxa"/>
            <w:tcBorders>
              <w:top w:val="nil"/>
              <w:left w:val="nil"/>
              <w:bottom w:val="single" w:sz="4" w:space="0" w:color="auto"/>
              <w:right w:val="single" w:sz="4" w:space="0" w:color="auto"/>
            </w:tcBorders>
            <w:shd w:val="clear" w:color="auto" w:fill="FFCCCC"/>
            <w:noWrap/>
            <w:vAlign w:val="center"/>
            <w:hideMark/>
          </w:tcPr>
          <w:p w14:paraId="7D8F7A1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3·96E-02</w:t>
            </w:r>
          </w:p>
        </w:tc>
        <w:tc>
          <w:tcPr>
            <w:tcW w:w="1623" w:type="dxa"/>
            <w:tcBorders>
              <w:top w:val="nil"/>
              <w:left w:val="nil"/>
              <w:bottom w:val="single" w:sz="4" w:space="0" w:color="auto"/>
              <w:right w:val="single" w:sz="4" w:space="0" w:color="auto"/>
            </w:tcBorders>
            <w:shd w:val="clear" w:color="auto" w:fill="FFCCCC"/>
            <w:noWrap/>
            <w:vAlign w:val="center"/>
            <w:hideMark/>
          </w:tcPr>
          <w:p w14:paraId="044B297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EA3EF7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9C71A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Theanine</w:t>
            </w:r>
          </w:p>
        </w:tc>
        <w:tc>
          <w:tcPr>
            <w:tcW w:w="709" w:type="dxa"/>
            <w:tcBorders>
              <w:top w:val="nil"/>
              <w:left w:val="nil"/>
              <w:bottom w:val="single" w:sz="4" w:space="0" w:color="auto"/>
              <w:right w:val="single" w:sz="4" w:space="0" w:color="auto"/>
            </w:tcBorders>
            <w:shd w:val="clear" w:color="auto" w:fill="FFCCCC"/>
            <w:noWrap/>
            <w:vAlign w:val="center"/>
            <w:hideMark/>
          </w:tcPr>
          <w:p w14:paraId="164AB08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C01047</w:t>
            </w:r>
          </w:p>
        </w:tc>
        <w:tc>
          <w:tcPr>
            <w:tcW w:w="1275" w:type="dxa"/>
            <w:tcBorders>
              <w:top w:val="nil"/>
              <w:left w:val="nil"/>
              <w:bottom w:val="single" w:sz="4" w:space="0" w:color="auto"/>
              <w:right w:val="single" w:sz="4" w:space="0" w:color="auto"/>
            </w:tcBorders>
            <w:shd w:val="clear" w:color="auto" w:fill="FFCCCC"/>
            <w:noWrap/>
            <w:vAlign w:val="center"/>
            <w:hideMark/>
          </w:tcPr>
          <w:p w14:paraId="4A642A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2·07</w:t>
            </w:r>
          </w:p>
        </w:tc>
        <w:tc>
          <w:tcPr>
            <w:tcW w:w="929" w:type="dxa"/>
            <w:tcBorders>
              <w:top w:val="nil"/>
              <w:left w:val="nil"/>
              <w:bottom w:val="single" w:sz="4" w:space="0" w:color="auto"/>
              <w:right w:val="single" w:sz="4" w:space="0" w:color="auto"/>
            </w:tcBorders>
            <w:shd w:val="clear" w:color="auto" w:fill="FFCCCC"/>
            <w:noWrap/>
            <w:vAlign w:val="center"/>
            <w:hideMark/>
          </w:tcPr>
          <w:p w14:paraId="7FCBC86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4·32E-02</w:t>
            </w:r>
          </w:p>
        </w:tc>
        <w:tc>
          <w:tcPr>
            <w:tcW w:w="1623" w:type="dxa"/>
            <w:tcBorders>
              <w:top w:val="nil"/>
              <w:left w:val="nil"/>
              <w:bottom w:val="single" w:sz="4" w:space="0" w:color="auto"/>
              <w:right w:val="single" w:sz="4" w:space="0" w:color="auto"/>
            </w:tcBorders>
            <w:shd w:val="clear" w:color="auto" w:fill="FFCCCC"/>
            <w:noWrap/>
            <w:vAlign w:val="center"/>
            <w:hideMark/>
          </w:tcPr>
          <w:p w14:paraId="47D4ED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3C43507F"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022695C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Galactose</w:t>
            </w:r>
          </w:p>
        </w:tc>
        <w:tc>
          <w:tcPr>
            <w:tcW w:w="709" w:type="dxa"/>
            <w:tcBorders>
              <w:top w:val="nil"/>
              <w:left w:val="nil"/>
              <w:bottom w:val="single" w:sz="4" w:space="0" w:color="auto"/>
              <w:right w:val="single" w:sz="4" w:space="0" w:color="auto"/>
            </w:tcBorders>
            <w:shd w:val="clear" w:color="auto" w:fill="FFCCCC"/>
            <w:noWrap/>
            <w:vAlign w:val="center"/>
            <w:hideMark/>
          </w:tcPr>
          <w:p w14:paraId="1D4CBC3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C00124</w:t>
            </w:r>
          </w:p>
        </w:tc>
        <w:tc>
          <w:tcPr>
            <w:tcW w:w="1275" w:type="dxa"/>
            <w:tcBorders>
              <w:top w:val="nil"/>
              <w:left w:val="nil"/>
              <w:bottom w:val="single" w:sz="4" w:space="0" w:color="auto"/>
              <w:right w:val="single" w:sz="4" w:space="0" w:color="auto"/>
            </w:tcBorders>
            <w:shd w:val="clear" w:color="auto" w:fill="FFCCCC"/>
            <w:noWrap/>
            <w:vAlign w:val="center"/>
            <w:hideMark/>
          </w:tcPr>
          <w:p w14:paraId="23DCC0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2·49</w:t>
            </w:r>
          </w:p>
        </w:tc>
        <w:tc>
          <w:tcPr>
            <w:tcW w:w="929" w:type="dxa"/>
            <w:tcBorders>
              <w:top w:val="nil"/>
              <w:left w:val="nil"/>
              <w:bottom w:val="single" w:sz="4" w:space="0" w:color="auto"/>
              <w:right w:val="single" w:sz="4" w:space="0" w:color="auto"/>
            </w:tcBorders>
            <w:shd w:val="clear" w:color="auto" w:fill="FFCCCC"/>
            <w:noWrap/>
            <w:vAlign w:val="center"/>
            <w:hideMark/>
          </w:tcPr>
          <w:p w14:paraId="66C8524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4·74E-02</w:t>
            </w:r>
          </w:p>
        </w:tc>
        <w:tc>
          <w:tcPr>
            <w:tcW w:w="1623" w:type="dxa"/>
            <w:tcBorders>
              <w:top w:val="nil"/>
              <w:left w:val="nil"/>
              <w:bottom w:val="single" w:sz="4" w:space="0" w:color="auto"/>
              <w:right w:val="single" w:sz="4" w:space="0" w:color="auto"/>
            </w:tcBorders>
            <w:shd w:val="clear" w:color="auto" w:fill="FFCCCC"/>
            <w:noWrap/>
            <w:vAlign w:val="center"/>
            <w:hideMark/>
          </w:tcPr>
          <w:p w14:paraId="2E0977B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4B654BD"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7D73F2D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PE-</w:t>
            </w:r>
            <w:proofErr w:type="spellStart"/>
            <w:proofErr w:type="gramStart"/>
            <w:r w:rsidRPr="00BA04D2">
              <w:rPr>
                <w:rFonts w:eastAsia="Times New Roman" w:cs="Times New Roman"/>
                <w:color w:val="000000"/>
                <w:sz w:val="16"/>
                <w:szCs w:val="16"/>
                <w:lang w:eastAsia="en-AU"/>
              </w:rPr>
              <w:t>NMe</w:t>
            </w:r>
            <w:proofErr w:type="spellEnd"/>
            <w:r w:rsidRPr="00BA04D2">
              <w:rPr>
                <w:rFonts w:eastAsia="Times New Roman" w:cs="Times New Roman"/>
                <w:color w:val="000000"/>
                <w:sz w:val="16"/>
                <w:szCs w:val="16"/>
                <w:lang w:eastAsia="en-AU"/>
              </w:rPr>
              <w:t>(</w:t>
            </w:r>
            <w:proofErr w:type="gramEnd"/>
            <w:r w:rsidRPr="00BA04D2">
              <w:rPr>
                <w:rFonts w:eastAsia="Times New Roman" w:cs="Times New Roman"/>
                <w:color w:val="000000"/>
                <w:sz w:val="16"/>
                <w:szCs w:val="16"/>
                <w:lang w:eastAsia="en-AU"/>
              </w:rPr>
              <w:t>20:3/24:1)</w:t>
            </w:r>
          </w:p>
        </w:tc>
        <w:tc>
          <w:tcPr>
            <w:tcW w:w="709" w:type="dxa"/>
            <w:tcBorders>
              <w:top w:val="nil"/>
              <w:left w:val="nil"/>
              <w:bottom w:val="single" w:sz="4" w:space="0" w:color="auto"/>
              <w:right w:val="single" w:sz="4" w:space="0" w:color="auto"/>
            </w:tcBorders>
            <w:shd w:val="clear" w:color="auto" w:fill="FFCCCC"/>
            <w:noWrap/>
            <w:vAlign w:val="center"/>
            <w:hideMark/>
          </w:tcPr>
          <w:p w14:paraId="643953F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0656130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1·54</w:t>
            </w:r>
          </w:p>
        </w:tc>
        <w:tc>
          <w:tcPr>
            <w:tcW w:w="929" w:type="dxa"/>
            <w:tcBorders>
              <w:top w:val="nil"/>
              <w:left w:val="nil"/>
              <w:bottom w:val="single" w:sz="4" w:space="0" w:color="auto"/>
              <w:right w:val="single" w:sz="4" w:space="0" w:color="auto"/>
            </w:tcBorders>
            <w:shd w:val="clear" w:color="auto" w:fill="FFCCCC"/>
            <w:noWrap/>
            <w:vAlign w:val="center"/>
            <w:hideMark/>
          </w:tcPr>
          <w:p w14:paraId="2F23C7A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4·75E-02</w:t>
            </w:r>
          </w:p>
        </w:tc>
        <w:tc>
          <w:tcPr>
            <w:tcW w:w="1623" w:type="dxa"/>
            <w:tcBorders>
              <w:top w:val="nil"/>
              <w:left w:val="nil"/>
              <w:bottom w:val="single" w:sz="4" w:space="0" w:color="auto"/>
              <w:right w:val="single" w:sz="4" w:space="0" w:color="auto"/>
            </w:tcBorders>
            <w:shd w:val="clear" w:color="auto" w:fill="FFCCCC"/>
            <w:noWrap/>
            <w:vAlign w:val="center"/>
            <w:hideMark/>
          </w:tcPr>
          <w:p w14:paraId="0AAF5E0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7B01233D"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61DD7A4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N3-Hydroxypropylcytosine</w:t>
            </w:r>
          </w:p>
        </w:tc>
        <w:tc>
          <w:tcPr>
            <w:tcW w:w="709" w:type="dxa"/>
            <w:tcBorders>
              <w:top w:val="nil"/>
              <w:left w:val="nil"/>
              <w:bottom w:val="single" w:sz="4" w:space="0" w:color="auto"/>
              <w:right w:val="single" w:sz="4" w:space="0" w:color="auto"/>
            </w:tcBorders>
            <w:shd w:val="clear" w:color="auto" w:fill="FFCCCC"/>
            <w:noWrap/>
            <w:vAlign w:val="center"/>
            <w:hideMark/>
          </w:tcPr>
          <w:p w14:paraId="08A7CDC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288F288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1·77</w:t>
            </w:r>
          </w:p>
        </w:tc>
        <w:tc>
          <w:tcPr>
            <w:tcW w:w="929" w:type="dxa"/>
            <w:tcBorders>
              <w:top w:val="nil"/>
              <w:left w:val="nil"/>
              <w:bottom w:val="single" w:sz="4" w:space="0" w:color="auto"/>
              <w:right w:val="single" w:sz="4" w:space="0" w:color="auto"/>
            </w:tcBorders>
            <w:shd w:val="clear" w:color="auto" w:fill="FFCCCC"/>
            <w:noWrap/>
            <w:vAlign w:val="center"/>
            <w:hideMark/>
          </w:tcPr>
          <w:p w14:paraId="1712DB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4·81E-02</w:t>
            </w:r>
          </w:p>
        </w:tc>
        <w:tc>
          <w:tcPr>
            <w:tcW w:w="1623" w:type="dxa"/>
            <w:tcBorders>
              <w:top w:val="nil"/>
              <w:left w:val="nil"/>
              <w:bottom w:val="single" w:sz="4" w:space="0" w:color="auto"/>
              <w:right w:val="single" w:sz="4" w:space="0" w:color="auto"/>
            </w:tcBorders>
            <w:shd w:val="clear" w:color="auto" w:fill="FFCCCC"/>
            <w:noWrap/>
            <w:vAlign w:val="center"/>
            <w:hideMark/>
          </w:tcPr>
          <w:p w14:paraId="4973D0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5DE503B8"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75B1D4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3-Nitrotyrosine</w:t>
            </w:r>
          </w:p>
        </w:tc>
        <w:tc>
          <w:tcPr>
            <w:tcW w:w="709" w:type="dxa"/>
            <w:tcBorders>
              <w:top w:val="nil"/>
              <w:left w:val="nil"/>
              <w:bottom w:val="single" w:sz="4" w:space="0" w:color="auto"/>
              <w:right w:val="single" w:sz="4" w:space="0" w:color="auto"/>
            </w:tcBorders>
            <w:shd w:val="clear" w:color="auto" w:fill="FFCCCC"/>
            <w:noWrap/>
            <w:vAlign w:val="center"/>
            <w:hideMark/>
          </w:tcPr>
          <w:p w14:paraId="42421BA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7D2BBF3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1·55</w:t>
            </w:r>
          </w:p>
        </w:tc>
        <w:tc>
          <w:tcPr>
            <w:tcW w:w="929" w:type="dxa"/>
            <w:tcBorders>
              <w:top w:val="nil"/>
              <w:left w:val="nil"/>
              <w:bottom w:val="single" w:sz="4" w:space="0" w:color="auto"/>
              <w:right w:val="single" w:sz="4" w:space="0" w:color="auto"/>
            </w:tcBorders>
            <w:shd w:val="clear" w:color="auto" w:fill="FFCCCC"/>
            <w:noWrap/>
            <w:vAlign w:val="center"/>
            <w:hideMark/>
          </w:tcPr>
          <w:p w14:paraId="125484B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4·84E-02</w:t>
            </w:r>
          </w:p>
        </w:tc>
        <w:tc>
          <w:tcPr>
            <w:tcW w:w="1623" w:type="dxa"/>
            <w:tcBorders>
              <w:top w:val="nil"/>
              <w:left w:val="nil"/>
              <w:bottom w:val="single" w:sz="4" w:space="0" w:color="auto"/>
              <w:right w:val="single" w:sz="4" w:space="0" w:color="auto"/>
            </w:tcBorders>
            <w:shd w:val="clear" w:color="auto" w:fill="FFCCCC"/>
            <w:noWrap/>
            <w:vAlign w:val="center"/>
            <w:hideMark/>
          </w:tcPr>
          <w:p w14:paraId="4F7530F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450BF2FD"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FFCCCC"/>
            <w:noWrap/>
            <w:vAlign w:val="center"/>
            <w:hideMark/>
          </w:tcPr>
          <w:p w14:paraId="35CC915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Pro/</w:t>
            </w:r>
            <w:proofErr w:type="spellStart"/>
            <w:r w:rsidRPr="00BA04D2">
              <w:rPr>
                <w:rFonts w:eastAsia="Times New Roman" w:cs="Times New Roman"/>
                <w:color w:val="000000"/>
                <w:sz w:val="16"/>
                <w:szCs w:val="16"/>
                <w:lang w:eastAsia="en-AU"/>
              </w:rPr>
              <w:t>Gly</w:t>
            </w:r>
            <w:proofErr w:type="spellEnd"/>
            <w:r w:rsidRPr="00BA04D2">
              <w:rPr>
                <w:rFonts w:eastAsia="Times New Roman" w:cs="Times New Roman"/>
                <w:color w:val="000000"/>
                <w:sz w:val="16"/>
                <w:szCs w:val="16"/>
                <w:lang w:eastAsia="en-AU"/>
              </w:rPr>
              <w:t>/Pro/Pro</w:t>
            </w:r>
          </w:p>
        </w:tc>
        <w:tc>
          <w:tcPr>
            <w:tcW w:w="709" w:type="dxa"/>
            <w:tcBorders>
              <w:top w:val="nil"/>
              <w:left w:val="nil"/>
              <w:bottom w:val="single" w:sz="4" w:space="0" w:color="auto"/>
              <w:right w:val="single" w:sz="4" w:space="0" w:color="auto"/>
            </w:tcBorders>
            <w:shd w:val="clear" w:color="auto" w:fill="FFCCCC"/>
            <w:noWrap/>
            <w:vAlign w:val="center"/>
            <w:hideMark/>
          </w:tcPr>
          <w:p w14:paraId="03EFCAB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FFCCCC"/>
            <w:noWrap/>
            <w:vAlign w:val="center"/>
            <w:hideMark/>
          </w:tcPr>
          <w:p w14:paraId="21406C6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2·88</w:t>
            </w:r>
          </w:p>
        </w:tc>
        <w:tc>
          <w:tcPr>
            <w:tcW w:w="929" w:type="dxa"/>
            <w:tcBorders>
              <w:top w:val="nil"/>
              <w:left w:val="nil"/>
              <w:bottom w:val="single" w:sz="4" w:space="0" w:color="auto"/>
              <w:right w:val="single" w:sz="4" w:space="0" w:color="auto"/>
            </w:tcBorders>
            <w:shd w:val="clear" w:color="auto" w:fill="FFCCCC"/>
            <w:noWrap/>
            <w:vAlign w:val="center"/>
            <w:hideMark/>
          </w:tcPr>
          <w:p w14:paraId="3F8A8A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4·84E-02</w:t>
            </w:r>
          </w:p>
        </w:tc>
        <w:tc>
          <w:tcPr>
            <w:tcW w:w="1623" w:type="dxa"/>
            <w:tcBorders>
              <w:top w:val="nil"/>
              <w:left w:val="nil"/>
              <w:bottom w:val="single" w:sz="4" w:space="0" w:color="auto"/>
              <w:right w:val="single" w:sz="4" w:space="0" w:color="auto"/>
            </w:tcBorders>
            <w:shd w:val="clear" w:color="auto" w:fill="FFCCCC"/>
            <w:noWrap/>
            <w:vAlign w:val="center"/>
            <w:hideMark/>
          </w:tcPr>
          <w:p w14:paraId="410056B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Upregulated</w:t>
            </w:r>
          </w:p>
        </w:tc>
      </w:tr>
      <w:tr w:rsidR="003F47CF" w:rsidRPr="00BA04D2" w14:paraId="0160D8CC"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675B07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beta-Aspartyl-L-alanine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BFEEB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DA79C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0·66</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4238A76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2·47E-05</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127A858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1CE77B4"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B69B44A"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Fenugreekine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13685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3A0E6B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0·47</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0EC0F2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8·80E-04</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1B22D1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02E99E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8D2E79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NADH</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E0A81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C00004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423D89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0·54</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3E39F22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2·03E-03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500A8F7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5DA1535"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6D30C4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Met/Met/His</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98C00E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0B0C4FD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0·24</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2602A3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2·44E-03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6E419AB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059D2E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A6C764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1-Deoxy-D-altro-heptulose 7-phosphate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E0294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C04359</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413650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0·32</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671673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3·51E-03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635574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3202753"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0FCDA55"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w:t>
            </w:r>
            <w:proofErr w:type="spellStart"/>
            <w:r w:rsidRPr="00BA04D2">
              <w:rPr>
                <w:rFonts w:eastAsia="Times New Roman" w:cs="Times New Roman"/>
                <w:color w:val="000000"/>
                <w:sz w:val="16"/>
                <w:szCs w:val="16"/>
                <w:lang w:eastAsia="en-AU"/>
              </w:rPr>
              <w:t>Cys</w:t>
            </w:r>
            <w:proofErr w:type="spellEnd"/>
            <w:r w:rsidRPr="00BA04D2">
              <w:rPr>
                <w:rFonts w:eastAsia="Times New Roman" w:cs="Times New Roman"/>
                <w:color w:val="000000"/>
                <w:sz w:val="16"/>
                <w:szCs w:val="16"/>
                <w:lang w:eastAsia="en-AU"/>
              </w:rPr>
              <w:t>/Asp/Lys/Gln</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F50D6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B4A947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072F16A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6·25E-03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348450E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2C5E368"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3917598" w14:textId="77777777" w:rsidR="003F47CF" w:rsidRPr="00BA04D2" w:rsidRDefault="003F47CF" w:rsidP="000F7A14">
            <w:pPr>
              <w:spacing w:after="0"/>
              <w:jc w:val="left"/>
              <w:rPr>
                <w:rFonts w:eastAsia="Times New Roman" w:cs="Times New Roman"/>
                <w:color w:val="000000"/>
                <w:sz w:val="16"/>
                <w:szCs w:val="16"/>
                <w:lang w:eastAsia="en-AU"/>
              </w:rPr>
            </w:pPr>
            <w:proofErr w:type="gramStart"/>
            <w:r w:rsidRPr="00BA04D2">
              <w:rPr>
                <w:rFonts w:eastAsia="Times New Roman" w:cs="Times New Roman"/>
                <w:color w:val="000000"/>
                <w:sz w:val="16"/>
                <w:szCs w:val="16"/>
                <w:lang w:eastAsia="en-AU"/>
              </w:rPr>
              <w:t>TG(</w:t>
            </w:r>
            <w:proofErr w:type="gramEnd"/>
            <w:r w:rsidRPr="00BA04D2">
              <w:rPr>
                <w:rFonts w:eastAsia="Times New Roman" w:cs="Times New Roman"/>
                <w:color w:val="000000"/>
                <w:sz w:val="16"/>
                <w:szCs w:val="16"/>
                <w:lang w:eastAsia="en-AU"/>
              </w:rPr>
              <w:t>12:0/20:3/22:0)[iso6]</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E5904E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C00422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81E3D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0·41</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4B27762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8·68E-03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3EDBF0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B684099"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CB1D6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12-Hydroxy-12-octadecanoylcarnitine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D768FA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870D68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0·48</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0BE3A88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8·87E-03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37C4291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168FD7B"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9831C1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N-Acetyl-L-methionine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5D9E8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C02712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3B126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0·03</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6E19A29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9·91E-03</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687E53F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5D19B9D"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3D1391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gamma-L-Glutamyl-L-pipecolic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C88064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966240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0·26</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E8187B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1·07E-02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A3F9F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6E1E2C3"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54B8DEE"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Hydroxymethylphosphonate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E90D0A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C06455</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4A0A34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41A4BF1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1·23E-02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6844EA6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C28BA00"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2C52F2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Betaine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1AEBC9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C00719</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786BD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0·43</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272F61B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1·30E-02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5FC38D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39A0CE8"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1748A5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Thymine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EEBD44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C00178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83C0CF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0·48</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12CB84F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1·33E-02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24B94BB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8819C9E"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EE1C4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Asp/Asp/Asp/Pro/Gln</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4C00E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56E7504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0·40</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03007C6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1·81E-02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4B255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E04E18A"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F621CFB"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Deoxyuridine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1FEC33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C00526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594F75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EE0B77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1·88E-02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0DEA3BC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1CD4964F"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C4D62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alpha-Amino-gamma-</w:t>
            </w:r>
            <w:proofErr w:type="spellStart"/>
            <w:r w:rsidRPr="00BA04D2">
              <w:rPr>
                <w:rFonts w:eastAsia="Times New Roman" w:cs="Times New Roman"/>
                <w:color w:val="000000"/>
                <w:sz w:val="16"/>
                <w:szCs w:val="16"/>
                <w:lang w:eastAsia="en-AU"/>
              </w:rPr>
              <w:t>oxalylaminobutyric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FCB433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C08266</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3DDABE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0·60</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2A19B05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1·94E-02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368EBC2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1DF809E"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297176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Ile/Lys/Pro</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968FDC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BDC290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0·57</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81E25A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2·34E-02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3796DE6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B88317D"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6560DC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beta-Aspartyl-L-threonine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E5A959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429414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DB9496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2·57E-02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842F39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7DF7915"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2DF5A6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Guanine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D9B308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C00242</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5A0829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0·58</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49BF418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2·62E-02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942EF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18A2C4B"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334D047"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Methylimidazoleacetic</w:t>
            </w:r>
            <w:proofErr w:type="spellEnd"/>
            <w:r w:rsidRPr="00BA04D2">
              <w:rPr>
                <w:rFonts w:eastAsia="Times New Roman" w:cs="Times New Roman"/>
                <w:color w:val="000000"/>
                <w:sz w:val="16"/>
                <w:szCs w:val="16"/>
                <w:lang w:eastAsia="en-AU"/>
              </w:rPr>
              <w:t xml:space="preserve">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C270FB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C05828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1934DE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0·46</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6B20700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2·68E-02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5675D57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4ACCB63"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CD1DD5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N-Palmitoyl threonine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A26016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F103F0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0·30</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5D4F65C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2·92E-02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A01086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1AF7569"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40358A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lastRenderedPageBreak/>
              <w:t xml:space="preserve">(4,5-Dihydro-2-methyl-3-furanyl) </w:t>
            </w:r>
            <w:proofErr w:type="spellStart"/>
            <w:r w:rsidRPr="00BA04D2">
              <w:rPr>
                <w:rFonts w:eastAsia="Times New Roman" w:cs="Times New Roman"/>
                <w:color w:val="000000"/>
                <w:sz w:val="16"/>
                <w:szCs w:val="16"/>
                <w:lang w:eastAsia="en-AU"/>
              </w:rPr>
              <w:t>ethanethioate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F6BCCC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59C32F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0·35</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145C999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3·09E-02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3F7DA1A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2D523B3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3380CA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2-Hydroxybutyric acid</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2849E51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C05984</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5E58FD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0·61</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42CB52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3·39E-02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0D2A5D8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2A2C3FE"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6B6718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N5-Acetyl-N5-hydroxy-L-ornithine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602E9CB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73DF8C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0·54</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1F7EF4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3·88E-02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6467F15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342BBDD9"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945A6E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Kynurenine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020347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C00328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2E89E6E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0·34</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7B6C7A7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4·15E-02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0BA42BA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75A69C72"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D1F044D"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Glucosylsphingosine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79F4C8F9"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C03108</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ECEF1D7"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0·54</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2420A8D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4·34E-02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13F9EA8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CB367EF"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3CCC11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9,12-Hexadecadienoylcarnitine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1187CF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37F52B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0·57</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1694424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4·52E-02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50BF0F1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C278FD6"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9A70F99"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Linoelaidyl</w:t>
            </w:r>
            <w:proofErr w:type="spellEnd"/>
            <w:r w:rsidRPr="00BA04D2">
              <w:rPr>
                <w:rFonts w:eastAsia="Times New Roman" w:cs="Times New Roman"/>
                <w:color w:val="000000"/>
                <w:sz w:val="16"/>
                <w:szCs w:val="16"/>
                <w:lang w:eastAsia="en-AU"/>
              </w:rPr>
              <w:t xml:space="preserve"> carnitine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390E16E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6C91903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0·43</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2756178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4·60E-02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2CD03FAD"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5F1064E3"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4C5E33B"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3-Hydroxy-9-hexadecenoylcarnitine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56AB03C8"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79BCF614"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0·33</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61396915"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4·68E-02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7281225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67DECF37"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2FB324F"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5'-Chloro-5'-deoxyadenosine</w:t>
            </w:r>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49C5AC02"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3F64A21E"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0·46</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12AC272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4·79E-02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7165C26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4E688870"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69C05203"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Stearoylcarnitine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12171F8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1C220B43"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0·65</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6116D52A"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4·92E-02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43FCA59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r w:rsidR="003F47CF" w:rsidRPr="00BA04D2" w14:paraId="0E40982A" w14:textId="77777777" w:rsidTr="000F7A14">
        <w:trPr>
          <w:trHeight w:val="290"/>
        </w:trPr>
        <w:tc>
          <w:tcPr>
            <w:tcW w:w="3681"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1B470595" w14:textId="77777777" w:rsidR="003F47CF" w:rsidRPr="00BA04D2" w:rsidRDefault="003F47CF" w:rsidP="000F7A14">
            <w:pPr>
              <w:spacing w:after="0"/>
              <w:jc w:val="left"/>
              <w:rPr>
                <w:rFonts w:eastAsia="Times New Roman" w:cs="Times New Roman"/>
                <w:color w:val="000000"/>
                <w:sz w:val="16"/>
                <w:szCs w:val="16"/>
                <w:lang w:eastAsia="en-AU"/>
              </w:rPr>
            </w:pPr>
            <w:proofErr w:type="spellStart"/>
            <w:r w:rsidRPr="00BA04D2">
              <w:rPr>
                <w:rFonts w:eastAsia="Times New Roman" w:cs="Times New Roman"/>
                <w:color w:val="000000"/>
                <w:sz w:val="16"/>
                <w:szCs w:val="16"/>
                <w:lang w:eastAsia="en-AU"/>
              </w:rPr>
              <w:t>Eicoseneoylcarnitine</w:t>
            </w:r>
            <w:proofErr w:type="spellEnd"/>
          </w:p>
        </w:tc>
        <w:tc>
          <w:tcPr>
            <w:tcW w:w="709" w:type="dxa"/>
            <w:tcBorders>
              <w:top w:val="nil"/>
              <w:left w:val="nil"/>
              <w:bottom w:val="single" w:sz="4" w:space="0" w:color="auto"/>
              <w:right w:val="single" w:sz="4" w:space="0" w:color="auto"/>
            </w:tcBorders>
            <w:shd w:val="clear" w:color="auto" w:fill="D9E2F3" w:themeFill="accent1" w:themeFillTint="33"/>
            <w:noWrap/>
            <w:vAlign w:val="center"/>
            <w:hideMark/>
          </w:tcPr>
          <w:p w14:paraId="0EADF741"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NA</w:t>
            </w:r>
          </w:p>
        </w:tc>
        <w:tc>
          <w:tcPr>
            <w:tcW w:w="1275" w:type="dxa"/>
            <w:tcBorders>
              <w:top w:val="nil"/>
              <w:left w:val="nil"/>
              <w:bottom w:val="single" w:sz="4" w:space="0" w:color="auto"/>
              <w:right w:val="single" w:sz="4" w:space="0" w:color="auto"/>
            </w:tcBorders>
            <w:shd w:val="clear" w:color="auto" w:fill="D9E2F3" w:themeFill="accent1" w:themeFillTint="33"/>
            <w:noWrap/>
            <w:vAlign w:val="center"/>
            <w:hideMark/>
          </w:tcPr>
          <w:p w14:paraId="42F32F16"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0·60</w:t>
            </w:r>
          </w:p>
        </w:tc>
        <w:tc>
          <w:tcPr>
            <w:tcW w:w="929" w:type="dxa"/>
            <w:tcBorders>
              <w:top w:val="nil"/>
              <w:left w:val="nil"/>
              <w:bottom w:val="single" w:sz="4" w:space="0" w:color="auto"/>
              <w:right w:val="single" w:sz="4" w:space="0" w:color="auto"/>
            </w:tcBorders>
            <w:shd w:val="clear" w:color="auto" w:fill="D9E2F3" w:themeFill="accent1" w:themeFillTint="33"/>
            <w:noWrap/>
            <w:vAlign w:val="center"/>
            <w:hideMark/>
          </w:tcPr>
          <w:p w14:paraId="06623ADC"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4·95E-02</w:t>
            </w:r>
          </w:p>
        </w:tc>
        <w:tc>
          <w:tcPr>
            <w:tcW w:w="1623" w:type="dxa"/>
            <w:tcBorders>
              <w:top w:val="nil"/>
              <w:left w:val="nil"/>
              <w:bottom w:val="single" w:sz="4" w:space="0" w:color="auto"/>
              <w:right w:val="single" w:sz="4" w:space="0" w:color="auto"/>
            </w:tcBorders>
            <w:shd w:val="clear" w:color="auto" w:fill="D9E2F3" w:themeFill="accent1" w:themeFillTint="33"/>
            <w:noWrap/>
            <w:vAlign w:val="center"/>
            <w:hideMark/>
          </w:tcPr>
          <w:p w14:paraId="0178B190" w14:textId="77777777" w:rsidR="003F47CF" w:rsidRPr="00BA04D2" w:rsidRDefault="003F47CF" w:rsidP="000F7A14">
            <w:pPr>
              <w:spacing w:after="0"/>
              <w:jc w:val="left"/>
              <w:rPr>
                <w:rFonts w:eastAsia="Times New Roman" w:cs="Times New Roman"/>
                <w:color w:val="000000"/>
                <w:sz w:val="16"/>
                <w:szCs w:val="16"/>
                <w:lang w:eastAsia="en-AU"/>
              </w:rPr>
            </w:pPr>
            <w:r w:rsidRPr="00BA04D2">
              <w:rPr>
                <w:rFonts w:eastAsia="Times New Roman" w:cs="Times New Roman"/>
                <w:color w:val="000000"/>
                <w:sz w:val="16"/>
                <w:szCs w:val="16"/>
                <w:lang w:eastAsia="en-AU"/>
              </w:rPr>
              <w:t>Downregulated</w:t>
            </w:r>
          </w:p>
        </w:tc>
      </w:tr>
    </w:tbl>
    <w:p w14:paraId="5F1A353C" w14:textId="77777777" w:rsidR="003F47CF" w:rsidRPr="00BA04D2" w:rsidRDefault="003F47CF" w:rsidP="003F47CF">
      <w:r w:rsidRPr="00BA04D2">
        <w:br w:type="page"/>
      </w:r>
    </w:p>
    <w:p w14:paraId="0B792A0F" w14:textId="77777777" w:rsidR="003F47CF" w:rsidRPr="00BA04D2" w:rsidRDefault="003F47CF" w:rsidP="003F47CF">
      <w:pPr>
        <w:pStyle w:val="Style2"/>
      </w:pPr>
      <w:bookmarkStart w:id="101" w:name="_Toc217293628"/>
      <w:bookmarkStart w:id="102" w:name="_Toc217294950"/>
      <w:r w:rsidRPr="00BA04D2">
        <w:lastRenderedPageBreak/>
        <w:t>Supplementary Table 14. Pathway analysis-DITPA/LT3 (TSC)</w:t>
      </w:r>
      <w:bookmarkEnd w:id="101"/>
      <w:bookmarkEnd w:id="102"/>
    </w:p>
    <w:tbl>
      <w:tblPr>
        <w:tblStyle w:val="GridTable6Colorful-Accent5"/>
        <w:tblpPr w:leftFromText="180" w:rightFromText="180" w:vertAnchor="text" w:horzAnchor="margin" w:tblpY="125"/>
        <w:tblW w:w="9016" w:type="dxa"/>
        <w:tblLook w:val="04A0" w:firstRow="1" w:lastRow="0" w:firstColumn="1" w:lastColumn="0" w:noHBand="0" w:noVBand="1"/>
      </w:tblPr>
      <w:tblGrid>
        <w:gridCol w:w="4197"/>
        <w:gridCol w:w="963"/>
        <w:gridCol w:w="964"/>
        <w:gridCol w:w="964"/>
        <w:gridCol w:w="964"/>
        <w:gridCol w:w="964"/>
      </w:tblGrid>
      <w:tr w:rsidR="003F47CF" w:rsidRPr="00BA04D2" w14:paraId="4AC44CBA" w14:textId="77777777" w:rsidTr="000F7A1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shd w:val="clear" w:color="auto" w:fill="4472C4" w:themeFill="accent1"/>
            <w:noWrap/>
            <w:vAlign w:val="center"/>
            <w:hideMark/>
          </w:tcPr>
          <w:p w14:paraId="424F48C8" w14:textId="77777777" w:rsidR="003F47CF" w:rsidRPr="00BA04D2" w:rsidRDefault="003F47CF" w:rsidP="000F7A14">
            <w:pPr>
              <w:spacing w:before="0"/>
              <w:jc w:val="left"/>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Pathway analysis-DITPA/LT3 (TSC)</w:t>
            </w:r>
          </w:p>
        </w:tc>
        <w:tc>
          <w:tcPr>
            <w:tcW w:w="963" w:type="dxa"/>
            <w:shd w:val="clear" w:color="auto" w:fill="4472C4" w:themeFill="accent1"/>
            <w:noWrap/>
            <w:vAlign w:val="center"/>
            <w:hideMark/>
          </w:tcPr>
          <w:p w14:paraId="76A7F77F"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Total</w:t>
            </w:r>
          </w:p>
        </w:tc>
        <w:tc>
          <w:tcPr>
            <w:tcW w:w="964" w:type="dxa"/>
            <w:shd w:val="clear" w:color="auto" w:fill="4472C4" w:themeFill="accent1"/>
            <w:noWrap/>
            <w:vAlign w:val="center"/>
            <w:hideMark/>
          </w:tcPr>
          <w:p w14:paraId="24CEB0FC"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Expected</w:t>
            </w:r>
          </w:p>
        </w:tc>
        <w:tc>
          <w:tcPr>
            <w:tcW w:w="964" w:type="dxa"/>
            <w:shd w:val="clear" w:color="auto" w:fill="4472C4" w:themeFill="accent1"/>
            <w:noWrap/>
            <w:vAlign w:val="center"/>
            <w:hideMark/>
          </w:tcPr>
          <w:p w14:paraId="2868721D"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Hits</w:t>
            </w:r>
          </w:p>
        </w:tc>
        <w:tc>
          <w:tcPr>
            <w:tcW w:w="964" w:type="dxa"/>
            <w:shd w:val="clear" w:color="auto" w:fill="4472C4" w:themeFill="accent1"/>
            <w:noWrap/>
            <w:vAlign w:val="center"/>
            <w:hideMark/>
          </w:tcPr>
          <w:p w14:paraId="49EE8FB6"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p-value</w:t>
            </w:r>
          </w:p>
        </w:tc>
        <w:tc>
          <w:tcPr>
            <w:tcW w:w="964" w:type="dxa"/>
            <w:shd w:val="clear" w:color="auto" w:fill="4472C4" w:themeFill="accent1"/>
            <w:noWrap/>
            <w:vAlign w:val="center"/>
            <w:hideMark/>
          </w:tcPr>
          <w:p w14:paraId="600C1667" w14:textId="77777777" w:rsidR="003F47CF" w:rsidRPr="00BA04D2" w:rsidRDefault="003F47CF" w:rsidP="000F7A14">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Impact</w:t>
            </w:r>
          </w:p>
        </w:tc>
      </w:tr>
      <w:tr w:rsidR="003F47CF" w:rsidRPr="00BA04D2" w14:paraId="287FB335"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67C05735"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Pyrimidine metabolism</w:t>
            </w:r>
          </w:p>
        </w:tc>
        <w:tc>
          <w:tcPr>
            <w:tcW w:w="963" w:type="dxa"/>
            <w:noWrap/>
            <w:vAlign w:val="center"/>
            <w:hideMark/>
          </w:tcPr>
          <w:p w14:paraId="58DE6BB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39</w:t>
            </w:r>
          </w:p>
        </w:tc>
        <w:tc>
          <w:tcPr>
            <w:tcW w:w="964" w:type="dxa"/>
            <w:noWrap/>
            <w:vAlign w:val="center"/>
            <w:hideMark/>
          </w:tcPr>
          <w:p w14:paraId="67D70EB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0·33</w:t>
            </w:r>
          </w:p>
        </w:tc>
        <w:tc>
          <w:tcPr>
            <w:tcW w:w="964" w:type="dxa"/>
            <w:noWrap/>
            <w:vAlign w:val="center"/>
            <w:hideMark/>
          </w:tcPr>
          <w:p w14:paraId="405B738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4</w:t>
            </w:r>
          </w:p>
        </w:tc>
        <w:tc>
          <w:tcPr>
            <w:tcW w:w="964" w:type="dxa"/>
            <w:noWrap/>
            <w:vAlign w:val="center"/>
            <w:hideMark/>
          </w:tcPr>
          <w:p w14:paraId="0F6B794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0·0002</w:t>
            </w:r>
          </w:p>
        </w:tc>
        <w:tc>
          <w:tcPr>
            <w:tcW w:w="964" w:type="dxa"/>
            <w:noWrap/>
            <w:vAlign w:val="center"/>
            <w:hideMark/>
          </w:tcPr>
          <w:p w14:paraId="291868F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0·09</w:t>
            </w:r>
          </w:p>
        </w:tc>
      </w:tr>
      <w:tr w:rsidR="003F47CF" w:rsidRPr="00BA04D2" w14:paraId="1A606C79"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460ACC2C"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proofErr w:type="spellStart"/>
            <w:r w:rsidRPr="00BA04D2">
              <w:rPr>
                <w:rFonts w:eastAsia="Times New Roman" w:cs="Times New Roman"/>
                <w:b w:val="0"/>
                <w:bCs w:val="0"/>
                <w:i w:val="0"/>
                <w:color w:val="000000"/>
                <w:sz w:val="16"/>
                <w:szCs w:val="16"/>
                <w:lang w:eastAsia="en-AU"/>
              </w:rPr>
              <w:t>Glycerolipid</w:t>
            </w:r>
            <w:proofErr w:type="spellEnd"/>
            <w:r w:rsidRPr="00BA04D2">
              <w:rPr>
                <w:rFonts w:eastAsia="Times New Roman" w:cs="Times New Roman"/>
                <w:b w:val="0"/>
                <w:bCs w:val="0"/>
                <w:i w:val="0"/>
                <w:color w:val="000000"/>
                <w:sz w:val="16"/>
                <w:szCs w:val="16"/>
                <w:lang w:eastAsia="en-AU"/>
              </w:rPr>
              <w:t xml:space="preserve"> metabolism</w:t>
            </w:r>
          </w:p>
        </w:tc>
        <w:tc>
          <w:tcPr>
            <w:tcW w:w="963" w:type="dxa"/>
            <w:noWrap/>
            <w:vAlign w:val="center"/>
            <w:hideMark/>
          </w:tcPr>
          <w:p w14:paraId="27479E9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964" w:type="dxa"/>
            <w:noWrap/>
            <w:vAlign w:val="center"/>
            <w:hideMark/>
          </w:tcPr>
          <w:p w14:paraId="019C8C5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964" w:type="dxa"/>
            <w:noWrap/>
            <w:vAlign w:val="center"/>
            <w:hideMark/>
          </w:tcPr>
          <w:p w14:paraId="6DC1560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w:t>
            </w:r>
          </w:p>
        </w:tc>
        <w:tc>
          <w:tcPr>
            <w:tcW w:w="964" w:type="dxa"/>
            <w:noWrap/>
            <w:vAlign w:val="center"/>
            <w:hideMark/>
          </w:tcPr>
          <w:p w14:paraId="2D0F0625"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0·0074</w:t>
            </w:r>
          </w:p>
        </w:tc>
        <w:tc>
          <w:tcPr>
            <w:tcW w:w="964" w:type="dxa"/>
            <w:noWrap/>
            <w:vAlign w:val="center"/>
            <w:hideMark/>
          </w:tcPr>
          <w:p w14:paraId="346B7B28"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0·06</w:t>
            </w:r>
          </w:p>
        </w:tc>
      </w:tr>
      <w:tr w:rsidR="003F47CF" w:rsidRPr="00BA04D2" w14:paraId="2ADE1B25"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002E279E"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Histidine metabolism</w:t>
            </w:r>
          </w:p>
        </w:tc>
        <w:tc>
          <w:tcPr>
            <w:tcW w:w="963" w:type="dxa"/>
            <w:noWrap/>
            <w:vAlign w:val="center"/>
            <w:hideMark/>
          </w:tcPr>
          <w:p w14:paraId="05B27AB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16</w:t>
            </w:r>
          </w:p>
        </w:tc>
        <w:tc>
          <w:tcPr>
            <w:tcW w:w="964" w:type="dxa"/>
            <w:noWrap/>
            <w:vAlign w:val="center"/>
            <w:hideMark/>
          </w:tcPr>
          <w:p w14:paraId="2B1A9FA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964" w:type="dxa"/>
            <w:noWrap/>
            <w:vAlign w:val="center"/>
            <w:hideMark/>
          </w:tcPr>
          <w:p w14:paraId="376C152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487495BB"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0·13</w:t>
            </w:r>
          </w:p>
        </w:tc>
        <w:tc>
          <w:tcPr>
            <w:tcW w:w="964" w:type="dxa"/>
            <w:noWrap/>
            <w:vAlign w:val="center"/>
            <w:hideMark/>
          </w:tcPr>
          <w:p w14:paraId="3BA1023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5B4CBF41"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25C43242"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Propanoate metabolism</w:t>
            </w:r>
          </w:p>
        </w:tc>
        <w:tc>
          <w:tcPr>
            <w:tcW w:w="963" w:type="dxa"/>
            <w:noWrap/>
            <w:vAlign w:val="center"/>
            <w:hideMark/>
          </w:tcPr>
          <w:p w14:paraId="72C8E35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22</w:t>
            </w:r>
          </w:p>
        </w:tc>
        <w:tc>
          <w:tcPr>
            <w:tcW w:w="964" w:type="dxa"/>
            <w:noWrap/>
            <w:vAlign w:val="center"/>
            <w:hideMark/>
          </w:tcPr>
          <w:p w14:paraId="1FC5965C"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0·19</w:t>
            </w:r>
          </w:p>
        </w:tc>
        <w:tc>
          <w:tcPr>
            <w:tcW w:w="964" w:type="dxa"/>
            <w:noWrap/>
            <w:vAlign w:val="center"/>
            <w:hideMark/>
          </w:tcPr>
          <w:p w14:paraId="7A260BA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209AFE4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0·17</w:t>
            </w:r>
          </w:p>
        </w:tc>
        <w:tc>
          <w:tcPr>
            <w:tcW w:w="964" w:type="dxa"/>
            <w:noWrap/>
            <w:vAlign w:val="center"/>
            <w:hideMark/>
          </w:tcPr>
          <w:p w14:paraId="7519011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59C0B274"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2A51F50F"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One carbon pool by folate</w:t>
            </w:r>
          </w:p>
        </w:tc>
        <w:tc>
          <w:tcPr>
            <w:tcW w:w="963" w:type="dxa"/>
            <w:noWrap/>
            <w:vAlign w:val="center"/>
            <w:hideMark/>
          </w:tcPr>
          <w:p w14:paraId="25330F2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26</w:t>
            </w:r>
          </w:p>
        </w:tc>
        <w:tc>
          <w:tcPr>
            <w:tcW w:w="964" w:type="dxa"/>
            <w:noWrap/>
            <w:vAlign w:val="center"/>
            <w:hideMark/>
          </w:tcPr>
          <w:p w14:paraId="32D80DD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0·22</w:t>
            </w:r>
          </w:p>
        </w:tc>
        <w:tc>
          <w:tcPr>
            <w:tcW w:w="964" w:type="dxa"/>
            <w:noWrap/>
            <w:vAlign w:val="center"/>
            <w:hideMark/>
          </w:tcPr>
          <w:p w14:paraId="2597314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3449E0D6"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0·20</w:t>
            </w:r>
          </w:p>
        </w:tc>
        <w:tc>
          <w:tcPr>
            <w:tcW w:w="964" w:type="dxa"/>
            <w:noWrap/>
            <w:vAlign w:val="center"/>
            <w:hideMark/>
          </w:tcPr>
          <w:p w14:paraId="1143312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r>
      <w:tr w:rsidR="003F47CF" w:rsidRPr="00BA04D2" w14:paraId="516FC6E7"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508AE275"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Galactose metabolism</w:t>
            </w:r>
          </w:p>
        </w:tc>
        <w:tc>
          <w:tcPr>
            <w:tcW w:w="963" w:type="dxa"/>
            <w:noWrap/>
            <w:vAlign w:val="center"/>
            <w:hideMark/>
          </w:tcPr>
          <w:p w14:paraId="7B1E85E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27</w:t>
            </w:r>
          </w:p>
        </w:tc>
        <w:tc>
          <w:tcPr>
            <w:tcW w:w="964" w:type="dxa"/>
            <w:noWrap/>
            <w:vAlign w:val="center"/>
            <w:hideMark/>
          </w:tcPr>
          <w:p w14:paraId="5D04FD16"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0·23</w:t>
            </w:r>
          </w:p>
        </w:tc>
        <w:tc>
          <w:tcPr>
            <w:tcW w:w="964" w:type="dxa"/>
            <w:noWrap/>
            <w:vAlign w:val="center"/>
            <w:hideMark/>
          </w:tcPr>
          <w:p w14:paraId="236E1820"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51A0430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0·21</w:t>
            </w:r>
          </w:p>
        </w:tc>
        <w:tc>
          <w:tcPr>
            <w:tcW w:w="964" w:type="dxa"/>
            <w:noWrap/>
            <w:vAlign w:val="center"/>
            <w:hideMark/>
          </w:tcPr>
          <w:p w14:paraId="0C37BD8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0·36</w:t>
            </w:r>
          </w:p>
        </w:tc>
      </w:tr>
      <w:tr w:rsidR="003F47CF" w:rsidRPr="00BA04D2" w14:paraId="6B32ABF6"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482E6F59"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Sphingolipid metabolism</w:t>
            </w:r>
          </w:p>
        </w:tc>
        <w:tc>
          <w:tcPr>
            <w:tcW w:w="963" w:type="dxa"/>
            <w:noWrap/>
            <w:vAlign w:val="center"/>
            <w:hideMark/>
          </w:tcPr>
          <w:p w14:paraId="3872849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32</w:t>
            </w:r>
          </w:p>
        </w:tc>
        <w:tc>
          <w:tcPr>
            <w:tcW w:w="964" w:type="dxa"/>
            <w:noWrap/>
            <w:vAlign w:val="center"/>
            <w:hideMark/>
          </w:tcPr>
          <w:p w14:paraId="1C559E34"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0·27</w:t>
            </w:r>
          </w:p>
        </w:tc>
        <w:tc>
          <w:tcPr>
            <w:tcW w:w="964" w:type="dxa"/>
            <w:noWrap/>
            <w:vAlign w:val="center"/>
            <w:hideMark/>
          </w:tcPr>
          <w:p w14:paraId="1BA2E25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52D21F5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0·24</w:t>
            </w:r>
          </w:p>
        </w:tc>
        <w:tc>
          <w:tcPr>
            <w:tcW w:w="964" w:type="dxa"/>
            <w:noWrap/>
            <w:vAlign w:val="center"/>
            <w:hideMark/>
          </w:tcPr>
          <w:p w14:paraId="620815A1"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0·00</w:t>
            </w:r>
          </w:p>
        </w:tc>
      </w:tr>
      <w:tr w:rsidR="003F47CF" w:rsidRPr="00BA04D2" w14:paraId="789DCC4C"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11FBDA7B"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Glycine, serine and threonine metabolism</w:t>
            </w:r>
          </w:p>
        </w:tc>
        <w:tc>
          <w:tcPr>
            <w:tcW w:w="963" w:type="dxa"/>
            <w:noWrap/>
            <w:vAlign w:val="center"/>
            <w:hideMark/>
          </w:tcPr>
          <w:p w14:paraId="05F9598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34</w:t>
            </w:r>
          </w:p>
        </w:tc>
        <w:tc>
          <w:tcPr>
            <w:tcW w:w="964" w:type="dxa"/>
            <w:noWrap/>
            <w:vAlign w:val="center"/>
            <w:hideMark/>
          </w:tcPr>
          <w:p w14:paraId="49ED714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0·29</w:t>
            </w:r>
          </w:p>
        </w:tc>
        <w:tc>
          <w:tcPr>
            <w:tcW w:w="964" w:type="dxa"/>
            <w:noWrap/>
            <w:vAlign w:val="center"/>
            <w:hideMark/>
          </w:tcPr>
          <w:p w14:paraId="351EAE3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750D76FF"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0·25</w:t>
            </w:r>
          </w:p>
        </w:tc>
        <w:tc>
          <w:tcPr>
            <w:tcW w:w="964" w:type="dxa"/>
            <w:noWrap/>
            <w:vAlign w:val="center"/>
            <w:hideMark/>
          </w:tcPr>
          <w:p w14:paraId="209B15BE"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0·05</w:t>
            </w:r>
          </w:p>
        </w:tc>
      </w:tr>
      <w:tr w:rsidR="003F47CF" w:rsidRPr="00BA04D2" w14:paraId="17BCA019"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58B37B3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Glycerophospholipid metabolism</w:t>
            </w:r>
          </w:p>
        </w:tc>
        <w:tc>
          <w:tcPr>
            <w:tcW w:w="963" w:type="dxa"/>
            <w:noWrap/>
            <w:vAlign w:val="center"/>
            <w:hideMark/>
          </w:tcPr>
          <w:p w14:paraId="788BC84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36</w:t>
            </w:r>
          </w:p>
        </w:tc>
        <w:tc>
          <w:tcPr>
            <w:tcW w:w="964" w:type="dxa"/>
            <w:noWrap/>
            <w:vAlign w:val="center"/>
            <w:hideMark/>
          </w:tcPr>
          <w:p w14:paraId="258EFB9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0·30</w:t>
            </w:r>
          </w:p>
        </w:tc>
        <w:tc>
          <w:tcPr>
            <w:tcW w:w="964" w:type="dxa"/>
            <w:noWrap/>
            <w:vAlign w:val="center"/>
            <w:hideMark/>
          </w:tcPr>
          <w:p w14:paraId="7956F239"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17976627"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0·27</w:t>
            </w:r>
          </w:p>
        </w:tc>
        <w:tc>
          <w:tcPr>
            <w:tcW w:w="964" w:type="dxa"/>
            <w:noWrap/>
            <w:vAlign w:val="center"/>
            <w:hideMark/>
          </w:tcPr>
          <w:p w14:paraId="263699F2"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0·08</w:t>
            </w:r>
          </w:p>
        </w:tc>
      </w:tr>
      <w:tr w:rsidR="003F47CF" w:rsidRPr="00BA04D2" w14:paraId="4ED53462" w14:textId="77777777" w:rsidTr="000F7A14">
        <w:trPr>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3A56A7FD"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Tryptophan metabolism</w:t>
            </w:r>
          </w:p>
        </w:tc>
        <w:tc>
          <w:tcPr>
            <w:tcW w:w="963" w:type="dxa"/>
            <w:noWrap/>
            <w:vAlign w:val="center"/>
            <w:hideMark/>
          </w:tcPr>
          <w:p w14:paraId="297764A3"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41</w:t>
            </w:r>
          </w:p>
        </w:tc>
        <w:tc>
          <w:tcPr>
            <w:tcW w:w="964" w:type="dxa"/>
            <w:noWrap/>
            <w:vAlign w:val="center"/>
            <w:hideMark/>
          </w:tcPr>
          <w:p w14:paraId="645C7EE1"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0·35</w:t>
            </w:r>
          </w:p>
        </w:tc>
        <w:tc>
          <w:tcPr>
            <w:tcW w:w="964" w:type="dxa"/>
            <w:noWrap/>
            <w:vAlign w:val="center"/>
            <w:hideMark/>
          </w:tcPr>
          <w:p w14:paraId="4B7C6A6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7F0A19F9"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0·30</w:t>
            </w:r>
          </w:p>
        </w:tc>
        <w:tc>
          <w:tcPr>
            <w:tcW w:w="964" w:type="dxa"/>
            <w:noWrap/>
            <w:vAlign w:val="center"/>
            <w:hideMark/>
          </w:tcPr>
          <w:p w14:paraId="419366A2" w14:textId="77777777" w:rsidR="003F47CF" w:rsidRPr="00BA04D2" w:rsidRDefault="003F47CF" w:rsidP="000F7A14">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0·09</w:t>
            </w:r>
          </w:p>
        </w:tc>
      </w:tr>
      <w:tr w:rsidR="003F47CF" w:rsidRPr="00BA04D2" w14:paraId="14FD0296" w14:textId="77777777" w:rsidTr="000F7A1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197" w:type="dxa"/>
            <w:noWrap/>
            <w:vAlign w:val="center"/>
            <w:hideMark/>
          </w:tcPr>
          <w:p w14:paraId="64478424" w14:textId="77777777" w:rsidR="003F47CF" w:rsidRPr="00BA04D2" w:rsidRDefault="003F47CF" w:rsidP="000F7A14">
            <w:pPr>
              <w:spacing w:before="0"/>
              <w:jc w:val="left"/>
              <w:rPr>
                <w:rFonts w:eastAsia="Times New Roman" w:cs="Times New Roman"/>
                <w:b w:val="0"/>
                <w:bCs w:val="0"/>
                <w:i w:val="0"/>
                <w:color w:val="000000"/>
                <w:sz w:val="16"/>
                <w:szCs w:val="16"/>
                <w:lang w:eastAsia="en-AU"/>
              </w:rPr>
            </w:pPr>
            <w:r w:rsidRPr="00BA04D2">
              <w:rPr>
                <w:rFonts w:eastAsia="Times New Roman" w:cs="Times New Roman"/>
                <w:b w:val="0"/>
                <w:bCs w:val="0"/>
                <w:i w:val="0"/>
                <w:color w:val="000000"/>
                <w:sz w:val="16"/>
                <w:szCs w:val="16"/>
                <w:lang w:eastAsia="en-AU"/>
              </w:rPr>
              <w:t>Purine metabolism</w:t>
            </w:r>
          </w:p>
        </w:tc>
        <w:tc>
          <w:tcPr>
            <w:tcW w:w="963" w:type="dxa"/>
            <w:noWrap/>
            <w:vAlign w:val="center"/>
            <w:hideMark/>
          </w:tcPr>
          <w:p w14:paraId="26A5528A"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71</w:t>
            </w:r>
          </w:p>
        </w:tc>
        <w:tc>
          <w:tcPr>
            <w:tcW w:w="964" w:type="dxa"/>
            <w:noWrap/>
            <w:vAlign w:val="center"/>
            <w:hideMark/>
          </w:tcPr>
          <w:p w14:paraId="2F5C3C78"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0·60</w:t>
            </w:r>
          </w:p>
        </w:tc>
        <w:tc>
          <w:tcPr>
            <w:tcW w:w="964" w:type="dxa"/>
            <w:noWrap/>
            <w:vAlign w:val="center"/>
            <w:hideMark/>
          </w:tcPr>
          <w:p w14:paraId="00889440"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1</w:t>
            </w:r>
          </w:p>
        </w:tc>
        <w:tc>
          <w:tcPr>
            <w:tcW w:w="964" w:type="dxa"/>
            <w:noWrap/>
            <w:vAlign w:val="center"/>
            <w:hideMark/>
          </w:tcPr>
          <w:p w14:paraId="12AC07C3"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0·46</w:t>
            </w:r>
          </w:p>
        </w:tc>
        <w:tc>
          <w:tcPr>
            <w:tcW w:w="964" w:type="dxa"/>
            <w:noWrap/>
            <w:vAlign w:val="center"/>
            <w:hideMark/>
          </w:tcPr>
          <w:p w14:paraId="6CB27345" w14:textId="77777777" w:rsidR="003F47CF" w:rsidRPr="00BA04D2" w:rsidRDefault="003F47CF" w:rsidP="000F7A14">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imes New Roman"/>
                <w:i w:val="0"/>
                <w:color w:val="000000"/>
                <w:sz w:val="16"/>
                <w:szCs w:val="16"/>
                <w:lang w:eastAsia="en-AU"/>
              </w:rPr>
            </w:pPr>
            <w:r w:rsidRPr="00BA04D2">
              <w:rPr>
                <w:rFonts w:eastAsia="Times New Roman" w:cs="Times New Roman"/>
                <w:i w:val="0"/>
                <w:color w:val="000000"/>
                <w:sz w:val="16"/>
                <w:szCs w:val="16"/>
                <w:lang w:eastAsia="en-AU"/>
              </w:rPr>
              <w:t>0·01</w:t>
            </w:r>
          </w:p>
        </w:tc>
      </w:tr>
    </w:tbl>
    <w:p w14:paraId="4958EE90" w14:textId="77777777" w:rsidR="003F47CF" w:rsidRPr="00BA04D2" w:rsidRDefault="003F47CF" w:rsidP="003F47CF">
      <w:pPr>
        <w:spacing w:line="259" w:lineRule="auto"/>
        <w:jc w:val="left"/>
        <w:rPr>
          <w:rFonts w:cs="Times New Roman"/>
          <w:sz w:val="16"/>
          <w:szCs w:val="16"/>
        </w:rPr>
      </w:pPr>
    </w:p>
    <w:p w14:paraId="73C4DB62" w14:textId="77777777" w:rsidR="003F47CF" w:rsidRPr="00BA04D2" w:rsidRDefault="003F47CF" w:rsidP="003F47CF">
      <w:pPr>
        <w:spacing w:line="259" w:lineRule="auto"/>
        <w:jc w:val="left"/>
        <w:rPr>
          <w:rFonts w:cs="Times New Roman"/>
          <w:sz w:val="16"/>
          <w:szCs w:val="16"/>
        </w:rPr>
      </w:pPr>
      <w:r w:rsidRPr="00BA04D2">
        <w:rPr>
          <w:rFonts w:cs="Times New Roman"/>
          <w:sz w:val="16"/>
          <w:szCs w:val="16"/>
        </w:rPr>
        <w:br w:type="page"/>
      </w:r>
    </w:p>
    <w:p w14:paraId="7888A008" w14:textId="0802A729" w:rsidR="00B52D8F" w:rsidRPr="00BA04D2" w:rsidRDefault="00D16AB7" w:rsidP="00CD1F6B">
      <w:pPr>
        <w:pStyle w:val="Style11"/>
      </w:pPr>
      <w:bookmarkStart w:id="103" w:name="_Toc217294951"/>
      <w:r w:rsidRPr="00BA04D2">
        <w:lastRenderedPageBreak/>
        <w:t>References</w:t>
      </w:r>
      <w:bookmarkEnd w:id="103"/>
    </w:p>
    <w:p w14:paraId="6D0B78C8" w14:textId="7E558CD1" w:rsidR="00437E0B" w:rsidRPr="00437E0B" w:rsidRDefault="00D3137A" w:rsidP="00437E0B">
      <w:pPr>
        <w:pStyle w:val="EndNoteBibliography"/>
        <w:spacing w:after="0"/>
        <w:ind w:left="720" w:hanging="720"/>
      </w:pPr>
      <w:r w:rsidRPr="00BA04D2">
        <w:fldChar w:fldCharType="begin"/>
      </w:r>
      <w:r w:rsidRPr="00BA04D2">
        <w:instrText xml:space="preserve"> ADDIN EN.REFLIST </w:instrText>
      </w:r>
      <w:r w:rsidRPr="00BA04D2">
        <w:fldChar w:fldCharType="separate"/>
      </w:r>
      <w:r w:rsidR="00437E0B" w:rsidRPr="00437E0B">
        <w:t>1</w:t>
      </w:r>
      <w:r w:rsidR="00437E0B" w:rsidRPr="00437E0B">
        <w:tab/>
        <w:t>Lee, J. Y.</w:t>
      </w:r>
      <w:r w:rsidR="00437E0B" w:rsidRPr="00437E0B">
        <w:rPr>
          <w:i/>
        </w:rPr>
        <w:t xml:space="preserve"> et al.</w:t>
      </w:r>
      <w:r w:rsidR="00437E0B" w:rsidRPr="00437E0B">
        <w:t xml:space="preserve"> Overcoming Monocarboxylate Transporter 8 (MCT8)-Deficiency to Promote Human Oligodendrocyte Differentiation and Myelination. </w:t>
      </w:r>
      <w:r w:rsidR="00437E0B" w:rsidRPr="00437E0B">
        <w:rPr>
          <w:i/>
        </w:rPr>
        <w:t>EBioMedicine</w:t>
      </w:r>
      <w:r w:rsidR="00437E0B" w:rsidRPr="00437E0B">
        <w:t xml:space="preserve"> </w:t>
      </w:r>
      <w:r w:rsidR="00437E0B" w:rsidRPr="00437E0B">
        <w:rPr>
          <w:b/>
        </w:rPr>
        <w:t>25</w:t>
      </w:r>
      <w:r w:rsidR="00437E0B" w:rsidRPr="00437E0B">
        <w:t xml:space="preserve">, 122-135 (2017). </w:t>
      </w:r>
      <w:hyperlink r:id="rId24" w:history="1">
        <w:r w:rsidR="00437E0B" w:rsidRPr="00437E0B">
          <w:rPr>
            <w:rStyle w:val="Hyperlink"/>
          </w:rPr>
          <w:t>https://doi.org:10.1016/j.ebiom.2017.10.016</w:t>
        </w:r>
      </w:hyperlink>
    </w:p>
    <w:p w14:paraId="5A0225EB" w14:textId="088814BA" w:rsidR="00437E0B" w:rsidRPr="00437E0B" w:rsidRDefault="00437E0B" w:rsidP="00437E0B">
      <w:pPr>
        <w:pStyle w:val="EndNoteBibliography"/>
        <w:spacing w:after="0"/>
        <w:ind w:left="720" w:hanging="720"/>
      </w:pPr>
      <w:r w:rsidRPr="00437E0B">
        <w:t>2</w:t>
      </w:r>
      <w:r w:rsidRPr="00437E0B">
        <w:tab/>
        <w:t>Petratos, S.</w:t>
      </w:r>
      <w:r w:rsidRPr="00437E0B">
        <w:rPr>
          <w:i/>
        </w:rPr>
        <w:t xml:space="preserve"> et al.</w:t>
      </w:r>
      <w:r w:rsidRPr="00437E0B">
        <w:t xml:space="preserve"> Limiting multiple sclerosis related axonopathy by blocking Nogo receptor and CRMP-2 phosphorylation. </w:t>
      </w:r>
      <w:r w:rsidRPr="00437E0B">
        <w:rPr>
          <w:i/>
        </w:rPr>
        <w:t>Brain</w:t>
      </w:r>
      <w:r w:rsidRPr="00437E0B">
        <w:t xml:space="preserve"> </w:t>
      </w:r>
      <w:r w:rsidRPr="00437E0B">
        <w:rPr>
          <w:b/>
        </w:rPr>
        <w:t>135</w:t>
      </w:r>
      <w:r w:rsidRPr="00437E0B">
        <w:t xml:space="preserve">, 1794-1818 (2012). </w:t>
      </w:r>
      <w:hyperlink r:id="rId25" w:history="1">
        <w:r w:rsidRPr="00437E0B">
          <w:rPr>
            <w:rStyle w:val="Hyperlink"/>
          </w:rPr>
          <w:t>https://doi.org:10.1093/brain/aws100</w:t>
        </w:r>
      </w:hyperlink>
    </w:p>
    <w:p w14:paraId="2602D5D6" w14:textId="41F294E3" w:rsidR="00437E0B" w:rsidRPr="00437E0B" w:rsidRDefault="00437E0B" w:rsidP="00437E0B">
      <w:pPr>
        <w:pStyle w:val="EndNoteBibliography"/>
        <w:spacing w:after="0"/>
        <w:ind w:left="720" w:hanging="720"/>
      </w:pPr>
      <w:r w:rsidRPr="00437E0B">
        <w:t>3</w:t>
      </w:r>
      <w:r w:rsidRPr="00437E0B">
        <w:tab/>
        <w:t>Goulburn, A. L.</w:t>
      </w:r>
      <w:r w:rsidRPr="00437E0B">
        <w:rPr>
          <w:i/>
        </w:rPr>
        <w:t xml:space="preserve"> et al.</w:t>
      </w:r>
      <w:r w:rsidRPr="00437E0B">
        <w:t xml:space="preserve"> A Targeted NKX2.1 Human Embryonic Stem Cell Reporter Line Enables Identification of Human Basal Forebrain Derivatives. </w:t>
      </w:r>
      <w:r w:rsidRPr="00437E0B">
        <w:rPr>
          <w:i/>
        </w:rPr>
        <w:t>STEM CELLS</w:t>
      </w:r>
      <w:r w:rsidRPr="00437E0B">
        <w:t xml:space="preserve"> </w:t>
      </w:r>
      <w:r w:rsidRPr="00437E0B">
        <w:rPr>
          <w:b/>
        </w:rPr>
        <w:t>29</w:t>
      </w:r>
      <w:r w:rsidRPr="00437E0B">
        <w:t xml:space="preserve">, 462-473 (2011). </w:t>
      </w:r>
      <w:hyperlink r:id="rId26" w:history="1">
        <w:r w:rsidRPr="00437E0B">
          <w:rPr>
            <w:rStyle w:val="Hyperlink"/>
          </w:rPr>
          <w:t>https://doi.org:https://doi.org/10.1002/stem.587</w:t>
        </w:r>
      </w:hyperlink>
    </w:p>
    <w:p w14:paraId="75C7E480" w14:textId="0DE9165C" w:rsidR="00437E0B" w:rsidRPr="00437E0B" w:rsidRDefault="00437E0B" w:rsidP="00437E0B">
      <w:pPr>
        <w:pStyle w:val="EndNoteBibliography"/>
        <w:spacing w:after="0"/>
        <w:ind w:left="720" w:hanging="720"/>
      </w:pPr>
      <w:r w:rsidRPr="00437E0B">
        <w:t>4</w:t>
      </w:r>
      <w:r w:rsidRPr="00437E0B">
        <w:tab/>
        <w:t>Lee, J. Y.</w:t>
      </w:r>
      <w:r w:rsidRPr="00437E0B">
        <w:rPr>
          <w:i/>
        </w:rPr>
        <w:t xml:space="preserve"> et al.</w:t>
      </w:r>
      <w:r w:rsidRPr="00437E0B">
        <w:t xml:space="preserve"> Limiting Neuronal Nogo Receptor 1 Signaling during Experimental Autoimmune Encephalomyelitis Preserves Axonal Transport and Abrogates Inflammatory Demyelination. </w:t>
      </w:r>
      <w:r w:rsidRPr="00437E0B">
        <w:rPr>
          <w:i/>
        </w:rPr>
        <w:t>The Journal of Neuroscience</w:t>
      </w:r>
      <w:r w:rsidRPr="00437E0B">
        <w:t xml:space="preserve"> </w:t>
      </w:r>
      <w:r w:rsidRPr="00437E0B">
        <w:rPr>
          <w:b/>
        </w:rPr>
        <w:t>39</w:t>
      </w:r>
      <w:r w:rsidRPr="00437E0B">
        <w:t xml:space="preserve">, 5562 (2019). </w:t>
      </w:r>
      <w:hyperlink r:id="rId27" w:history="1">
        <w:r w:rsidRPr="00437E0B">
          <w:rPr>
            <w:rStyle w:val="Hyperlink"/>
          </w:rPr>
          <w:t>https://doi.org:10.1523/JNEUROSCI.1760-18.2019</w:t>
        </w:r>
      </w:hyperlink>
    </w:p>
    <w:p w14:paraId="61B9B5C3" w14:textId="77777777" w:rsidR="00437E0B" w:rsidRPr="00437E0B" w:rsidRDefault="00437E0B" w:rsidP="00437E0B">
      <w:pPr>
        <w:pStyle w:val="EndNoteBibliography"/>
        <w:spacing w:after="0"/>
        <w:ind w:left="720" w:hanging="720"/>
      </w:pPr>
      <w:r w:rsidRPr="00437E0B">
        <w:t>5</w:t>
      </w:r>
      <w:r w:rsidRPr="00437E0B">
        <w:tab/>
        <w:t>PETRATOS, S., AZARI, M. F., Lee, J. Y. &amp; Kim, M. Y.     (Google Patents, 2016).</w:t>
      </w:r>
    </w:p>
    <w:p w14:paraId="5D72ED1C" w14:textId="7C9FDF68" w:rsidR="00437E0B" w:rsidRPr="00437E0B" w:rsidRDefault="00437E0B" w:rsidP="00437E0B">
      <w:pPr>
        <w:pStyle w:val="EndNoteBibliography"/>
        <w:spacing w:after="0"/>
        <w:ind w:left="720" w:hanging="720"/>
      </w:pPr>
      <w:r w:rsidRPr="00437E0B">
        <w:t>6</w:t>
      </w:r>
      <w:r w:rsidRPr="00437E0B">
        <w:tab/>
        <w:t>Percie du Sert, N.</w:t>
      </w:r>
      <w:r w:rsidRPr="00437E0B">
        <w:rPr>
          <w:i/>
        </w:rPr>
        <w:t xml:space="preserve"> et al.</w:t>
      </w:r>
      <w:r w:rsidRPr="00437E0B">
        <w:t xml:space="preserve"> Reporting animal research: Explanation and elaboration for the ARRIVE guidelines 2.0. </w:t>
      </w:r>
      <w:r w:rsidRPr="00437E0B">
        <w:rPr>
          <w:i/>
        </w:rPr>
        <w:t>PLOS Biology</w:t>
      </w:r>
      <w:r w:rsidRPr="00437E0B">
        <w:t xml:space="preserve"> </w:t>
      </w:r>
      <w:r w:rsidRPr="00437E0B">
        <w:rPr>
          <w:b/>
        </w:rPr>
        <w:t>18</w:t>
      </w:r>
      <w:r w:rsidRPr="00437E0B">
        <w:t xml:space="preserve">, e3000411 (2020). </w:t>
      </w:r>
      <w:hyperlink r:id="rId28" w:history="1">
        <w:r w:rsidRPr="00437E0B">
          <w:rPr>
            <w:rStyle w:val="Hyperlink"/>
          </w:rPr>
          <w:t>https://doi.org:10.1371/journal.pbio.3000411</w:t>
        </w:r>
      </w:hyperlink>
    </w:p>
    <w:p w14:paraId="6B22B73D" w14:textId="1E772488" w:rsidR="00437E0B" w:rsidRPr="00437E0B" w:rsidRDefault="00437E0B" w:rsidP="00437E0B">
      <w:pPr>
        <w:pStyle w:val="EndNoteBibliography"/>
        <w:spacing w:after="0"/>
        <w:ind w:left="720" w:hanging="720"/>
      </w:pPr>
      <w:r w:rsidRPr="00437E0B">
        <w:t>7</w:t>
      </w:r>
      <w:r w:rsidRPr="00437E0B">
        <w:tab/>
        <w:t>Vincelette, J.</w:t>
      </w:r>
      <w:r w:rsidRPr="00437E0B">
        <w:rPr>
          <w:i/>
        </w:rPr>
        <w:t xml:space="preserve"> et al.</w:t>
      </w:r>
      <w:r w:rsidRPr="00437E0B">
        <w:t xml:space="preserve"> Gait analysis in a murine model of collagen-induced arthritis. </w:t>
      </w:r>
      <w:r w:rsidRPr="00437E0B">
        <w:rPr>
          <w:i/>
        </w:rPr>
        <w:t>Arthritis Research &amp; Therapy</w:t>
      </w:r>
      <w:r w:rsidRPr="00437E0B">
        <w:t xml:space="preserve"> </w:t>
      </w:r>
      <w:r w:rsidRPr="00437E0B">
        <w:rPr>
          <w:b/>
        </w:rPr>
        <w:t>9</w:t>
      </w:r>
      <w:r w:rsidRPr="00437E0B">
        <w:t xml:space="preserve">, R123 (2007). </w:t>
      </w:r>
      <w:hyperlink r:id="rId29" w:history="1">
        <w:r w:rsidRPr="00437E0B">
          <w:rPr>
            <w:rStyle w:val="Hyperlink"/>
          </w:rPr>
          <w:t>https://doi.org:10.1186/ar2331</w:t>
        </w:r>
      </w:hyperlink>
    </w:p>
    <w:p w14:paraId="660C54D4" w14:textId="58085566" w:rsidR="00437E0B" w:rsidRPr="00437E0B" w:rsidRDefault="00437E0B" w:rsidP="00437E0B">
      <w:pPr>
        <w:pStyle w:val="EndNoteBibliography"/>
        <w:spacing w:after="0"/>
        <w:ind w:left="720" w:hanging="720"/>
      </w:pPr>
      <w:r w:rsidRPr="00437E0B">
        <w:t>8</w:t>
      </w:r>
      <w:r w:rsidRPr="00437E0B">
        <w:tab/>
        <w:t xml:space="preserve">Yim, S. K., Kim, S. W. &amp; Lee, S. T. Efficient Stool Collection Methods for Evaluating the Diarrhea Score in Mouse Diarrhea Models. </w:t>
      </w:r>
      <w:r w:rsidRPr="00437E0B">
        <w:rPr>
          <w:i/>
        </w:rPr>
        <w:t>In Vivo</w:t>
      </w:r>
      <w:r w:rsidRPr="00437E0B">
        <w:t xml:space="preserve"> </w:t>
      </w:r>
      <w:r w:rsidRPr="00437E0B">
        <w:rPr>
          <w:b/>
        </w:rPr>
        <w:t>35</w:t>
      </w:r>
      <w:r w:rsidRPr="00437E0B">
        <w:t xml:space="preserve">, 2115-2125 (2021). </w:t>
      </w:r>
      <w:hyperlink r:id="rId30" w:history="1">
        <w:r w:rsidRPr="00437E0B">
          <w:rPr>
            <w:rStyle w:val="Hyperlink"/>
          </w:rPr>
          <w:t>https://doi.org:10.21873/invivo.12481</w:t>
        </w:r>
      </w:hyperlink>
    </w:p>
    <w:p w14:paraId="037CCFB6" w14:textId="5E81FCA8" w:rsidR="00437E0B" w:rsidRPr="00437E0B" w:rsidRDefault="00437E0B" w:rsidP="00437E0B">
      <w:pPr>
        <w:pStyle w:val="EndNoteBibliography"/>
        <w:spacing w:after="0"/>
        <w:ind w:left="720" w:hanging="720"/>
      </w:pPr>
      <w:r w:rsidRPr="00437E0B">
        <w:t>9</w:t>
      </w:r>
      <w:r w:rsidRPr="00437E0B">
        <w:tab/>
        <w:t>Ruparelia, A. A.</w:t>
      </w:r>
      <w:r w:rsidRPr="00437E0B">
        <w:rPr>
          <w:i/>
        </w:rPr>
        <w:t xml:space="preserve"> et al.</w:t>
      </w:r>
      <w:r w:rsidRPr="00437E0B">
        <w:t xml:space="preserve"> The African killifish: A short-lived vertebrate model to study the biology of sarcopenia and longevity. </w:t>
      </w:r>
      <w:r w:rsidRPr="00437E0B">
        <w:rPr>
          <w:i/>
        </w:rPr>
        <w:t>Aging Cell</w:t>
      </w:r>
      <w:r w:rsidRPr="00437E0B">
        <w:t xml:space="preserve"> </w:t>
      </w:r>
      <w:r w:rsidRPr="00437E0B">
        <w:rPr>
          <w:b/>
        </w:rPr>
        <w:t>23</w:t>
      </w:r>
      <w:r w:rsidRPr="00437E0B">
        <w:t xml:space="preserve">, e13862 (2024). </w:t>
      </w:r>
      <w:hyperlink r:id="rId31" w:history="1">
        <w:r w:rsidRPr="00437E0B">
          <w:rPr>
            <w:rStyle w:val="Hyperlink"/>
          </w:rPr>
          <w:t>https://doi.org:https://doi.org/10.1111/acel.13862</w:t>
        </w:r>
      </w:hyperlink>
    </w:p>
    <w:p w14:paraId="54401EA9" w14:textId="5A68286C" w:rsidR="00437E0B" w:rsidRPr="00437E0B" w:rsidRDefault="00437E0B" w:rsidP="00437E0B">
      <w:pPr>
        <w:pStyle w:val="EndNoteBibliography"/>
        <w:spacing w:after="0"/>
        <w:ind w:left="720" w:hanging="720"/>
      </w:pPr>
      <w:r w:rsidRPr="00437E0B">
        <w:t>10</w:t>
      </w:r>
      <w:r w:rsidRPr="00437E0B">
        <w:tab/>
        <w:t>Casillas-Espinosa, P. M.</w:t>
      </w:r>
      <w:r w:rsidRPr="00437E0B">
        <w:rPr>
          <w:i/>
        </w:rPr>
        <w:t xml:space="preserve"> et al.</w:t>
      </w:r>
      <w:r w:rsidRPr="00437E0B">
        <w:t xml:space="preserve"> Disease-modifying effects of sodium selenate in a model of drug-resistant, temporal lobe epilepsy. </w:t>
      </w:r>
      <w:r w:rsidRPr="00437E0B">
        <w:rPr>
          <w:i/>
        </w:rPr>
        <w:t>eLife</w:t>
      </w:r>
      <w:r w:rsidRPr="00437E0B">
        <w:t xml:space="preserve"> </w:t>
      </w:r>
      <w:r w:rsidRPr="00437E0B">
        <w:rPr>
          <w:b/>
        </w:rPr>
        <w:t>12</w:t>
      </w:r>
      <w:r w:rsidRPr="00437E0B">
        <w:t xml:space="preserve">, e78877 (2023). </w:t>
      </w:r>
      <w:hyperlink r:id="rId32" w:history="1">
        <w:r w:rsidRPr="00437E0B">
          <w:rPr>
            <w:rStyle w:val="Hyperlink"/>
          </w:rPr>
          <w:t>https://doi.org:10.7554/eLife.78877</w:t>
        </w:r>
      </w:hyperlink>
    </w:p>
    <w:p w14:paraId="791EF096" w14:textId="77777777" w:rsidR="00437E0B" w:rsidRPr="00437E0B" w:rsidRDefault="00437E0B" w:rsidP="00437E0B">
      <w:pPr>
        <w:pStyle w:val="EndNoteBibliography"/>
        <w:spacing w:after="0"/>
        <w:ind w:left="720" w:hanging="720"/>
      </w:pPr>
      <w:r w:rsidRPr="00437E0B">
        <w:t>11</w:t>
      </w:r>
      <w:r w:rsidRPr="00437E0B">
        <w:tab/>
        <w:t>Stoessel, D.</w:t>
      </w:r>
      <w:r w:rsidRPr="00437E0B">
        <w:rPr>
          <w:i/>
        </w:rPr>
        <w:t xml:space="preserve"> et al.</w:t>
      </w:r>
      <w:r w:rsidRPr="00437E0B">
        <w:t xml:space="preserve"> Metabolomics and lipidomics reveal perturbation of sphingolipid metabolism by a novel anti-trypanosomal 3-(oxazolo [4, 5-b] pyridine-2-yl) anilide. </w:t>
      </w:r>
      <w:r w:rsidRPr="00437E0B">
        <w:rPr>
          <w:i/>
        </w:rPr>
        <w:t>Metabolomics</w:t>
      </w:r>
      <w:r w:rsidRPr="00437E0B">
        <w:t xml:space="preserve"> </w:t>
      </w:r>
      <w:r w:rsidRPr="00437E0B">
        <w:rPr>
          <w:b/>
        </w:rPr>
        <w:t>12</w:t>
      </w:r>
      <w:r w:rsidRPr="00437E0B">
        <w:t xml:space="preserve">, 126 (2016). </w:t>
      </w:r>
    </w:p>
    <w:p w14:paraId="0B693B49" w14:textId="0B234A8B" w:rsidR="00437E0B" w:rsidRPr="00437E0B" w:rsidRDefault="00437E0B" w:rsidP="00437E0B">
      <w:pPr>
        <w:pStyle w:val="EndNoteBibliography"/>
        <w:spacing w:after="0"/>
        <w:ind w:left="720" w:hanging="720"/>
      </w:pPr>
      <w:r w:rsidRPr="00437E0B">
        <w:t>12</w:t>
      </w:r>
      <w:r w:rsidRPr="00437E0B">
        <w:tab/>
        <w:t>Chambers, M. C.</w:t>
      </w:r>
      <w:r w:rsidRPr="00437E0B">
        <w:rPr>
          <w:i/>
        </w:rPr>
        <w:t xml:space="preserve"> et al.</w:t>
      </w:r>
      <w:r w:rsidRPr="00437E0B">
        <w:t xml:space="preserve"> A cross-platform toolkit for mass spectrometry and proteomics. </w:t>
      </w:r>
      <w:r w:rsidRPr="00437E0B">
        <w:rPr>
          <w:i/>
        </w:rPr>
        <w:t>Nature Biotechnology</w:t>
      </w:r>
      <w:r w:rsidRPr="00437E0B">
        <w:t xml:space="preserve"> </w:t>
      </w:r>
      <w:r w:rsidRPr="00437E0B">
        <w:rPr>
          <w:b/>
        </w:rPr>
        <w:t>30</w:t>
      </w:r>
      <w:r w:rsidRPr="00437E0B">
        <w:t xml:space="preserve">, 918-920 (2012). </w:t>
      </w:r>
      <w:hyperlink r:id="rId33" w:history="1">
        <w:r w:rsidRPr="00437E0B">
          <w:rPr>
            <w:rStyle w:val="Hyperlink"/>
          </w:rPr>
          <w:t>https://doi.org:10.1038/nbt.2377</w:t>
        </w:r>
      </w:hyperlink>
    </w:p>
    <w:p w14:paraId="3655B7B2" w14:textId="202E6A17" w:rsidR="00437E0B" w:rsidRPr="00437E0B" w:rsidRDefault="00437E0B" w:rsidP="00437E0B">
      <w:pPr>
        <w:pStyle w:val="EndNoteBibliography"/>
        <w:spacing w:after="0"/>
        <w:ind w:left="720" w:hanging="720"/>
      </w:pPr>
      <w:r w:rsidRPr="00437E0B">
        <w:t>13</w:t>
      </w:r>
      <w:r w:rsidRPr="00437E0B">
        <w:tab/>
        <w:t xml:space="preserve">Creek, D. J., Jankevics, A., Burgess, K. E., Breitling, R. &amp; Barrett, M. P. IDEOM: an Excel interface for analysis of LC-MS-based metabolomics data. </w:t>
      </w:r>
      <w:r w:rsidRPr="00437E0B">
        <w:rPr>
          <w:i/>
        </w:rPr>
        <w:t>Bioinformatics</w:t>
      </w:r>
      <w:r w:rsidRPr="00437E0B">
        <w:t xml:space="preserve"> </w:t>
      </w:r>
      <w:r w:rsidRPr="00437E0B">
        <w:rPr>
          <w:b/>
        </w:rPr>
        <w:t>28</w:t>
      </w:r>
      <w:r w:rsidRPr="00437E0B">
        <w:t xml:space="preserve">, 1048-1049 (2012). </w:t>
      </w:r>
      <w:hyperlink r:id="rId34" w:history="1">
        <w:r w:rsidRPr="00437E0B">
          <w:rPr>
            <w:rStyle w:val="Hyperlink"/>
          </w:rPr>
          <w:t>https://doi.org:10.1093/bioinformatics/bts069</w:t>
        </w:r>
      </w:hyperlink>
    </w:p>
    <w:p w14:paraId="68437711" w14:textId="3ABBAC20" w:rsidR="00437E0B" w:rsidRPr="00437E0B" w:rsidRDefault="00437E0B" w:rsidP="00437E0B">
      <w:pPr>
        <w:pStyle w:val="EndNoteBibliography"/>
        <w:spacing w:after="0"/>
        <w:ind w:left="720" w:hanging="720"/>
      </w:pPr>
      <w:r w:rsidRPr="00437E0B">
        <w:t>14</w:t>
      </w:r>
      <w:r w:rsidRPr="00437E0B">
        <w:tab/>
        <w:t xml:space="preserve">Scheltema, R. A., Jankevics, A., Jansen, R. C., Swertz, M. A. &amp; Breitling, R. PeakML/mzMatch: a file format, Java library, R library, and tool-chain for mass spectrometry data analysis. </w:t>
      </w:r>
      <w:r w:rsidRPr="00437E0B">
        <w:rPr>
          <w:i/>
        </w:rPr>
        <w:t>Anal Chem</w:t>
      </w:r>
      <w:r w:rsidRPr="00437E0B">
        <w:t xml:space="preserve"> </w:t>
      </w:r>
      <w:r w:rsidRPr="00437E0B">
        <w:rPr>
          <w:b/>
        </w:rPr>
        <w:t>83</w:t>
      </w:r>
      <w:r w:rsidRPr="00437E0B">
        <w:t xml:space="preserve">, 2786-2793 (2011). </w:t>
      </w:r>
      <w:hyperlink r:id="rId35" w:history="1">
        <w:r w:rsidRPr="00437E0B">
          <w:rPr>
            <w:rStyle w:val="Hyperlink"/>
          </w:rPr>
          <w:t>https://doi.org:10.1021/ac2000994</w:t>
        </w:r>
      </w:hyperlink>
    </w:p>
    <w:p w14:paraId="31F835F3" w14:textId="10FF3DC8" w:rsidR="00437E0B" w:rsidRPr="00437E0B" w:rsidRDefault="00437E0B" w:rsidP="00437E0B">
      <w:pPr>
        <w:pStyle w:val="EndNoteBibliography"/>
        <w:spacing w:after="0"/>
        <w:ind w:left="720" w:hanging="720"/>
      </w:pPr>
      <w:r w:rsidRPr="00437E0B">
        <w:t>15</w:t>
      </w:r>
      <w:r w:rsidRPr="00437E0B">
        <w:tab/>
        <w:t>Pang, Z.</w:t>
      </w:r>
      <w:r w:rsidRPr="00437E0B">
        <w:rPr>
          <w:i/>
        </w:rPr>
        <w:t xml:space="preserve"> et al.</w:t>
      </w:r>
      <w:r w:rsidRPr="00437E0B">
        <w:t xml:space="preserve"> MetaboAnalyst 5.0: narrowing the gap between raw spectra and functional insights. </w:t>
      </w:r>
      <w:r w:rsidRPr="00437E0B">
        <w:rPr>
          <w:i/>
        </w:rPr>
        <w:t>Nucleic Acids Research</w:t>
      </w:r>
      <w:r w:rsidRPr="00437E0B">
        <w:t xml:space="preserve"> </w:t>
      </w:r>
      <w:r w:rsidRPr="00437E0B">
        <w:rPr>
          <w:b/>
        </w:rPr>
        <w:t>49</w:t>
      </w:r>
      <w:r w:rsidRPr="00437E0B">
        <w:t xml:space="preserve">, W388-W396 (2021). </w:t>
      </w:r>
      <w:hyperlink r:id="rId36" w:history="1">
        <w:r w:rsidRPr="00437E0B">
          <w:rPr>
            <w:rStyle w:val="Hyperlink"/>
          </w:rPr>
          <w:t>https://doi.org:10.1093/nar/gkab382</w:t>
        </w:r>
      </w:hyperlink>
    </w:p>
    <w:p w14:paraId="689E9DEA" w14:textId="1229C9FE" w:rsidR="00437E0B" w:rsidRPr="00437E0B" w:rsidRDefault="00437E0B" w:rsidP="00437E0B">
      <w:pPr>
        <w:pStyle w:val="EndNoteBibliography"/>
        <w:spacing w:after="0"/>
        <w:ind w:left="720" w:hanging="720"/>
      </w:pPr>
      <w:r w:rsidRPr="00437E0B">
        <w:t>16</w:t>
      </w:r>
      <w:r w:rsidRPr="00437E0B">
        <w:tab/>
        <w:t xml:space="preserve">Xia, J. &amp; Wishart, D. S. Web-based inference of biological patterns, functions and pathways from metabolomic data using MetaboAnalyst. </w:t>
      </w:r>
      <w:r w:rsidRPr="00437E0B">
        <w:rPr>
          <w:i/>
        </w:rPr>
        <w:t>Nature Protocols</w:t>
      </w:r>
      <w:r w:rsidRPr="00437E0B">
        <w:t xml:space="preserve"> </w:t>
      </w:r>
      <w:r w:rsidRPr="00437E0B">
        <w:rPr>
          <w:b/>
        </w:rPr>
        <w:t>6</w:t>
      </w:r>
      <w:r w:rsidRPr="00437E0B">
        <w:t xml:space="preserve">, 743-760 (2011). </w:t>
      </w:r>
      <w:hyperlink r:id="rId37" w:history="1">
        <w:r w:rsidRPr="00437E0B">
          <w:rPr>
            <w:rStyle w:val="Hyperlink"/>
          </w:rPr>
          <w:t>https://doi.org:10.1038/nprot.2011.319</w:t>
        </w:r>
      </w:hyperlink>
    </w:p>
    <w:p w14:paraId="2B133AB6" w14:textId="6AA465B2" w:rsidR="00437E0B" w:rsidRPr="00437E0B" w:rsidRDefault="00437E0B" w:rsidP="00437E0B">
      <w:pPr>
        <w:pStyle w:val="EndNoteBibliography"/>
        <w:spacing w:after="0"/>
        <w:ind w:left="720" w:hanging="720"/>
      </w:pPr>
      <w:r w:rsidRPr="00437E0B">
        <w:t>17</w:t>
      </w:r>
      <w:r w:rsidRPr="00437E0B">
        <w:tab/>
        <w:t>Ye, S.</w:t>
      </w:r>
      <w:r w:rsidRPr="00437E0B">
        <w:rPr>
          <w:i/>
        </w:rPr>
        <w:t xml:space="preserve"> et al.</w:t>
      </w:r>
      <w:r w:rsidRPr="00437E0B">
        <w:t xml:space="preserve"> Nogo receptor-Fc delivered by haematopoietic cells enhances neurorepair in a multiple sclerosis model. </w:t>
      </w:r>
      <w:r w:rsidRPr="00437E0B">
        <w:rPr>
          <w:i/>
        </w:rPr>
        <w:t>Brain Commun</w:t>
      </w:r>
      <w:r w:rsidRPr="00437E0B">
        <w:t xml:space="preserve"> </w:t>
      </w:r>
      <w:r w:rsidRPr="00437E0B">
        <w:rPr>
          <w:b/>
        </w:rPr>
        <w:t>5</w:t>
      </w:r>
      <w:r w:rsidRPr="00437E0B">
        <w:t xml:space="preserve">, fcad108 (2023). </w:t>
      </w:r>
      <w:hyperlink r:id="rId38" w:history="1">
        <w:r w:rsidRPr="00437E0B">
          <w:rPr>
            <w:rStyle w:val="Hyperlink"/>
          </w:rPr>
          <w:t>https://doi.org:10.1093/braincomms/fcad108</w:t>
        </w:r>
      </w:hyperlink>
    </w:p>
    <w:p w14:paraId="374955AD" w14:textId="77777777" w:rsidR="00437E0B" w:rsidRPr="00437E0B" w:rsidRDefault="00437E0B" w:rsidP="00437E0B">
      <w:pPr>
        <w:pStyle w:val="EndNoteBibliography"/>
        <w:spacing w:after="0"/>
        <w:ind w:left="720" w:hanging="720"/>
      </w:pPr>
      <w:r w:rsidRPr="00437E0B">
        <w:t>18</w:t>
      </w:r>
      <w:r w:rsidRPr="00437E0B">
        <w:tab/>
        <w:t>Wasserman-Bartov, T.</w:t>
      </w:r>
      <w:r w:rsidRPr="00437E0B">
        <w:rPr>
          <w:i/>
        </w:rPr>
        <w:t xml:space="preserve"> et al.</w:t>
      </w:r>
      <w:r w:rsidRPr="00437E0B">
        <w:t xml:space="preserve"> Tsh induces Agrp1 neuron proliferation in Oatp1c1-deficient Zebrafish. </w:t>
      </w:r>
      <w:r w:rsidRPr="00437E0B">
        <w:rPr>
          <w:i/>
        </w:rPr>
        <w:t>Journal of Neuroscience</w:t>
      </w:r>
      <w:r w:rsidRPr="00437E0B">
        <w:t xml:space="preserve"> </w:t>
      </w:r>
      <w:r w:rsidRPr="00437E0B">
        <w:rPr>
          <w:b/>
        </w:rPr>
        <w:t>42</w:t>
      </w:r>
      <w:r w:rsidRPr="00437E0B">
        <w:t xml:space="preserve">, 8214-8224 (2022). </w:t>
      </w:r>
    </w:p>
    <w:p w14:paraId="4D76AAB8" w14:textId="7984EF36" w:rsidR="00437E0B" w:rsidRPr="00437E0B" w:rsidRDefault="00437E0B" w:rsidP="00437E0B">
      <w:pPr>
        <w:pStyle w:val="EndNoteBibliography"/>
        <w:spacing w:after="0"/>
        <w:ind w:left="720" w:hanging="720"/>
      </w:pPr>
      <w:r w:rsidRPr="00437E0B">
        <w:t>19</w:t>
      </w:r>
      <w:r w:rsidRPr="00437E0B">
        <w:tab/>
        <w:t xml:space="preserve">Dai, J., Bercury, K. K. &amp; Macklin, W. B. Interaction of mTOR and Erk1/2 signaling to regulate oligodendrocyte differentiation. </w:t>
      </w:r>
      <w:r w:rsidRPr="00437E0B">
        <w:rPr>
          <w:i/>
        </w:rPr>
        <w:t>Glia</w:t>
      </w:r>
      <w:r w:rsidRPr="00437E0B">
        <w:t xml:space="preserve"> </w:t>
      </w:r>
      <w:r w:rsidRPr="00437E0B">
        <w:rPr>
          <w:b/>
        </w:rPr>
        <w:t>62</w:t>
      </w:r>
      <w:r w:rsidRPr="00437E0B">
        <w:t xml:space="preserve">, 2096-2109 (2014). </w:t>
      </w:r>
      <w:hyperlink r:id="rId39" w:history="1">
        <w:r w:rsidRPr="00437E0B">
          <w:rPr>
            <w:rStyle w:val="Hyperlink"/>
          </w:rPr>
          <w:t>https://doi.org:10.1002/glia.22729</w:t>
        </w:r>
      </w:hyperlink>
    </w:p>
    <w:p w14:paraId="279EE181" w14:textId="0724C50E" w:rsidR="00437E0B" w:rsidRPr="00437E0B" w:rsidRDefault="00437E0B" w:rsidP="00437E0B">
      <w:pPr>
        <w:pStyle w:val="EndNoteBibliography"/>
        <w:spacing w:after="0"/>
        <w:ind w:left="720" w:hanging="720"/>
      </w:pPr>
      <w:r w:rsidRPr="00437E0B">
        <w:t>20</w:t>
      </w:r>
      <w:r w:rsidRPr="00437E0B">
        <w:tab/>
        <w:t xml:space="preserve">Narayanan, S. P., Flores, A. I., Wang, F. &amp; Macklin, W. B. Akt signals through the mammalian target of rapamycin pathway to regulate CNS myelination. </w:t>
      </w:r>
      <w:r w:rsidRPr="00437E0B">
        <w:rPr>
          <w:i/>
        </w:rPr>
        <w:t>The Journal of neuroscience : the official journal of the Society for Neuroscience</w:t>
      </w:r>
      <w:r w:rsidRPr="00437E0B">
        <w:t xml:space="preserve"> </w:t>
      </w:r>
      <w:r w:rsidRPr="00437E0B">
        <w:rPr>
          <w:b/>
        </w:rPr>
        <w:t>29</w:t>
      </w:r>
      <w:r w:rsidRPr="00437E0B">
        <w:t xml:space="preserve">, 6860-6870 (2009). </w:t>
      </w:r>
      <w:hyperlink r:id="rId40" w:history="1">
        <w:r w:rsidRPr="00437E0B">
          <w:rPr>
            <w:rStyle w:val="Hyperlink"/>
          </w:rPr>
          <w:t>https://doi.org:10.1523/JNEUROSCI.0232-09.2009</w:t>
        </w:r>
      </w:hyperlink>
    </w:p>
    <w:p w14:paraId="7A5B5752" w14:textId="77777777" w:rsidR="00437E0B" w:rsidRPr="00437E0B" w:rsidRDefault="00437E0B" w:rsidP="00437E0B">
      <w:pPr>
        <w:pStyle w:val="EndNoteBibliography"/>
        <w:spacing w:after="0"/>
        <w:ind w:left="720" w:hanging="720"/>
      </w:pPr>
      <w:r w:rsidRPr="00437E0B">
        <w:t>21</w:t>
      </w:r>
      <w:r w:rsidRPr="00437E0B">
        <w:tab/>
        <w:t>Dupree, J. L.</w:t>
      </w:r>
      <w:r w:rsidRPr="00437E0B">
        <w:rPr>
          <w:i/>
        </w:rPr>
        <w:t xml:space="preserve"> et al.</w:t>
      </w:r>
      <w:r w:rsidRPr="00437E0B">
        <w:t xml:space="preserve"> Lanthionine Ketimine ethyl Ester accelerates Remyelination in a mouse model of multiple sclerosis. </w:t>
      </w:r>
      <w:r w:rsidRPr="00437E0B">
        <w:rPr>
          <w:i/>
        </w:rPr>
        <w:t>ASN neuro</w:t>
      </w:r>
      <w:r w:rsidRPr="00437E0B">
        <w:t xml:space="preserve"> </w:t>
      </w:r>
      <w:r w:rsidRPr="00437E0B">
        <w:rPr>
          <w:b/>
        </w:rPr>
        <w:t>14</w:t>
      </w:r>
      <w:r w:rsidRPr="00437E0B">
        <w:t xml:space="preserve">, 17590914221112352 (2022). </w:t>
      </w:r>
    </w:p>
    <w:p w14:paraId="1636100E" w14:textId="77777777" w:rsidR="00437E0B" w:rsidRPr="00437E0B" w:rsidRDefault="00437E0B" w:rsidP="00437E0B">
      <w:pPr>
        <w:pStyle w:val="EndNoteBibliography"/>
        <w:spacing w:after="0"/>
        <w:ind w:left="720" w:hanging="720"/>
      </w:pPr>
      <w:r w:rsidRPr="00437E0B">
        <w:t>22</w:t>
      </w:r>
      <w:r w:rsidRPr="00437E0B">
        <w:tab/>
        <w:t>Hariharan, S.</w:t>
      </w:r>
      <w:r w:rsidRPr="00437E0B">
        <w:rPr>
          <w:i/>
        </w:rPr>
        <w:t xml:space="preserve"> et al.</w:t>
      </w:r>
      <w:r w:rsidRPr="00437E0B">
        <w:t xml:space="preserve"> Assessment of the biological and pharmacological effects of the ανβ3 and ανβ5 integrin receptor antagonist, cilengitide (EMD 121974), in patients with advanced solid tumors. </w:t>
      </w:r>
      <w:r w:rsidRPr="00437E0B">
        <w:rPr>
          <w:i/>
        </w:rPr>
        <w:t>Annals of oncology</w:t>
      </w:r>
      <w:r w:rsidRPr="00437E0B">
        <w:t xml:space="preserve"> </w:t>
      </w:r>
      <w:r w:rsidRPr="00437E0B">
        <w:rPr>
          <w:b/>
        </w:rPr>
        <w:t>18</w:t>
      </w:r>
      <w:r w:rsidRPr="00437E0B">
        <w:t xml:space="preserve">, 1400-1407 (2007). </w:t>
      </w:r>
    </w:p>
    <w:p w14:paraId="6BA0B999" w14:textId="77777777" w:rsidR="00437E0B" w:rsidRPr="00437E0B" w:rsidRDefault="00437E0B" w:rsidP="00437E0B">
      <w:pPr>
        <w:pStyle w:val="EndNoteBibliography"/>
        <w:spacing w:after="0"/>
        <w:ind w:left="720" w:hanging="720"/>
      </w:pPr>
      <w:r w:rsidRPr="00437E0B">
        <w:t>23</w:t>
      </w:r>
      <w:r w:rsidRPr="00437E0B">
        <w:tab/>
        <w:t xml:space="preserve">O′ Meara, R. W., Michalski, J.-P. &amp; Kothary, R. Integrin signaling in oligodendrocytes and its importance in CNS myelination. </w:t>
      </w:r>
      <w:r w:rsidRPr="00437E0B">
        <w:rPr>
          <w:i/>
        </w:rPr>
        <w:t>Journal of signal transduction</w:t>
      </w:r>
      <w:r w:rsidRPr="00437E0B">
        <w:t xml:space="preserve"> </w:t>
      </w:r>
      <w:r w:rsidRPr="00437E0B">
        <w:rPr>
          <w:b/>
        </w:rPr>
        <w:t>2011</w:t>
      </w:r>
      <w:r w:rsidRPr="00437E0B">
        <w:t xml:space="preserve">, 354091 (2011). </w:t>
      </w:r>
    </w:p>
    <w:p w14:paraId="53068CAD" w14:textId="37C6816D" w:rsidR="00437E0B" w:rsidRPr="00437E0B" w:rsidRDefault="00437E0B" w:rsidP="00437E0B">
      <w:pPr>
        <w:pStyle w:val="EndNoteBibliography"/>
        <w:spacing w:after="0"/>
        <w:ind w:left="720" w:hanging="720"/>
      </w:pPr>
      <w:r w:rsidRPr="00437E0B">
        <w:t>24</w:t>
      </w:r>
      <w:r w:rsidRPr="00437E0B">
        <w:tab/>
        <w:t xml:space="preserve">Fumagalli, M., Lecca, D., Abbracchio, M. P. &amp; Ceruti, S. Pathophysiological Role of Purines and Pyrimidines in Neurodevelopment: Unveiling New Pharmacological Approaches to Congenital Brain Diseases. </w:t>
      </w:r>
      <w:r w:rsidRPr="00437E0B">
        <w:rPr>
          <w:i/>
        </w:rPr>
        <w:t>Frontiers in Pharmacology</w:t>
      </w:r>
      <w:r w:rsidRPr="00437E0B">
        <w:t xml:space="preserve"> </w:t>
      </w:r>
      <w:r w:rsidRPr="00437E0B">
        <w:rPr>
          <w:b/>
        </w:rPr>
        <w:t>8</w:t>
      </w:r>
      <w:r w:rsidRPr="00437E0B">
        <w:t xml:space="preserve"> (2017). </w:t>
      </w:r>
      <w:hyperlink r:id="rId41" w:history="1">
        <w:r w:rsidRPr="00437E0B">
          <w:rPr>
            <w:rStyle w:val="Hyperlink"/>
          </w:rPr>
          <w:t>https://doi.org:10.3389/fphar.2017.00941</w:t>
        </w:r>
      </w:hyperlink>
    </w:p>
    <w:p w14:paraId="7DFB9F70" w14:textId="2C7EA833" w:rsidR="00437E0B" w:rsidRPr="00437E0B" w:rsidRDefault="00437E0B" w:rsidP="00437E0B">
      <w:pPr>
        <w:pStyle w:val="EndNoteBibliography"/>
        <w:spacing w:after="0"/>
        <w:ind w:left="720" w:hanging="720"/>
      </w:pPr>
      <w:r w:rsidRPr="00437E0B">
        <w:lastRenderedPageBreak/>
        <w:t>25</w:t>
      </w:r>
      <w:r w:rsidRPr="00437E0B">
        <w:tab/>
        <w:t xml:space="preserve">Ji, P., B Nonnecke, E., Doan, N., Lönnerdal, B. &amp; Tan, B. Excess Iron Enhances Purine Catabolism Through Activation of Xanthine Oxidase and Impairs Myelination in the Hippocampus of Nursing Piglets. </w:t>
      </w:r>
      <w:r w:rsidRPr="00437E0B">
        <w:rPr>
          <w:i/>
        </w:rPr>
        <w:t>The Journal of Nutrition</w:t>
      </w:r>
      <w:r w:rsidRPr="00437E0B">
        <w:t xml:space="preserve"> </w:t>
      </w:r>
      <w:r w:rsidRPr="00437E0B">
        <w:rPr>
          <w:b/>
        </w:rPr>
        <w:t>149</w:t>
      </w:r>
      <w:r w:rsidRPr="00437E0B">
        <w:t xml:space="preserve">, 1911-1919 (2019). </w:t>
      </w:r>
      <w:hyperlink r:id="rId42" w:history="1">
        <w:r w:rsidRPr="00437E0B">
          <w:rPr>
            <w:rStyle w:val="Hyperlink"/>
          </w:rPr>
          <w:t>https://doi.org:https://doi.org/10.1093/jn/nxz166</w:t>
        </w:r>
      </w:hyperlink>
    </w:p>
    <w:p w14:paraId="4255D1B6" w14:textId="4122E9CA" w:rsidR="00437E0B" w:rsidRPr="00437E0B" w:rsidRDefault="00437E0B" w:rsidP="00437E0B">
      <w:pPr>
        <w:pStyle w:val="EndNoteBibliography"/>
        <w:spacing w:after="0"/>
        <w:ind w:left="720" w:hanging="720"/>
      </w:pPr>
      <w:r w:rsidRPr="00437E0B">
        <w:t>26</w:t>
      </w:r>
      <w:r w:rsidRPr="00437E0B">
        <w:tab/>
        <w:t xml:space="preserve">Cansev, M. Uridine and cytidine in the brain: their transport and utilization. </w:t>
      </w:r>
      <w:r w:rsidRPr="00437E0B">
        <w:rPr>
          <w:i/>
        </w:rPr>
        <w:t>Brain Res Rev</w:t>
      </w:r>
      <w:r w:rsidRPr="00437E0B">
        <w:t xml:space="preserve"> </w:t>
      </w:r>
      <w:r w:rsidRPr="00437E0B">
        <w:rPr>
          <w:b/>
        </w:rPr>
        <w:t>52</w:t>
      </w:r>
      <w:r w:rsidRPr="00437E0B">
        <w:t xml:space="preserve">, 389-397 (2006). </w:t>
      </w:r>
      <w:hyperlink r:id="rId43" w:history="1">
        <w:r w:rsidRPr="00437E0B">
          <w:rPr>
            <w:rStyle w:val="Hyperlink"/>
          </w:rPr>
          <w:t>https://doi.org:10.1016/j.brainresrev.2006.05.001</w:t>
        </w:r>
      </w:hyperlink>
    </w:p>
    <w:p w14:paraId="6D839351" w14:textId="41A9115F" w:rsidR="00437E0B" w:rsidRPr="00437E0B" w:rsidRDefault="00437E0B" w:rsidP="00437E0B">
      <w:pPr>
        <w:pStyle w:val="EndNoteBibliography"/>
        <w:spacing w:after="0"/>
        <w:ind w:left="720" w:hanging="720"/>
      </w:pPr>
      <w:r w:rsidRPr="00437E0B">
        <w:t>27</w:t>
      </w:r>
      <w:r w:rsidRPr="00437E0B">
        <w:tab/>
        <w:t xml:space="preserve">Sundaram, G., Lim, C. K., Brew, B. J. &amp; Guillemin, G. J. Kynurenine pathway modulation reverses the experimental autoimmune encephalomyelitis mouse disease progression. </w:t>
      </w:r>
      <w:r w:rsidRPr="00437E0B">
        <w:rPr>
          <w:i/>
        </w:rPr>
        <w:t>J Neuroinflammation</w:t>
      </w:r>
      <w:r w:rsidRPr="00437E0B">
        <w:t xml:space="preserve"> </w:t>
      </w:r>
      <w:r w:rsidRPr="00437E0B">
        <w:rPr>
          <w:b/>
        </w:rPr>
        <w:t>17</w:t>
      </w:r>
      <w:r w:rsidRPr="00437E0B">
        <w:t xml:space="preserve">, 176 (2020). </w:t>
      </w:r>
      <w:hyperlink r:id="rId44" w:history="1">
        <w:r w:rsidRPr="00437E0B">
          <w:rPr>
            <w:rStyle w:val="Hyperlink"/>
          </w:rPr>
          <w:t>https://doi.org:10.1186/s12974-020-01844-y</w:t>
        </w:r>
      </w:hyperlink>
    </w:p>
    <w:p w14:paraId="7BE0ADB6" w14:textId="4D8BEF79" w:rsidR="00437E0B" w:rsidRPr="00437E0B" w:rsidRDefault="00437E0B" w:rsidP="00437E0B">
      <w:pPr>
        <w:pStyle w:val="EndNoteBibliography"/>
        <w:spacing w:after="0"/>
        <w:ind w:left="720" w:hanging="720"/>
      </w:pPr>
      <w:r w:rsidRPr="00437E0B">
        <w:t>28</w:t>
      </w:r>
      <w:r w:rsidRPr="00437E0B">
        <w:tab/>
        <w:t>Mangalam, A.</w:t>
      </w:r>
      <w:r w:rsidRPr="00437E0B">
        <w:rPr>
          <w:i/>
        </w:rPr>
        <w:t xml:space="preserve"> et al.</w:t>
      </w:r>
      <w:r w:rsidRPr="00437E0B">
        <w:t xml:space="preserve"> Profile of Circulatory Metabolites in a Relapsing-remitting Animal Model of Multiple Sclerosis using Global Metabolomics. </w:t>
      </w:r>
      <w:r w:rsidRPr="00437E0B">
        <w:rPr>
          <w:i/>
        </w:rPr>
        <w:t>J Clin Cell Immunol</w:t>
      </w:r>
      <w:r w:rsidRPr="00437E0B">
        <w:t xml:space="preserve"> </w:t>
      </w:r>
      <w:r w:rsidRPr="00437E0B">
        <w:rPr>
          <w:b/>
        </w:rPr>
        <w:t>4</w:t>
      </w:r>
      <w:r w:rsidRPr="00437E0B">
        <w:t xml:space="preserve"> (2013). </w:t>
      </w:r>
      <w:hyperlink r:id="rId45" w:history="1">
        <w:r w:rsidRPr="00437E0B">
          <w:rPr>
            <w:rStyle w:val="Hyperlink"/>
          </w:rPr>
          <w:t>https://doi.org:10.4172/2155-9899.1000150</w:t>
        </w:r>
      </w:hyperlink>
    </w:p>
    <w:p w14:paraId="6D801533" w14:textId="060BFDDD" w:rsidR="00437E0B" w:rsidRPr="00437E0B" w:rsidRDefault="00437E0B" w:rsidP="00437E0B">
      <w:pPr>
        <w:pStyle w:val="EndNoteBibliography"/>
        <w:spacing w:after="0"/>
        <w:ind w:left="720" w:hanging="720"/>
      </w:pPr>
      <w:r w:rsidRPr="00437E0B">
        <w:t>29</w:t>
      </w:r>
      <w:r w:rsidRPr="00437E0B">
        <w:tab/>
        <w:t xml:space="preserve">Zahoor, I., Rui, B., Khan, J., Datta, I. &amp; Giri, S. An emerging potential of metabolomics in multiple sclerosis: a comprehensive overview. </w:t>
      </w:r>
      <w:r w:rsidRPr="00437E0B">
        <w:rPr>
          <w:i/>
        </w:rPr>
        <w:t>Cellular and Molecular Life Sciences</w:t>
      </w:r>
      <w:r w:rsidRPr="00437E0B">
        <w:t xml:space="preserve"> </w:t>
      </w:r>
      <w:r w:rsidRPr="00437E0B">
        <w:rPr>
          <w:b/>
        </w:rPr>
        <w:t>78</w:t>
      </w:r>
      <w:r w:rsidRPr="00437E0B">
        <w:t xml:space="preserve">, 3181-3203 (2021). </w:t>
      </w:r>
      <w:hyperlink r:id="rId46" w:history="1">
        <w:r w:rsidRPr="00437E0B">
          <w:rPr>
            <w:rStyle w:val="Hyperlink"/>
          </w:rPr>
          <w:t>https://doi.org:10.1007/s00018-020-03733-2</w:t>
        </w:r>
      </w:hyperlink>
    </w:p>
    <w:p w14:paraId="51B39B6D" w14:textId="45FFCDE7" w:rsidR="00437E0B" w:rsidRPr="00437E0B" w:rsidRDefault="00437E0B" w:rsidP="00437E0B">
      <w:pPr>
        <w:pStyle w:val="EndNoteBibliography"/>
        <w:spacing w:after="0"/>
        <w:ind w:left="720" w:hanging="720"/>
      </w:pPr>
      <w:r w:rsidRPr="00437E0B">
        <w:t>30</w:t>
      </w:r>
      <w:r w:rsidRPr="00437E0B">
        <w:tab/>
        <w:t xml:space="preserve">Essawy, A. E., Bekheet, G. J., Abdel Salam, S., Alhasani, R. H. &amp; Abd Elkader, H.-T. A. E. Betaine alleviates deficits in motor behavior, neurotoxic effects, and neuroinflammatory responses in a rat model of demyelination. </w:t>
      </w:r>
      <w:r w:rsidRPr="00437E0B">
        <w:rPr>
          <w:i/>
        </w:rPr>
        <w:t>Toxicology Reports</w:t>
      </w:r>
      <w:r w:rsidRPr="00437E0B">
        <w:t xml:space="preserve"> </w:t>
      </w:r>
      <w:r w:rsidRPr="00437E0B">
        <w:rPr>
          <w:b/>
        </w:rPr>
        <w:t>14</w:t>
      </w:r>
      <w:r w:rsidRPr="00437E0B">
        <w:t xml:space="preserve">, 101974 (2025). </w:t>
      </w:r>
      <w:hyperlink r:id="rId47" w:history="1">
        <w:r w:rsidRPr="00437E0B">
          <w:rPr>
            <w:rStyle w:val="Hyperlink"/>
          </w:rPr>
          <w:t>https://doi.org:https://doi.org/10.1016/j.toxrep.2025.101974</w:t>
        </w:r>
      </w:hyperlink>
    </w:p>
    <w:p w14:paraId="283349E6" w14:textId="76B30DC6" w:rsidR="00437E0B" w:rsidRPr="00437E0B" w:rsidRDefault="00437E0B" w:rsidP="00437E0B">
      <w:pPr>
        <w:pStyle w:val="EndNoteBibliography"/>
        <w:spacing w:after="0"/>
        <w:ind w:left="720" w:hanging="720"/>
      </w:pPr>
      <w:r w:rsidRPr="00437E0B">
        <w:t>31</w:t>
      </w:r>
      <w:r w:rsidRPr="00437E0B">
        <w:tab/>
        <w:t>Singhal, N. K.</w:t>
      </w:r>
      <w:r w:rsidRPr="00437E0B">
        <w:rPr>
          <w:i/>
        </w:rPr>
        <w:t xml:space="preserve"> et al.</w:t>
      </w:r>
      <w:r w:rsidRPr="00437E0B">
        <w:t xml:space="preserve"> Betaine restores epigenetic control and supports neuronal mitochondria in the cuprizone mouse model of multiple sclerosis. </w:t>
      </w:r>
      <w:r w:rsidRPr="00437E0B">
        <w:rPr>
          <w:i/>
        </w:rPr>
        <w:t>Epigenetics</w:t>
      </w:r>
      <w:r w:rsidRPr="00437E0B">
        <w:t xml:space="preserve"> </w:t>
      </w:r>
      <w:r w:rsidRPr="00437E0B">
        <w:rPr>
          <w:b/>
        </w:rPr>
        <w:t>15</w:t>
      </w:r>
      <w:r w:rsidRPr="00437E0B">
        <w:t xml:space="preserve">, 871-886 (2020). </w:t>
      </w:r>
      <w:hyperlink r:id="rId48" w:history="1">
        <w:r w:rsidRPr="00437E0B">
          <w:rPr>
            <w:rStyle w:val="Hyperlink"/>
          </w:rPr>
          <w:t>https://doi.org:10.1080/15592294.2020.1735075</w:t>
        </w:r>
      </w:hyperlink>
    </w:p>
    <w:p w14:paraId="63DAE51D" w14:textId="0DABC115" w:rsidR="00437E0B" w:rsidRPr="00437E0B" w:rsidRDefault="00437E0B" w:rsidP="00437E0B">
      <w:pPr>
        <w:pStyle w:val="EndNoteBibliography"/>
        <w:ind w:left="720" w:hanging="720"/>
      </w:pPr>
      <w:r w:rsidRPr="00437E0B">
        <w:t>32</w:t>
      </w:r>
      <w:r w:rsidRPr="00437E0B">
        <w:tab/>
        <w:t>Aguer, C.</w:t>
      </w:r>
      <w:r w:rsidRPr="00437E0B">
        <w:rPr>
          <w:i/>
        </w:rPr>
        <w:t xml:space="preserve"> et al.</w:t>
      </w:r>
      <w:r w:rsidRPr="00437E0B">
        <w:t xml:space="preserve"> Acylcarnitines: potential implications for skeletal muscle insulin resistance. </w:t>
      </w:r>
      <w:r w:rsidRPr="00437E0B">
        <w:rPr>
          <w:i/>
        </w:rPr>
        <w:t>Faseb j</w:t>
      </w:r>
      <w:r w:rsidRPr="00437E0B">
        <w:t xml:space="preserve"> </w:t>
      </w:r>
      <w:r w:rsidRPr="00437E0B">
        <w:rPr>
          <w:b/>
        </w:rPr>
        <w:t>29</w:t>
      </w:r>
      <w:r w:rsidRPr="00437E0B">
        <w:t xml:space="preserve">, 336-345 (2015). </w:t>
      </w:r>
      <w:hyperlink r:id="rId49" w:history="1">
        <w:r w:rsidRPr="00437E0B">
          <w:rPr>
            <w:rStyle w:val="Hyperlink"/>
          </w:rPr>
          <w:t>https://doi.org:10.1096/fj.14-255901</w:t>
        </w:r>
      </w:hyperlink>
    </w:p>
    <w:p w14:paraId="1B634F59" w14:textId="52A6CB87" w:rsidR="00EC4D95" w:rsidRDefault="00D3137A" w:rsidP="00F9377D">
      <w:pPr>
        <w:pStyle w:val="Style2"/>
      </w:pPr>
      <w:r w:rsidRPr="00BA04D2">
        <w:fldChar w:fldCharType="end"/>
      </w:r>
    </w:p>
    <w:p w14:paraId="1D73C45C" w14:textId="2513F810" w:rsidR="00EC4D95" w:rsidRDefault="00EC4D95">
      <w:pPr>
        <w:spacing w:line="259" w:lineRule="auto"/>
        <w:jc w:val="left"/>
        <w:rPr>
          <w:rFonts w:eastAsiaTheme="majorEastAsia" w:cs="Times New Roman"/>
          <w:b/>
          <w:color w:val="000000" w:themeColor="text1"/>
          <w:szCs w:val="20"/>
          <w:lang w:val="en-US" w:eastAsia="ko-KR"/>
        </w:rPr>
      </w:pPr>
    </w:p>
    <w:sectPr w:rsidR="00EC4D95" w:rsidSect="004C1437">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E4617" w14:textId="77777777" w:rsidR="00205F55" w:rsidRDefault="00205F55" w:rsidP="00F02881">
      <w:pPr>
        <w:spacing w:after="0"/>
      </w:pPr>
      <w:r>
        <w:separator/>
      </w:r>
    </w:p>
  </w:endnote>
  <w:endnote w:type="continuationSeparator" w:id="0">
    <w:p w14:paraId="2294F696" w14:textId="77777777" w:rsidR="00205F55" w:rsidRDefault="00205F55" w:rsidP="00F02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538067"/>
      <w:docPartObj>
        <w:docPartGallery w:val="Page Numbers (Bottom of Page)"/>
        <w:docPartUnique/>
      </w:docPartObj>
    </w:sdtPr>
    <w:sdtEndPr>
      <w:rPr>
        <w:noProof/>
      </w:rPr>
    </w:sdtEndPr>
    <w:sdtContent>
      <w:p w14:paraId="13966966" w14:textId="5FA76C32" w:rsidR="00F02881" w:rsidRDefault="00F028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37D57" w14:textId="77777777" w:rsidR="00F02881" w:rsidRDefault="00F02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AD056" w14:textId="77777777" w:rsidR="00205F55" w:rsidRDefault="00205F55" w:rsidP="00F02881">
      <w:pPr>
        <w:spacing w:after="0"/>
      </w:pPr>
      <w:r>
        <w:separator/>
      </w:r>
    </w:p>
  </w:footnote>
  <w:footnote w:type="continuationSeparator" w:id="0">
    <w:p w14:paraId="1728F8C5" w14:textId="77777777" w:rsidR="00205F55" w:rsidRDefault="00205F55" w:rsidP="00F028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1B0B62"/>
    <w:multiLevelType w:val="multilevel"/>
    <w:tmpl w:val="2E6E7E18"/>
    <w:lvl w:ilvl="0">
      <w:start w:val="1"/>
      <w:numFmt w:val="decimal"/>
      <w:lvlText w:val="Chapter %1."/>
      <w:lvlJc w:val="left"/>
      <w:pPr>
        <w:ind w:left="794" w:hanging="794"/>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794" w:hanging="794"/>
      </w:pPr>
      <w:rPr>
        <w:rFonts w:hint="default"/>
      </w:rPr>
    </w:lvl>
    <w:lvl w:ilvl="2">
      <w:start w:val="1"/>
      <w:numFmt w:val="decimal"/>
      <w:pStyle w:val="Style3"/>
      <w:lvlText w:val="%1.%2.%3"/>
      <w:lvlJc w:val="left"/>
      <w:pPr>
        <w:tabs>
          <w:tab w:val="num" w:pos="170"/>
        </w:tabs>
        <w:ind w:left="851" w:hanging="851"/>
      </w:pPr>
      <w:rPr>
        <w:rFonts w:hint="default"/>
      </w:rPr>
    </w:lvl>
    <w:lvl w:ilvl="3">
      <w:start w:val="1"/>
      <w:numFmt w:val="decimal"/>
      <w:pStyle w:val="Style4"/>
      <w:lvlText w:val="%1.%2.%3.%4"/>
      <w:lvlJc w:val="left"/>
      <w:pPr>
        <w:tabs>
          <w:tab w:val="num" w:pos="340"/>
        </w:tabs>
        <w:ind w:left="1021" w:hanging="1021"/>
      </w:pPr>
      <w:rPr>
        <w:rFonts w:hint="default"/>
      </w:rPr>
    </w:lvl>
    <w:lvl w:ilvl="4">
      <w:start w:val="1"/>
      <w:numFmt w:val="decimal"/>
      <w:pStyle w:val="Style5"/>
      <w:lvlText w:val="%1.%2.%3.%4.%5"/>
      <w:lvlJc w:val="left"/>
      <w:pPr>
        <w:tabs>
          <w:tab w:val="num" w:pos="454"/>
        </w:tabs>
        <w:ind w:left="907" w:hanging="907"/>
      </w:pPr>
      <w:rPr>
        <w:rFonts w:hint="default"/>
      </w:rPr>
    </w:lvl>
    <w:lvl w:ilvl="5">
      <w:start w:val="1"/>
      <w:numFmt w:val="decimal"/>
      <w:lvlText w:val="%1.%2.%3.%4.%5.%6"/>
      <w:lvlJc w:val="left"/>
      <w:pPr>
        <w:ind w:left="-2392" w:hanging="1152"/>
      </w:pPr>
      <w:rPr>
        <w:rFonts w:hint="default"/>
      </w:rPr>
    </w:lvl>
    <w:lvl w:ilvl="6">
      <w:start w:val="1"/>
      <w:numFmt w:val="decimal"/>
      <w:lvlText w:val="%1.%2.%3.%4.%5.%6.%7"/>
      <w:lvlJc w:val="left"/>
      <w:pPr>
        <w:ind w:left="-2248" w:hanging="1296"/>
      </w:pPr>
      <w:rPr>
        <w:rFonts w:hint="default"/>
      </w:rPr>
    </w:lvl>
    <w:lvl w:ilvl="7">
      <w:start w:val="1"/>
      <w:numFmt w:val="decimal"/>
      <w:lvlText w:val="%1.%2.%3.%4.%5.%6.%7.%8"/>
      <w:lvlJc w:val="left"/>
      <w:pPr>
        <w:ind w:left="-2104" w:hanging="1440"/>
      </w:pPr>
      <w:rPr>
        <w:rFonts w:hint="default"/>
      </w:rPr>
    </w:lvl>
    <w:lvl w:ilvl="8">
      <w:start w:val="1"/>
      <w:numFmt w:val="decimal"/>
      <w:lvlText w:val="%1.%2.%3.%4.%5.%6.%7.%8.%9"/>
      <w:lvlJc w:val="left"/>
      <w:pPr>
        <w:ind w:left="-1960"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xad0tf15f9weepssy5td09frpw0wxe5vfa&quot;&gt;Amending literature review&lt;record-ids&gt;&lt;item&gt;114&lt;/item&gt;&lt;item&gt;160&lt;/item&gt;&lt;item&gt;193&lt;/item&gt;&lt;item&gt;535&lt;/item&gt;&lt;item&gt;536&lt;/item&gt;&lt;item&gt;566&lt;/item&gt;&lt;item&gt;573&lt;/item&gt;&lt;item&gt;574&lt;/item&gt;&lt;item&gt;625&lt;/item&gt;&lt;item&gt;651&lt;/item&gt;&lt;item&gt;660&lt;/item&gt;&lt;item&gt;661&lt;/item&gt;&lt;item&gt;662&lt;/item&gt;&lt;item&gt;665&lt;/item&gt;&lt;item&gt;666&lt;/item&gt;&lt;item&gt;667&lt;/item&gt;&lt;item&gt;675&lt;/item&gt;&lt;item&gt;676&lt;/item&gt;&lt;item&gt;682&lt;/item&gt;&lt;item&gt;689&lt;/item&gt;&lt;item&gt;690&lt;/item&gt;&lt;item&gt;693&lt;/item&gt;&lt;item&gt;694&lt;/item&gt;&lt;item&gt;696&lt;/item&gt;&lt;item&gt;697&lt;/item&gt;&lt;item&gt;698&lt;/item&gt;&lt;/record-ids&gt;&lt;/item&gt;&lt;/Libraries&gt;"/>
  </w:docVars>
  <w:rsids>
    <w:rsidRoot w:val="009F0910"/>
    <w:rsid w:val="00001F2F"/>
    <w:rsid w:val="00007771"/>
    <w:rsid w:val="00014162"/>
    <w:rsid w:val="00021988"/>
    <w:rsid w:val="0002517A"/>
    <w:rsid w:val="00025EF3"/>
    <w:rsid w:val="00026E6F"/>
    <w:rsid w:val="0004609C"/>
    <w:rsid w:val="00074FD3"/>
    <w:rsid w:val="00092007"/>
    <w:rsid w:val="0009683F"/>
    <w:rsid w:val="000B5150"/>
    <w:rsid w:val="000F008F"/>
    <w:rsid w:val="00114531"/>
    <w:rsid w:val="00121BB1"/>
    <w:rsid w:val="00122E76"/>
    <w:rsid w:val="001236B2"/>
    <w:rsid w:val="001268BB"/>
    <w:rsid w:val="00144698"/>
    <w:rsid w:val="001479C4"/>
    <w:rsid w:val="00147C98"/>
    <w:rsid w:val="001565DA"/>
    <w:rsid w:val="0016276C"/>
    <w:rsid w:val="00180595"/>
    <w:rsid w:val="00185168"/>
    <w:rsid w:val="00186006"/>
    <w:rsid w:val="00187345"/>
    <w:rsid w:val="00196457"/>
    <w:rsid w:val="001A1D79"/>
    <w:rsid w:val="001C0C18"/>
    <w:rsid w:val="001C5C49"/>
    <w:rsid w:val="001C6F1A"/>
    <w:rsid w:val="001D1C14"/>
    <w:rsid w:val="00205F55"/>
    <w:rsid w:val="00231D50"/>
    <w:rsid w:val="002323D2"/>
    <w:rsid w:val="002334C4"/>
    <w:rsid w:val="00247C79"/>
    <w:rsid w:val="00262F9D"/>
    <w:rsid w:val="00283666"/>
    <w:rsid w:val="00287B47"/>
    <w:rsid w:val="00296B0A"/>
    <w:rsid w:val="002A031C"/>
    <w:rsid w:val="002A58F6"/>
    <w:rsid w:val="002B2C1F"/>
    <w:rsid w:val="002B650D"/>
    <w:rsid w:val="002D2F15"/>
    <w:rsid w:val="002D3D97"/>
    <w:rsid w:val="002D5D57"/>
    <w:rsid w:val="002D6DC8"/>
    <w:rsid w:val="002E03B6"/>
    <w:rsid w:val="002E3CDC"/>
    <w:rsid w:val="002E3DDD"/>
    <w:rsid w:val="002F2754"/>
    <w:rsid w:val="003415BE"/>
    <w:rsid w:val="00343E9F"/>
    <w:rsid w:val="00390FA6"/>
    <w:rsid w:val="003939B7"/>
    <w:rsid w:val="00394DEC"/>
    <w:rsid w:val="003B34C1"/>
    <w:rsid w:val="003B476B"/>
    <w:rsid w:val="003C13B8"/>
    <w:rsid w:val="003C313C"/>
    <w:rsid w:val="003C3EEE"/>
    <w:rsid w:val="003C7D1D"/>
    <w:rsid w:val="003D27E8"/>
    <w:rsid w:val="003D53AC"/>
    <w:rsid w:val="003F47CF"/>
    <w:rsid w:val="003F7737"/>
    <w:rsid w:val="003F7F62"/>
    <w:rsid w:val="00407931"/>
    <w:rsid w:val="004116F0"/>
    <w:rsid w:val="00412A67"/>
    <w:rsid w:val="00414A6F"/>
    <w:rsid w:val="00421A6A"/>
    <w:rsid w:val="00430922"/>
    <w:rsid w:val="00437529"/>
    <w:rsid w:val="00437E0B"/>
    <w:rsid w:val="00440225"/>
    <w:rsid w:val="00440DCD"/>
    <w:rsid w:val="004460DA"/>
    <w:rsid w:val="00461D7E"/>
    <w:rsid w:val="004635E3"/>
    <w:rsid w:val="0046455B"/>
    <w:rsid w:val="00475A85"/>
    <w:rsid w:val="00477EAB"/>
    <w:rsid w:val="00490EA4"/>
    <w:rsid w:val="004C0174"/>
    <w:rsid w:val="004C1437"/>
    <w:rsid w:val="004C204F"/>
    <w:rsid w:val="004C427D"/>
    <w:rsid w:val="004E7829"/>
    <w:rsid w:val="004F6DCD"/>
    <w:rsid w:val="00503ADF"/>
    <w:rsid w:val="00503FFF"/>
    <w:rsid w:val="0052618D"/>
    <w:rsid w:val="00534FF5"/>
    <w:rsid w:val="00535DA3"/>
    <w:rsid w:val="0054056A"/>
    <w:rsid w:val="0055146E"/>
    <w:rsid w:val="00556A50"/>
    <w:rsid w:val="0058495F"/>
    <w:rsid w:val="00591BD2"/>
    <w:rsid w:val="005A0799"/>
    <w:rsid w:val="005A2877"/>
    <w:rsid w:val="005A362B"/>
    <w:rsid w:val="005B3FB3"/>
    <w:rsid w:val="005B65BB"/>
    <w:rsid w:val="005C16C5"/>
    <w:rsid w:val="005C3D87"/>
    <w:rsid w:val="005E1D97"/>
    <w:rsid w:val="005E56A9"/>
    <w:rsid w:val="005F08D9"/>
    <w:rsid w:val="005F74E7"/>
    <w:rsid w:val="0060794C"/>
    <w:rsid w:val="0062706A"/>
    <w:rsid w:val="00641B58"/>
    <w:rsid w:val="006617ED"/>
    <w:rsid w:val="006737BC"/>
    <w:rsid w:val="006A5253"/>
    <w:rsid w:val="006C127C"/>
    <w:rsid w:val="006C17EC"/>
    <w:rsid w:val="006C7C97"/>
    <w:rsid w:val="006E388D"/>
    <w:rsid w:val="006E56F7"/>
    <w:rsid w:val="006E5D63"/>
    <w:rsid w:val="00711FCC"/>
    <w:rsid w:val="007141F7"/>
    <w:rsid w:val="00724BAB"/>
    <w:rsid w:val="0073498B"/>
    <w:rsid w:val="0074005E"/>
    <w:rsid w:val="00747EB2"/>
    <w:rsid w:val="00752084"/>
    <w:rsid w:val="0076430C"/>
    <w:rsid w:val="00770A9B"/>
    <w:rsid w:val="00776513"/>
    <w:rsid w:val="00785314"/>
    <w:rsid w:val="00785C80"/>
    <w:rsid w:val="007C1A7C"/>
    <w:rsid w:val="007C546F"/>
    <w:rsid w:val="007D421B"/>
    <w:rsid w:val="007D4414"/>
    <w:rsid w:val="007D7AF3"/>
    <w:rsid w:val="007F2841"/>
    <w:rsid w:val="007F3139"/>
    <w:rsid w:val="00802266"/>
    <w:rsid w:val="00814A63"/>
    <w:rsid w:val="00824A5E"/>
    <w:rsid w:val="008275FD"/>
    <w:rsid w:val="00830D10"/>
    <w:rsid w:val="008341D0"/>
    <w:rsid w:val="00847E65"/>
    <w:rsid w:val="0085224F"/>
    <w:rsid w:val="0087082F"/>
    <w:rsid w:val="008761AB"/>
    <w:rsid w:val="0088317E"/>
    <w:rsid w:val="00884DFA"/>
    <w:rsid w:val="00886143"/>
    <w:rsid w:val="00890248"/>
    <w:rsid w:val="008A0E03"/>
    <w:rsid w:val="008C3C89"/>
    <w:rsid w:val="008C7325"/>
    <w:rsid w:val="008D4738"/>
    <w:rsid w:val="008F4496"/>
    <w:rsid w:val="00900374"/>
    <w:rsid w:val="00913D71"/>
    <w:rsid w:val="00940B1B"/>
    <w:rsid w:val="00945A41"/>
    <w:rsid w:val="0095750B"/>
    <w:rsid w:val="0096040D"/>
    <w:rsid w:val="009730E9"/>
    <w:rsid w:val="00976D26"/>
    <w:rsid w:val="00985787"/>
    <w:rsid w:val="0099204E"/>
    <w:rsid w:val="00996184"/>
    <w:rsid w:val="009A1632"/>
    <w:rsid w:val="009A4D08"/>
    <w:rsid w:val="009C0592"/>
    <w:rsid w:val="009C41D5"/>
    <w:rsid w:val="009C561D"/>
    <w:rsid w:val="009E3152"/>
    <w:rsid w:val="009E4F58"/>
    <w:rsid w:val="009E6934"/>
    <w:rsid w:val="009F0910"/>
    <w:rsid w:val="009F784F"/>
    <w:rsid w:val="00A02E49"/>
    <w:rsid w:val="00A12F61"/>
    <w:rsid w:val="00A152A1"/>
    <w:rsid w:val="00A26444"/>
    <w:rsid w:val="00A34BE2"/>
    <w:rsid w:val="00A34D8F"/>
    <w:rsid w:val="00A56475"/>
    <w:rsid w:val="00A805B4"/>
    <w:rsid w:val="00A87B39"/>
    <w:rsid w:val="00A91985"/>
    <w:rsid w:val="00A94192"/>
    <w:rsid w:val="00A9432D"/>
    <w:rsid w:val="00A97240"/>
    <w:rsid w:val="00AA22CB"/>
    <w:rsid w:val="00AA292F"/>
    <w:rsid w:val="00AB4148"/>
    <w:rsid w:val="00AC135B"/>
    <w:rsid w:val="00AC2B32"/>
    <w:rsid w:val="00AC30E5"/>
    <w:rsid w:val="00AD0332"/>
    <w:rsid w:val="00AD7F03"/>
    <w:rsid w:val="00AE1DC4"/>
    <w:rsid w:val="00AF1672"/>
    <w:rsid w:val="00AF26C6"/>
    <w:rsid w:val="00AF4A30"/>
    <w:rsid w:val="00B0705B"/>
    <w:rsid w:val="00B105DB"/>
    <w:rsid w:val="00B217B1"/>
    <w:rsid w:val="00B26033"/>
    <w:rsid w:val="00B522B2"/>
    <w:rsid w:val="00B52D8F"/>
    <w:rsid w:val="00B7129A"/>
    <w:rsid w:val="00B85BAB"/>
    <w:rsid w:val="00BA04D2"/>
    <w:rsid w:val="00BA561A"/>
    <w:rsid w:val="00BA56F1"/>
    <w:rsid w:val="00BC173D"/>
    <w:rsid w:val="00BC2EB3"/>
    <w:rsid w:val="00BC7FD0"/>
    <w:rsid w:val="00BE47DE"/>
    <w:rsid w:val="00BF3B85"/>
    <w:rsid w:val="00BF42FA"/>
    <w:rsid w:val="00BF47BF"/>
    <w:rsid w:val="00C11FC6"/>
    <w:rsid w:val="00C23D0D"/>
    <w:rsid w:val="00C3704F"/>
    <w:rsid w:val="00C41CE1"/>
    <w:rsid w:val="00C70F36"/>
    <w:rsid w:val="00C711B8"/>
    <w:rsid w:val="00C7588D"/>
    <w:rsid w:val="00C857D7"/>
    <w:rsid w:val="00CB6234"/>
    <w:rsid w:val="00CC7C4A"/>
    <w:rsid w:val="00CD1F20"/>
    <w:rsid w:val="00CD1F6B"/>
    <w:rsid w:val="00CE24C6"/>
    <w:rsid w:val="00D16AB7"/>
    <w:rsid w:val="00D23125"/>
    <w:rsid w:val="00D3137A"/>
    <w:rsid w:val="00D34CD8"/>
    <w:rsid w:val="00D35252"/>
    <w:rsid w:val="00D42E46"/>
    <w:rsid w:val="00D574B6"/>
    <w:rsid w:val="00D614B1"/>
    <w:rsid w:val="00D645C0"/>
    <w:rsid w:val="00D66837"/>
    <w:rsid w:val="00DA117F"/>
    <w:rsid w:val="00DA714F"/>
    <w:rsid w:val="00DB4971"/>
    <w:rsid w:val="00DC09E9"/>
    <w:rsid w:val="00E122FA"/>
    <w:rsid w:val="00E16B61"/>
    <w:rsid w:val="00E26FCF"/>
    <w:rsid w:val="00E30FE3"/>
    <w:rsid w:val="00E358BA"/>
    <w:rsid w:val="00E457FA"/>
    <w:rsid w:val="00E463B9"/>
    <w:rsid w:val="00E52842"/>
    <w:rsid w:val="00E54660"/>
    <w:rsid w:val="00E55867"/>
    <w:rsid w:val="00E56A07"/>
    <w:rsid w:val="00E65447"/>
    <w:rsid w:val="00E7656F"/>
    <w:rsid w:val="00E86F24"/>
    <w:rsid w:val="00E9228F"/>
    <w:rsid w:val="00EB2816"/>
    <w:rsid w:val="00EC3C93"/>
    <w:rsid w:val="00EC4D95"/>
    <w:rsid w:val="00ED1AD9"/>
    <w:rsid w:val="00ED6826"/>
    <w:rsid w:val="00EE30F5"/>
    <w:rsid w:val="00EF1BC0"/>
    <w:rsid w:val="00EF5A08"/>
    <w:rsid w:val="00F02881"/>
    <w:rsid w:val="00F04E50"/>
    <w:rsid w:val="00F116D1"/>
    <w:rsid w:val="00F2663E"/>
    <w:rsid w:val="00F276AE"/>
    <w:rsid w:val="00F42347"/>
    <w:rsid w:val="00F615EC"/>
    <w:rsid w:val="00F75AC7"/>
    <w:rsid w:val="00F77D31"/>
    <w:rsid w:val="00F9377D"/>
    <w:rsid w:val="00FB404F"/>
    <w:rsid w:val="00FB5363"/>
    <w:rsid w:val="00FC0735"/>
    <w:rsid w:val="00FD17B3"/>
    <w:rsid w:val="00FE0A98"/>
    <w:rsid w:val="00FE3A1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342D0"/>
  <w15:chartTrackingRefBased/>
  <w15:docId w15:val="{B12E97CA-F8BC-4E5E-9387-F34A3287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C18"/>
    <w:pPr>
      <w:spacing w:line="240" w:lineRule="auto"/>
      <w:jc w:val="both"/>
    </w:pPr>
    <w:rPr>
      <w:rFonts w:ascii="Times New Roman" w:hAnsi="Times New Roman"/>
      <w:sz w:val="20"/>
      <w:lang w:val="en-AU"/>
    </w:rPr>
  </w:style>
  <w:style w:type="paragraph" w:styleId="Heading1">
    <w:name w:val="heading 1"/>
    <w:basedOn w:val="Normal"/>
    <w:next w:val="Normal"/>
    <w:link w:val="Heading1Char"/>
    <w:uiPriority w:val="9"/>
    <w:qFormat/>
    <w:rsid w:val="001C0C18"/>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1C0C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C0C18"/>
    <w:pPr>
      <w:spacing w:before="100" w:beforeAutospacing="1" w:after="100" w:afterAutospacing="1"/>
      <w:outlineLvl w:val="2"/>
    </w:pPr>
    <w:rPr>
      <w:rFonts w:eastAsiaTheme="majorEastAsia" w:cstheme="majorBidi"/>
      <w:b/>
      <w:bCs/>
      <w:sz w:val="27"/>
      <w:szCs w:val="27"/>
      <w:lang w:eastAsia="en-AU"/>
    </w:rPr>
  </w:style>
  <w:style w:type="paragraph" w:styleId="Heading4">
    <w:name w:val="heading 4"/>
    <w:basedOn w:val="Normal"/>
    <w:next w:val="Normal"/>
    <w:link w:val="Heading4Char"/>
    <w:uiPriority w:val="9"/>
    <w:semiHidden/>
    <w:unhideWhenUsed/>
    <w:qFormat/>
    <w:rsid w:val="001C0C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C0C1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C0C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autoRedefine/>
    <w:qFormat/>
    <w:rsid w:val="00F9377D"/>
    <w:pPr>
      <w:spacing w:before="160" w:after="120"/>
    </w:pPr>
    <w:rPr>
      <w:rFonts w:ascii="Times New Roman" w:eastAsia="Times New Roman" w:hAnsi="Times New Roman" w:cs="Times New Roman"/>
      <w:b/>
      <w:color w:val="000000" w:themeColor="text1"/>
      <w:sz w:val="20"/>
      <w:szCs w:val="20"/>
      <w:lang w:val="en-US" w:eastAsia="ko-KR"/>
    </w:rPr>
  </w:style>
  <w:style w:type="character" w:customStyle="1" w:styleId="Heading2Char">
    <w:name w:val="Heading 2 Char"/>
    <w:basedOn w:val="DefaultParagraphFont"/>
    <w:link w:val="Heading2"/>
    <w:uiPriority w:val="9"/>
    <w:rsid w:val="001C0C18"/>
    <w:rPr>
      <w:rFonts w:asciiTheme="majorHAnsi" w:eastAsiaTheme="majorEastAsia" w:hAnsiTheme="majorHAnsi" w:cstheme="majorBidi"/>
      <w:color w:val="2F5496" w:themeColor="accent1" w:themeShade="BF"/>
      <w:sz w:val="26"/>
      <w:szCs w:val="26"/>
      <w:lang w:val="en-AU"/>
    </w:rPr>
  </w:style>
  <w:style w:type="paragraph" w:customStyle="1" w:styleId="EndNoteBibliographyTitle">
    <w:name w:val="EndNote Bibliography Title"/>
    <w:basedOn w:val="Normal"/>
    <w:link w:val="EndNoteBibliographyTitleChar"/>
    <w:rsid w:val="001C0C1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C0C18"/>
    <w:rPr>
      <w:rFonts w:ascii="Times New Roman" w:hAnsi="Times New Roman" w:cs="Times New Roman"/>
      <w:noProof/>
      <w:sz w:val="20"/>
    </w:rPr>
  </w:style>
  <w:style w:type="paragraph" w:customStyle="1" w:styleId="EndNoteBibliography">
    <w:name w:val="EndNote Bibliography"/>
    <w:basedOn w:val="Normal"/>
    <w:link w:val="EndNoteBibliographyChar"/>
    <w:rsid w:val="001C0C18"/>
    <w:rPr>
      <w:rFonts w:cs="Times New Roman"/>
      <w:noProof/>
      <w:lang w:val="en-US"/>
    </w:rPr>
  </w:style>
  <w:style w:type="character" w:customStyle="1" w:styleId="EndNoteBibliographyChar">
    <w:name w:val="EndNote Bibliography Char"/>
    <w:basedOn w:val="DefaultParagraphFont"/>
    <w:link w:val="EndNoteBibliography"/>
    <w:rsid w:val="001C0C18"/>
    <w:rPr>
      <w:rFonts w:ascii="Times New Roman" w:hAnsi="Times New Roman" w:cs="Times New Roman"/>
      <w:noProof/>
      <w:sz w:val="20"/>
    </w:rPr>
  </w:style>
  <w:style w:type="paragraph" w:customStyle="1" w:styleId="Default">
    <w:name w:val="Default"/>
    <w:rsid w:val="001C0C18"/>
    <w:pPr>
      <w:autoSpaceDE w:val="0"/>
      <w:autoSpaceDN w:val="0"/>
      <w:adjustRightInd w:val="0"/>
      <w:spacing w:after="0" w:line="240" w:lineRule="auto"/>
    </w:pPr>
    <w:rPr>
      <w:rFonts w:ascii="Times New Roman" w:hAnsi="Times New Roman" w:cs="Times New Roman"/>
      <w:color w:val="000000"/>
      <w:sz w:val="24"/>
      <w:szCs w:val="24"/>
      <w:lang w:val="en-AU"/>
    </w:rPr>
  </w:style>
  <w:style w:type="paragraph" w:customStyle="1" w:styleId="Style3">
    <w:name w:val="Style3"/>
    <w:basedOn w:val="Heading3"/>
    <w:link w:val="Style3Char"/>
    <w:autoRedefine/>
    <w:qFormat/>
    <w:rsid w:val="001C0C18"/>
    <w:pPr>
      <w:keepNext/>
      <w:keepLines/>
      <w:numPr>
        <w:ilvl w:val="2"/>
        <w:numId w:val="21"/>
      </w:numPr>
      <w:spacing w:before="480" w:beforeAutospacing="0" w:after="480" w:afterAutospacing="0" w:line="480" w:lineRule="auto"/>
    </w:pPr>
    <w:rPr>
      <w:bCs w:val="0"/>
      <w:color w:val="000000" w:themeColor="text1"/>
      <w:sz w:val="24"/>
      <w:szCs w:val="24"/>
    </w:rPr>
  </w:style>
  <w:style w:type="character" w:customStyle="1" w:styleId="Style3Char">
    <w:name w:val="Style3 Char"/>
    <w:basedOn w:val="Heading3Char"/>
    <w:link w:val="Style3"/>
    <w:rsid w:val="001C0C18"/>
    <w:rPr>
      <w:rFonts w:ascii="Times New Roman" w:eastAsiaTheme="majorEastAsia" w:hAnsi="Times New Roman" w:cstheme="majorBidi"/>
      <w:b/>
      <w:bCs w:val="0"/>
      <w:color w:val="000000" w:themeColor="text1"/>
      <w:sz w:val="24"/>
      <w:szCs w:val="24"/>
      <w:lang w:val="en-AU" w:eastAsia="en-AU"/>
    </w:rPr>
  </w:style>
  <w:style w:type="character" w:customStyle="1" w:styleId="Heading3Char">
    <w:name w:val="Heading 3 Char"/>
    <w:basedOn w:val="DefaultParagraphFont"/>
    <w:link w:val="Heading3"/>
    <w:uiPriority w:val="9"/>
    <w:rsid w:val="001C0C18"/>
    <w:rPr>
      <w:rFonts w:ascii="Times New Roman" w:eastAsiaTheme="majorEastAsia" w:hAnsi="Times New Roman" w:cstheme="majorBidi"/>
      <w:b/>
      <w:bCs/>
      <w:sz w:val="27"/>
      <w:szCs w:val="27"/>
      <w:lang w:val="en-AU" w:eastAsia="en-AU"/>
    </w:rPr>
  </w:style>
  <w:style w:type="paragraph" w:customStyle="1" w:styleId="Style4">
    <w:name w:val="Style4"/>
    <w:basedOn w:val="Heading4"/>
    <w:link w:val="Style4Char"/>
    <w:autoRedefine/>
    <w:qFormat/>
    <w:rsid w:val="001C0C18"/>
    <w:pPr>
      <w:numPr>
        <w:ilvl w:val="3"/>
        <w:numId w:val="21"/>
      </w:numPr>
      <w:spacing w:before="360" w:after="240" w:line="480" w:lineRule="auto"/>
    </w:pPr>
    <w:rPr>
      <w:b/>
      <w:i w:val="0"/>
      <w:color w:val="000000" w:themeColor="text1"/>
      <w:sz w:val="24"/>
      <w:szCs w:val="24"/>
      <w:lang w:eastAsia="en-AU"/>
    </w:rPr>
  </w:style>
  <w:style w:type="character" w:customStyle="1" w:styleId="Style4Char">
    <w:name w:val="Style4 Char"/>
    <w:basedOn w:val="Heading3Char"/>
    <w:link w:val="Style4"/>
    <w:rsid w:val="001C0C18"/>
    <w:rPr>
      <w:rFonts w:asciiTheme="majorHAnsi" w:eastAsiaTheme="majorEastAsia" w:hAnsiTheme="majorHAnsi" w:cstheme="majorBidi"/>
      <w:b/>
      <w:bCs w:val="0"/>
      <w:iCs/>
      <w:color w:val="000000" w:themeColor="text1"/>
      <w:sz w:val="24"/>
      <w:szCs w:val="24"/>
      <w:lang w:val="en-AU" w:eastAsia="en-AU"/>
    </w:rPr>
  </w:style>
  <w:style w:type="character" w:customStyle="1" w:styleId="Heading4Char">
    <w:name w:val="Heading 4 Char"/>
    <w:basedOn w:val="DefaultParagraphFont"/>
    <w:link w:val="Heading4"/>
    <w:uiPriority w:val="9"/>
    <w:semiHidden/>
    <w:rsid w:val="001C0C18"/>
    <w:rPr>
      <w:rFonts w:asciiTheme="majorHAnsi" w:eastAsiaTheme="majorEastAsia" w:hAnsiTheme="majorHAnsi" w:cstheme="majorBidi"/>
      <w:i/>
      <w:iCs/>
      <w:color w:val="2F5496" w:themeColor="accent1" w:themeShade="BF"/>
      <w:sz w:val="20"/>
      <w:lang w:val="en-AU"/>
    </w:rPr>
  </w:style>
  <w:style w:type="paragraph" w:customStyle="1" w:styleId="Style5">
    <w:name w:val="Style5"/>
    <w:basedOn w:val="Heading2"/>
    <w:autoRedefine/>
    <w:qFormat/>
    <w:rsid w:val="001C0C18"/>
    <w:pPr>
      <w:numPr>
        <w:ilvl w:val="4"/>
        <w:numId w:val="21"/>
      </w:numPr>
      <w:tabs>
        <w:tab w:val="clear" w:pos="454"/>
        <w:tab w:val="num" w:pos="360"/>
      </w:tabs>
      <w:spacing w:after="480" w:line="480" w:lineRule="auto"/>
    </w:pPr>
    <w:rPr>
      <w:b/>
    </w:rPr>
  </w:style>
  <w:style w:type="paragraph" w:customStyle="1" w:styleId="Style11">
    <w:name w:val="Style11"/>
    <w:basedOn w:val="Heading1"/>
    <w:next w:val="Normal"/>
    <w:autoRedefine/>
    <w:qFormat/>
    <w:rsid w:val="00CD1F6B"/>
    <w:pPr>
      <w:spacing w:after="240" w:line="360" w:lineRule="auto"/>
      <w:ind w:left="794" w:hanging="794"/>
    </w:pPr>
    <w:rPr>
      <w:rFonts w:ascii="Times New Roman" w:hAnsi="Times New Roman"/>
      <w:b/>
      <w:color w:val="auto"/>
      <w:szCs w:val="48"/>
      <w:lang w:val="en-AU"/>
    </w:rPr>
  </w:style>
  <w:style w:type="character" w:customStyle="1" w:styleId="Heading1Char">
    <w:name w:val="Heading 1 Char"/>
    <w:basedOn w:val="DefaultParagraphFont"/>
    <w:link w:val="Heading1"/>
    <w:uiPriority w:val="9"/>
    <w:rsid w:val="001C0C18"/>
    <w:rPr>
      <w:rFonts w:asciiTheme="majorHAnsi" w:eastAsiaTheme="majorEastAsia" w:hAnsiTheme="majorHAnsi" w:cstheme="majorBidi"/>
      <w:color w:val="2F5496" w:themeColor="accent1" w:themeShade="BF"/>
      <w:sz w:val="32"/>
      <w:szCs w:val="32"/>
      <w:lang w:val="en-GB"/>
    </w:rPr>
  </w:style>
  <w:style w:type="character" w:customStyle="1" w:styleId="Heading5Char">
    <w:name w:val="Heading 5 Char"/>
    <w:basedOn w:val="DefaultParagraphFont"/>
    <w:link w:val="Heading5"/>
    <w:uiPriority w:val="9"/>
    <w:semiHidden/>
    <w:rsid w:val="001C0C18"/>
    <w:rPr>
      <w:rFonts w:asciiTheme="majorHAnsi" w:eastAsiaTheme="majorEastAsia" w:hAnsiTheme="majorHAnsi" w:cstheme="majorBidi"/>
      <w:color w:val="2F5496" w:themeColor="accent1" w:themeShade="BF"/>
      <w:sz w:val="20"/>
      <w:lang w:val="en-AU"/>
    </w:rPr>
  </w:style>
  <w:style w:type="character" w:customStyle="1" w:styleId="Heading6Char">
    <w:name w:val="Heading 6 Char"/>
    <w:basedOn w:val="DefaultParagraphFont"/>
    <w:link w:val="Heading6"/>
    <w:uiPriority w:val="9"/>
    <w:semiHidden/>
    <w:rsid w:val="001C0C18"/>
    <w:rPr>
      <w:rFonts w:asciiTheme="majorHAnsi" w:eastAsiaTheme="majorEastAsia" w:hAnsiTheme="majorHAnsi" w:cstheme="majorBidi"/>
      <w:color w:val="1F3763" w:themeColor="accent1" w:themeShade="7F"/>
      <w:sz w:val="20"/>
      <w:lang w:val="en-AU"/>
    </w:rPr>
  </w:style>
  <w:style w:type="paragraph" w:styleId="TOC1">
    <w:name w:val="toc 1"/>
    <w:basedOn w:val="Normal"/>
    <w:next w:val="Normal"/>
    <w:autoRedefine/>
    <w:uiPriority w:val="39"/>
    <w:unhideWhenUsed/>
    <w:rsid w:val="001C0C18"/>
    <w:pPr>
      <w:spacing w:after="100"/>
    </w:pPr>
  </w:style>
  <w:style w:type="paragraph" w:styleId="TOC2">
    <w:name w:val="toc 2"/>
    <w:basedOn w:val="Normal"/>
    <w:next w:val="Normal"/>
    <w:autoRedefine/>
    <w:uiPriority w:val="39"/>
    <w:unhideWhenUsed/>
    <w:rsid w:val="001C0C18"/>
    <w:pPr>
      <w:spacing w:after="100"/>
      <w:ind w:left="220"/>
    </w:pPr>
  </w:style>
  <w:style w:type="paragraph" w:styleId="CommentText">
    <w:name w:val="annotation text"/>
    <w:basedOn w:val="Normal"/>
    <w:link w:val="CommentTextChar"/>
    <w:uiPriority w:val="99"/>
    <w:unhideWhenUsed/>
    <w:rsid w:val="001C0C18"/>
    <w:pPr>
      <w:spacing w:after="0"/>
    </w:pPr>
    <w:rPr>
      <w:rFonts w:eastAsiaTheme="minorEastAsia"/>
      <w:szCs w:val="20"/>
      <w:lang w:val="en-GB"/>
    </w:rPr>
  </w:style>
  <w:style w:type="character" w:customStyle="1" w:styleId="CommentTextChar">
    <w:name w:val="Comment Text Char"/>
    <w:basedOn w:val="DefaultParagraphFont"/>
    <w:link w:val="CommentText"/>
    <w:uiPriority w:val="99"/>
    <w:rsid w:val="001C0C18"/>
    <w:rPr>
      <w:rFonts w:ascii="Times New Roman" w:eastAsiaTheme="minorEastAsia" w:hAnsi="Times New Roman"/>
      <w:sz w:val="20"/>
      <w:szCs w:val="20"/>
      <w:lang w:val="en-GB"/>
    </w:rPr>
  </w:style>
  <w:style w:type="paragraph" w:styleId="Header">
    <w:name w:val="header"/>
    <w:basedOn w:val="Normal"/>
    <w:link w:val="HeaderChar"/>
    <w:uiPriority w:val="99"/>
    <w:unhideWhenUsed/>
    <w:rsid w:val="001C0C18"/>
    <w:pPr>
      <w:tabs>
        <w:tab w:val="center" w:pos="4513"/>
        <w:tab w:val="right" w:pos="9026"/>
      </w:tabs>
      <w:spacing w:after="0"/>
    </w:pPr>
  </w:style>
  <w:style w:type="character" w:customStyle="1" w:styleId="HeaderChar">
    <w:name w:val="Header Char"/>
    <w:basedOn w:val="DefaultParagraphFont"/>
    <w:link w:val="Header"/>
    <w:uiPriority w:val="99"/>
    <w:rsid w:val="001C0C18"/>
    <w:rPr>
      <w:rFonts w:ascii="Times New Roman" w:hAnsi="Times New Roman"/>
      <w:sz w:val="20"/>
      <w:lang w:val="en-AU"/>
    </w:rPr>
  </w:style>
  <w:style w:type="paragraph" w:styleId="Footer">
    <w:name w:val="footer"/>
    <w:basedOn w:val="Normal"/>
    <w:link w:val="FooterChar"/>
    <w:uiPriority w:val="99"/>
    <w:unhideWhenUsed/>
    <w:rsid w:val="001C0C18"/>
    <w:pPr>
      <w:tabs>
        <w:tab w:val="center" w:pos="4513"/>
        <w:tab w:val="right" w:pos="9026"/>
      </w:tabs>
      <w:spacing w:after="0"/>
    </w:pPr>
  </w:style>
  <w:style w:type="character" w:customStyle="1" w:styleId="FooterChar">
    <w:name w:val="Footer Char"/>
    <w:basedOn w:val="DefaultParagraphFont"/>
    <w:link w:val="Footer"/>
    <w:uiPriority w:val="99"/>
    <w:rsid w:val="001C0C18"/>
    <w:rPr>
      <w:rFonts w:ascii="Times New Roman" w:hAnsi="Times New Roman"/>
      <w:sz w:val="20"/>
      <w:lang w:val="en-AU"/>
    </w:rPr>
  </w:style>
  <w:style w:type="character" w:styleId="Hyperlink">
    <w:name w:val="Hyperlink"/>
    <w:basedOn w:val="DefaultParagraphFont"/>
    <w:uiPriority w:val="99"/>
    <w:unhideWhenUsed/>
    <w:rsid w:val="001C0C18"/>
    <w:rPr>
      <w:color w:val="0000FF"/>
      <w:u w:val="single"/>
    </w:rPr>
  </w:style>
  <w:style w:type="character" w:styleId="Strong">
    <w:name w:val="Strong"/>
    <w:basedOn w:val="DefaultParagraphFont"/>
    <w:uiPriority w:val="22"/>
    <w:qFormat/>
    <w:rsid w:val="001C0C18"/>
    <w:rPr>
      <w:b/>
      <w:bCs/>
    </w:rPr>
  </w:style>
  <w:style w:type="character" w:styleId="Emphasis">
    <w:name w:val="Emphasis"/>
    <w:basedOn w:val="DefaultParagraphFont"/>
    <w:uiPriority w:val="20"/>
    <w:qFormat/>
    <w:rsid w:val="001C0C18"/>
    <w:rPr>
      <w:i/>
      <w:iCs/>
    </w:rPr>
  </w:style>
  <w:style w:type="paragraph" w:styleId="NormalWeb">
    <w:name w:val="Normal (Web)"/>
    <w:basedOn w:val="Normal"/>
    <w:uiPriority w:val="99"/>
    <w:unhideWhenUsed/>
    <w:rsid w:val="001C0C18"/>
    <w:pPr>
      <w:spacing w:before="100" w:beforeAutospacing="1" w:after="100" w:afterAutospacing="1"/>
    </w:pPr>
    <w:rPr>
      <w:rFonts w:eastAsia="Times New Roman" w:cs="Times New Roman"/>
      <w:sz w:val="24"/>
      <w:szCs w:val="24"/>
      <w:lang w:eastAsia="en-AU"/>
    </w:rPr>
  </w:style>
  <w:style w:type="paragraph" w:styleId="TOCHeading">
    <w:name w:val="TOC Heading"/>
    <w:basedOn w:val="Heading1"/>
    <w:next w:val="Normal"/>
    <w:uiPriority w:val="39"/>
    <w:unhideWhenUsed/>
    <w:qFormat/>
    <w:rsid w:val="001C0C18"/>
    <w:pPr>
      <w:spacing w:line="259" w:lineRule="auto"/>
      <w:outlineLvl w:val="9"/>
    </w:pPr>
    <w:rPr>
      <w:lang w:val="en-US"/>
    </w:rPr>
  </w:style>
  <w:style w:type="character" w:styleId="CommentReference">
    <w:name w:val="annotation reference"/>
    <w:basedOn w:val="DefaultParagraphFont"/>
    <w:uiPriority w:val="99"/>
    <w:semiHidden/>
    <w:unhideWhenUsed/>
    <w:rsid w:val="006E388D"/>
    <w:rPr>
      <w:sz w:val="16"/>
      <w:szCs w:val="16"/>
    </w:rPr>
  </w:style>
  <w:style w:type="character" w:styleId="UnresolvedMention">
    <w:name w:val="Unresolved Mention"/>
    <w:basedOn w:val="DefaultParagraphFont"/>
    <w:uiPriority w:val="99"/>
    <w:semiHidden/>
    <w:unhideWhenUsed/>
    <w:rsid w:val="00D3137A"/>
    <w:rPr>
      <w:color w:val="605E5C"/>
      <w:shd w:val="clear" w:color="auto" w:fill="E1DFDD"/>
    </w:rPr>
  </w:style>
  <w:style w:type="paragraph" w:styleId="ListParagraph">
    <w:name w:val="List Paragraph"/>
    <w:basedOn w:val="Normal"/>
    <w:uiPriority w:val="34"/>
    <w:qFormat/>
    <w:rsid w:val="00231D50"/>
    <w:pPr>
      <w:ind w:left="720"/>
      <w:contextualSpacing/>
    </w:pPr>
  </w:style>
  <w:style w:type="table" w:styleId="GridTable6Colorful-Accent5">
    <w:name w:val="Grid Table 6 Colorful Accent 5"/>
    <w:basedOn w:val="TableNormal"/>
    <w:uiPriority w:val="51"/>
    <w:rsid w:val="0055146E"/>
    <w:pPr>
      <w:spacing w:before="520" w:after="0" w:line="240" w:lineRule="auto"/>
      <w:jc w:val="both"/>
    </w:pPr>
    <w:rPr>
      <w:i/>
      <w:color w:val="2E74B5" w:themeColor="accent5" w:themeShade="BF"/>
      <w:sz w:val="24"/>
      <w:szCs w:val="24"/>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29848">
      <w:bodyDiv w:val="1"/>
      <w:marLeft w:val="0"/>
      <w:marRight w:val="0"/>
      <w:marTop w:val="0"/>
      <w:marBottom w:val="0"/>
      <w:divBdr>
        <w:top w:val="none" w:sz="0" w:space="0" w:color="auto"/>
        <w:left w:val="none" w:sz="0" w:space="0" w:color="auto"/>
        <w:bottom w:val="none" w:sz="0" w:space="0" w:color="auto"/>
        <w:right w:val="none" w:sz="0" w:space="0" w:color="auto"/>
      </w:divBdr>
    </w:div>
    <w:div w:id="986129043">
      <w:bodyDiv w:val="1"/>
      <w:marLeft w:val="0"/>
      <w:marRight w:val="0"/>
      <w:marTop w:val="0"/>
      <w:marBottom w:val="0"/>
      <w:divBdr>
        <w:top w:val="none" w:sz="0" w:space="0" w:color="auto"/>
        <w:left w:val="none" w:sz="0" w:space="0" w:color="auto"/>
        <w:bottom w:val="none" w:sz="0" w:space="0" w:color="auto"/>
        <w:right w:val="none" w:sz="0" w:space="0" w:color="auto"/>
      </w:divBdr>
    </w:div>
    <w:div w:id="17033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https://doi.org/10.1002/stem.587" TargetMode="External"/><Relationship Id="rId39" Type="http://schemas.openxmlformats.org/officeDocument/2006/relationships/hyperlink" Target="https://doi.org:10.1002/glia.22729" TargetMode="External"/><Relationship Id="rId21" Type="http://schemas.openxmlformats.org/officeDocument/2006/relationships/image" Target="media/image14.jpeg"/><Relationship Id="rId34" Type="http://schemas.openxmlformats.org/officeDocument/2006/relationships/hyperlink" Target="https://doi.org:10.1093/bioinformatics/bts069" TargetMode="External"/><Relationship Id="rId42" Type="http://schemas.openxmlformats.org/officeDocument/2006/relationships/hyperlink" Target="https://doi.org:https://doi.org/10.1093/jn/nxz166" TargetMode="External"/><Relationship Id="rId47" Type="http://schemas.openxmlformats.org/officeDocument/2006/relationships/hyperlink" Target="https://doi.org:https://doi.org/10.1016/j.toxrep.2025.101974"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186/ar2331" TargetMode="External"/><Relationship Id="rId11" Type="http://schemas.openxmlformats.org/officeDocument/2006/relationships/image" Target="media/image4.jpeg"/><Relationship Id="rId24" Type="http://schemas.openxmlformats.org/officeDocument/2006/relationships/hyperlink" Target="https://doi.org:10.1016/j.ebiom.2017.10.016" TargetMode="External"/><Relationship Id="rId32" Type="http://schemas.openxmlformats.org/officeDocument/2006/relationships/hyperlink" Target="https://doi.org:10.7554/eLife.78877" TargetMode="External"/><Relationship Id="rId37" Type="http://schemas.openxmlformats.org/officeDocument/2006/relationships/hyperlink" Target="https://doi.org:10.1038/nprot.2011.319" TargetMode="External"/><Relationship Id="rId40" Type="http://schemas.openxmlformats.org/officeDocument/2006/relationships/hyperlink" Target="https://doi.org:10.1523/JNEUROSCI.0232-09.2009" TargetMode="External"/><Relationship Id="rId45" Type="http://schemas.openxmlformats.org/officeDocument/2006/relationships/hyperlink" Target="https://doi.org:10.4172/2155-9899.100015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oi.org:10.1371/journal.pbio.3000411" TargetMode="External"/><Relationship Id="rId36" Type="http://schemas.openxmlformats.org/officeDocument/2006/relationships/hyperlink" Target="https://doi.org:10.1093/nar/gkab382" TargetMode="External"/><Relationship Id="rId49" Type="http://schemas.openxmlformats.org/officeDocument/2006/relationships/hyperlink" Target="https://doi.org:10.1096/fj.14-25590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https://doi.org/10.1111/acel.13862" TargetMode="External"/><Relationship Id="rId44" Type="http://schemas.openxmlformats.org/officeDocument/2006/relationships/hyperlink" Target="https://doi.org:10.1186/s12974-020-01844-y"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i.org:10.1523/JNEUROSCI.1760-18.2019" TargetMode="External"/><Relationship Id="rId30" Type="http://schemas.openxmlformats.org/officeDocument/2006/relationships/hyperlink" Target="https://doi.org:10.21873/invivo.12481" TargetMode="External"/><Relationship Id="rId35" Type="http://schemas.openxmlformats.org/officeDocument/2006/relationships/hyperlink" Target="https://doi.org:10.1021/ac2000994" TargetMode="External"/><Relationship Id="rId43" Type="http://schemas.openxmlformats.org/officeDocument/2006/relationships/hyperlink" Target="https://doi.org:10.1016/j.brainresrev.2006.05.001" TargetMode="External"/><Relationship Id="rId48" Type="http://schemas.openxmlformats.org/officeDocument/2006/relationships/hyperlink" Target="https://doi.org:10.1080/15592294.2020.1735075"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93/brain/aws100" TargetMode="External"/><Relationship Id="rId33" Type="http://schemas.openxmlformats.org/officeDocument/2006/relationships/hyperlink" Target="https://doi.org:10.1038/nbt.2377" TargetMode="External"/><Relationship Id="rId38" Type="http://schemas.openxmlformats.org/officeDocument/2006/relationships/hyperlink" Target="https://doi.org:10.1093/braincomms/fcad108" TargetMode="External"/><Relationship Id="rId46" Type="http://schemas.openxmlformats.org/officeDocument/2006/relationships/hyperlink" Target="https://doi.org:10.1007/s00018-020-03733-2" TargetMode="External"/><Relationship Id="rId20" Type="http://schemas.openxmlformats.org/officeDocument/2006/relationships/image" Target="media/image13.jpeg"/><Relationship Id="rId41" Type="http://schemas.openxmlformats.org/officeDocument/2006/relationships/hyperlink" Target="https://doi.org:10.3389/fphar.2017.009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468DC-F6EC-40B5-A685-4E635560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1</Pages>
  <Words>15860</Words>
  <Characters>100714</Characters>
  <Application>Microsoft Office Word</Application>
  <DocSecurity>0</DocSecurity>
  <Lines>3873</Lines>
  <Paragraphs>3150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Rahimeh Emamnejad</dc:creator>
  <cp:keywords/>
  <dc:description/>
  <cp:lastModifiedBy>Rahimeh Emamnejad</cp:lastModifiedBy>
  <cp:revision>336</cp:revision>
  <cp:lastPrinted>2025-12-22T00:03:00Z</cp:lastPrinted>
  <dcterms:created xsi:type="dcterms:W3CDTF">2025-10-26T23:09:00Z</dcterms:created>
  <dcterms:modified xsi:type="dcterms:W3CDTF">2025-12-22T01:01:00Z</dcterms:modified>
</cp:coreProperties>
</file>