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4846" w14:textId="77777777" w:rsidR="00C40614" w:rsidRPr="002C718B" w:rsidRDefault="00201358" w:rsidP="004E660E">
      <w:pPr>
        <w:spacing w:line="480" w:lineRule="auto"/>
        <w:jc w:val="left"/>
        <w:rPr>
          <w:rFonts w:ascii="Arial" w:hAnsi="Arial" w:cs="Arial"/>
          <w:b/>
          <w:sz w:val="20"/>
          <w:szCs w:val="20"/>
        </w:rPr>
      </w:pPr>
      <w:r w:rsidRPr="002C718B">
        <w:rPr>
          <w:rFonts w:ascii="Arial" w:hAnsi="Arial" w:cs="Arial"/>
          <w:b/>
          <w:sz w:val="20"/>
          <w:szCs w:val="20"/>
        </w:rPr>
        <w:t>Supplementary methods</w:t>
      </w:r>
    </w:p>
    <w:p w14:paraId="744AE921" w14:textId="77777777" w:rsidR="00C40614" w:rsidRPr="00075671" w:rsidRDefault="00201358" w:rsidP="004E660E">
      <w:pPr>
        <w:spacing w:line="480" w:lineRule="auto"/>
        <w:jc w:val="left"/>
        <w:rPr>
          <w:rFonts w:ascii="Arial" w:hAnsi="Arial" w:cs="Arial"/>
          <w:b/>
          <w:bCs/>
          <w:sz w:val="20"/>
          <w:szCs w:val="20"/>
        </w:rPr>
      </w:pPr>
      <w:bookmarkStart w:id="0" w:name="OLE_LINK32"/>
      <w:r w:rsidRPr="00075671">
        <w:rPr>
          <w:rFonts w:ascii="Arial" w:hAnsi="Arial" w:cs="Arial"/>
          <w:b/>
          <w:bCs/>
          <w:sz w:val="20"/>
          <w:szCs w:val="20"/>
        </w:rPr>
        <w:t>Targeted gene sequencing</w:t>
      </w:r>
      <w:bookmarkEnd w:id="0"/>
    </w:p>
    <w:p w14:paraId="5A00C20C" w14:textId="063D607F" w:rsidR="00075671" w:rsidRDefault="00A87A28" w:rsidP="004E660E">
      <w:pPr>
        <w:spacing w:line="480" w:lineRule="auto"/>
        <w:jc w:val="left"/>
        <w:rPr>
          <w:rFonts w:ascii="Arial" w:hAnsi="Arial" w:cs="Arial"/>
          <w:color w:val="0F1115"/>
          <w:sz w:val="20"/>
          <w:szCs w:val="20"/>
          <w:shd w:val="clear" w:color="auto" w:fill="FFFFFF"/>
        </w:rPr>
      </w:pPr>
      <w:bookmarkStart w:id="1" w:name="OLE_LINK21"/>
      <w:r w:rsidRPr="002C718B">
        <w:rPr>
          <w:rFonts w:ascii="Arial" w:hAnsi="Arial" w:cs="Arial"/>
          <w:color w:val="0F1115"/>
          <w:sz w:val="20"/>
          <w:szCs w:val="20"/>
          <w:shd w:val="clear" w:color="auto" w:fill="FFFFFF"/>
        </w:rPr>
        <w:t xml:space="preserve">Genomic DNA was extracted from either cell line lysates or five 10-μm sections of formalin-fixed paraffin-embedded (FFPE) tissue using the </w:t>
      </w:r>
      <w:proofErr w:type="spellStart"/>
      <w:r w:rsidRPr="002C718B">
        <w:rPr>
          <w:rFonts w:ascii="Arial" w:hAnsi="Arial" w:cs="Arial"/>
          <w:color w:val="0F1115"/>
          <w:sz w:val="20"/>
          <w:szCs w:val="20"/>
          <w:shd w:val="clear" w:color="auto" w:fill="FFFFFF"/>
        </w:rPr>
        <w:t>DNeasy</w:t>
      </w:r>
      <w:proofErr w:type="spellEnd"/>
      <w:r w:rsidRPr="002C718B">
        <w:rPr>
          <w:rFonts w:ascii="Arial" w:hAnsi="Arial" w:cs="Arial"/>
          <w:color w:val="0F1115"/>
          <w:sz w:val="20"/>
          <w:szCs w:val="20"/>
          <w:shd w:val="clear" w:color="auto" w:fill="FFFFFF"/>
        </w:rPr>
        <w:t xml:space="preserve"> Blood &amp; Tissue Kit (QIAGEN, 69504) or </w:t>
      </w:r>
      <w:proofErr w:type="spellStart"/>
      <w:r w:rsidRPr="002C718B">
        <w:rPr>
          <w:rFonts w:ascii="Arial" w:hAnsi="Arial" w:cs="Arial"/>
          <w:color w:val="0F1115"/>
          <w:sz w:val="20"/>
          <w:szCs w:val="20"/>
          <w:shd w:val="clear" w:color="auto" w:fill="FFFFFF"/>
        </w:rPr>
        <w:t>QIAamp</w:t>
      </w:r>
      <w:proofErr w:type="spellEnd"/>
      <w:r w:rsidRPr="002C718B">
        <w:rPr>
          <w:rFonts w:ascii="Arial" w:hAnsi="Arial" w:cs="Arial"/>
          <w:color w:val="0F1115"/>
          <w:sz w:val="20"/>
          <w:szCs w:val="20"/>
          <w:shd w:val="clear" w:color="auto" w:fill="FFFFFF"/>
        </w:rPr>
        <w:t xml:space="preserve"> DNA FFPE Kit (QIAGEN, 56404), respectively, according to the manufacturer’s protocols. DNA quality was evaluated by spectrophotometry, with optical density (OD) measured at 230, 260, and 280 nm. DNA concentration was quantified using Qubit 4.0 software. Library preparation was performed as previously described </w:t>
      </w:r>
      <w:r w:rsidR="00201358" w:rsidRPr="0081203C">
        <w:rPr>
          <w:rFonts w:ascii="Arial" w:hAnsi="Arial" w:cs="Arial"/>
          <w:sz w:val="20"/>
          <w:szCs w:val="20"/>
        </w:rPr>
        <w:t>[</w:t>
      </w:r>
      <w:r w:rsidR="00075671" w:rsidRPr="0081203C">
        <w:rPr>
          <w:rFonts w:ascii="Arial" w:hAnsi="Arial" w:cs="Arial"/>
          <w:sz w:val="20"/>
          <w:szCs w:val="20"/>
        </w:rPr>
        <w:t>1</w:t>
      </w:r>
      <w:r w:rsidR="00201358" w:rsidRPr="0081203C">
        <w:rPr>
          <w:rFonts w:ascii="Arial" w:hAnsi="Arial" w:cs="Arial"/>
          <w:sz w:val="20"/>
          <w:szCs w:val="20"/>
        </w:rPr>
        <w:t>]</w:t>
      </w:r>
      <w:bookmarkEnd w:id="1"/>
      <w:r w:rsidR="00201358" w:rsidRPr="0081203C">
        <w:rPr>
          <w:rFonts w:ascii="Arial" w:hAnsi="Arial" w:cs="Arial"/>
          <w:sz w:val="20"/>
          <w:szCs w:val="20"/>
        </w:rPr>
        <w:t>.</w:t>
      </w:r>
      <w:r w:rsidR="00201358" w:rsidRPr="002C718B">
        <w:rPr>
          <w:rFonts w:ascii="Arial" w:hAnsi="Arial" w:cs="Arial"/>
          <w:sz w:val="20"/>
          <w:szCs w:val="20"/>
        </w:rPr>
        <w:t xml:space="preserve"> </w:t>
      </w:r>
      <w:r w:rsidRPr="002C718B">
        <w:rPr>
          <w:rFonts w:ascii="Arial" w:hAnsi="Arial" w:cs="Arial"/>
          <w:color w:val="0F1115"/>
          <w:sz w:val="20"/>
          <w:szCs w:val="20"/>
          <w:shd w:val="clear" w:color="auto" w:fill="FFFFFF"/>
        </w:rPr>
        <w:t xml:space="preserve">Target enrichment was carried out by hybridization capture using the </w:t>
      </w:r>
      <w:proofErr w:type="spellStart"/>
      <w:r w:rsidRPr="002C718B">
        <w:rPr>
          <w:rFonts w:ascii="Arial" w:hAnsi="Arial" w:cs="Arial"/>
          <w:color w:val="0F1115"/>
          <w:sz w:val="20"/>
          <w:szCs w:val="20"/>
          <w:shd w:val="clear" w:color="auto" w:fill="FFFFFF"/>
        </w:rPr>
        <w:t>Sarcopact</w:t>
      </w:r>
      <w:proofErr w:type="spellEnd"/>
      <w:r w:rsidRPr="002C718B">
        <w:rPr>
          <w:rFonts w:ascii="Arial" w:hAnsi="Arial" w:cs="Arial"/>
          <w:color w:val="0F1115"/>
          <w:sz w:val="20"/>
          <w:szCs w:val="20"/>
          <w:shd w:val="clear" w:color="auto" w:fill="FFFFFF"/>
        </w:rPr>
        <w:t xml:space="preserve">™ tumor gene panel (481 cancer-relevant genes, </w:t>
      </w:r>
      <w:proofErr w:type="spellStart"/>
      <w:r w:rsidRPr="002C718B">
        <w:rPr>
          <w:rFonts w:ascii="Arial" w:hAnsi="Arial" w:cs="Arial"/>
          <w:color w:val="0F1115"/>
          <w:sz w:val="20"/>
          <w:szCs w:val="20"/>
          <w:shd w:val="clear" w:color="auto" w:fill="FFFFFF"/>
        </w:rPr>
        <w:t>Geneseeq</w:t>
      </w:r>
      <w:proofErr w:type="spellEnd"/>
      <w:r w:rsidRPr="002C718B">
        <w:rPr>
          <w:rFonts w:ascii="Arial" w:hAnsi="Arial" w:cs="Arial"/>
          <w:color w:val="0F1115"/>
          <w:sz w:val="20"/>
          <w:szCs w:val="20"/>
          <w:shd w:val="clear" w:color="auto" w:fill="FFFFFF"/>
        </w:rPr>
        <w:t xml:space="preserve"> Technology Inc.) with the </w:t>
      </w:r>
      <w:proofErr w:type="spellStart"/>
      <w:r w:rsidRPr="002C718B">
        <w:rPr>
          <w:rFonts w:ascii="Arial" w:hAnsi="Arial" w:cs="Arial"/>
          <w:color w:val="0F1115"/>
          <w:sz w:val="20"/>
          <w:szCs w:val="20"/>
          <w:shd w:val="clear" w:color="auto" w:fill="FFFFFF"/>
        </w:rPr>
        <w:t>xGen</w:t>
      </w:r>
      <w:proofErr w:type="spellEnd"/>
      <w:r w:rsidRPr="002C718B">
        <w:rPr>
          <w:rFonts w:ascii="Arial" w:hAnsi="Arial" w:cs="Arial"/>
          <w:color w:val="0F1115"/>
          <w:sz w:val="20"/>
          <w:szCs w:val="20"/>
          <w:shd w:val="clear" w:color="auto" w:fill="FFFFFF"/>
        </w:rPr>
        <w:t xml:space="preserve"> Lockdown Hybridization and Wash Reagents Kit (Integrated DNA Technologies). Captured libraries were bound to </w:t>
      </w:r>
      <w:proofErr w:type="spellStart"/>
      <w:r w:rsidRPr="002C718B">
        <w:rPr>
          <w:rFonts w:ascii="Arial" w:hAnsi="Arial" w:cs="Arial"/>
          <w:color w:val="0F1115"/>
          <w:sz w:val="20"/>
          <w:szCs w:val="20"/>
          <w:shd w:val="clear" w:color="auto" w:fill="FFFFFF"/>
        </w:rPr>
        <w:t>Dynabeads</w:t>
      </w:r>
      <w:proofErr w:type="spellEnd"/>
      <w:r w:rsidRPr="002C718B">
        <w:rPr>
          <w:rFonts w:ascii="Arial" w:hAnsi="Arial" w:cs="Arial"/>
          <w:color w:val="0F1115"/>
          <w:sz w:val="20"/>
          <w:szCs w:val="20"/>
          <w:shd w:val="clear" w:color="auto" w:fill="FFFFFF"/>
        </w:rPr>
        <w:t xml:space="preserve"> M-270 (Life Technologies), amplified with KAPA HiFi </w:t>
      </w:r>
      <w:proofErr w:type="spellStart"/>
      <w:r w:rsidRPr="002C718B">
        <w:rPr>
          <w:rFonts w:ascii="Arial" w:hAnsi="Arial" w:cs="Arial"/>
          <w:color w:val="0F1115"/>
          <w:sz w:val="20"/>
          <w:szCs w:val="20"/>
          <w:shd w:val="clear" w:color="auto" w:fill="FFFFFF"/>
        </w:rPr>
        <w:t>HotStart</w:t>
      </w:r>
      <w:proofErr w:type="spellEnd"/>
      <w:r w:rsidRPr="002C718B">
        <w:rPr>
          <w:rFonts w:ascii="Arial" w:hAnsi="Arial" w:cs="Arial"/>
          <w:color w:val="0F1115"/>
          <w:sz w:val="20"/>
          <w:szCs w:val="20"/>
          <w:shd w:val="clear" w:color="auto" w:fill="FFFFFF"/>
        </w:rPr>
        <w:t xml:space="preserve"> </w:t>
      </w:r>
      <w:proofErr w:type="spellStart"/>
      <w:r w:rsidRPr="002C718B">
        <w:rPr>
          <w:rFonts w:ascii="Arial" w:hAnsi="Arial" w:cs="Arial"/>
          <w:color w:val="0F1115"/>
          <w:sz w:val="20"/>
          <w:szCs w:val="20"/>
          <w:shd w:val="clear" w:color="auto" w:fill="FFFFFF"/>
        </w:rPr>
        <w:t>ReadyMix</w:t>
      </w:r>
      <w:proofErr w:type="spellEnd"/>
      <w:r w:rsidRPr="002C718B">
        <w:rPr>
          <w:rFonts w:ascii="Arial" w:hAnsi="Arial" w:cs="Arial"/>
          <w:color w:val="0F1115"/>
          <w:sz w:val="20"/>
          <w:szCs w:val="20"/>
          <w:shd w:val="clear" w:color="auto" w:fill="FFFFFF"/>
        </w:rPr>
        <w:t xml:space="preserve"> (KAPA Biosystems), and quantified by qPCR using the KAPA Library Quantification kit (KAPA Biosystems). Sequencing was performed on the Nextseq550Dx platform (Illumina) with 2 × 150 bp paired-end reads. Raw sequencing data were demultiplexed using bcl2fastq (v2.19) and trimmed with </w:t>
      </w:r>
      <w:proofErr w:type="spellStart"/>
      <w:r w:rsidRPr="002C718B">
        <w:rPr>
          <w:rFonts w:ascii="Arial" w:hAnsi="Arial" w:cs="Arial"/>
          <w:color w:val="0F1115"/>
          <w:sz w:val="20"/>
          <w:szCs w:val="20"/>
          <w:shd w:val="clear" w:color="auto" w:fill="FFFFFF"/>
        </w:rPr>
        <w:t>Trimmomatic</w:t>
      </w:r>
      <w:proofErr w:type="spellEnd"/>
      <w:r w:rsidR="00201358" w:rsidRPr="004E660E">
        <w:rPr>
          <w:rFonts w:ascii="Arial" w:hAnsi="Arial" w:cs="Arial"/>
          <w:sz w:val="20"/>
          <w:szCs w:val="20"/>
        </w:rPr>
        <w:t>.</w:t>
      </w:r>
      <w:r w:rsidR="00201358" w:rsidRPr="002C718B">
        <w:rPr>
          <w:rFonts w:ascii="Arial" w:hAnsi="Arial" w:cs="Arial"/>
          <w:sz w:val="20"/>
          <w:szCs w:val="20"/>
        </w:rPr>
        <w:t xml:space="preserve"> </w:t>
      </w:r>
      <w:r w:rsidRPr="002C718B">
        <w:rPr>
          <w:rFonts w:ascii="Arial" w:hAnsi="Arial" w:cs="Arial"/>
          <w:sz w:val="20"/>
          <w:szCs w:val="20"/>
        </w:rPr>
        <w:t xml:space="preserve">Reads containing Ns or with low quality (quality score &lt; 15) were removed, and the remaining reads were aligned to the human reference genome (hg19) using Burrows–Wheeler </w:t>
      </w:r>
      <w:r w:rsidRPr="004E660E">
        <w:rPr>
          <w:rFonts w:ascii="Arial" w:hAnsi="Arial" w:cs="Arial"/>
          <w:sz w:val="20"/>
          <w:szCs w:val="20"/>
        </w:rPr>
        <w:t>Aligner</w:t>
      </w:r>
      <w:r w:rsidR="00201358" w:rsidRPr="004E660E">
        <w:rPr>
          <w:rFonts w:ascii="Arial" w:hAnsi="Arial" w:cs="Arial"/>
          <w:sz w:val="20"/>
          <w:szCs w:val="20"/>
        </w:rPr>
        <w:t>.</w:t>
      </w:r>
      <w:r w:rsidR="00201358" w:rsidRPr="002C718B">
        <w:rPr>
          <w:rFonts w:ascii="Arial" w:hAnsi="Arial" w:cs="Arial"/>
          <w:sz w:val="20"/>
          <w:szCs w:val="20"/>
        </w:rPr>
        <w:t xml:space="preserve"> </w:t>
      </w:r>
      <w:r w:rsidRPr="002C718B">
        <w:rPr>
          <w:rFonts w:ascii="Arial" w:hAnsi="Arial" w:cs="Arial"/>
          <w:sz w:val="20"/>
          <w:szCs w:val="20"/>
        </w:rPr>
        <w:t>PCR duplicates were removed with Picard (https://broadinstitute.github.io/picard/). Local realignment around indels and base quality recalibration were performed using the Genome Analysis Toolkit (GATK)</w:t>
      </w:r>
      <w:r w:rsidR="00201358" w:rsidRPr="002C718B">
        <w:rPr>
          <w:rFonts w:ascii="Arial" w:hAnsi="Arial" w:cs="Arial"/>
          <w:sz w:val="20"/>
          <w:szCs w:val="20"/>
        </w:rPr>
        <w:t xml:space="preserve">. </w:t>
      </w:r>
      <w:r w:rsidRPr="002C718B">
        <w:rPr>
          <w:rFonts w:ascii="Arial" w:hAnsi="Arial" w:cs="Arial"/>
          <w:color w:val="0F1115"/>
          <w:sz w:val="20"/>
          <w:szCs w:val="20"/>
          <w:shd w:val="clear" w:color="auto" w:fill="FFFFFF"/>
        </w:rPr>
        <w:t xml:space="preserve">Variant calling for single-nucleotide polymorphisms (SNPs) and indels was conducted with </w:t>
      </w:r>
      <w:proofErr w:type="spellStart"/>
      <w:r w:rsidRPr="002C718B">
        <w:rPr>
          <w:rFonts w:ascii="Arial" w:hAnsi="Arial" w:cs="Arial"/>
          <w:color w:val="0F1115"/>
          <w:sz w:val="20"/>
          <w:szCs w:val="20"/>
          <w:shd w:val="clear" w:color="auto" w:fill="FFFFFF"/>
        </w:rPr>
        <w:t>HaplotypeCaller</w:t>
      </w:r>
      <w:proofErr w:type="spellEnd"/>
      <w:r w:rsidRPr="002C718B">
        <w:rPr>
          <w:rFonts w:ascii="Arial" w:hAnsi="Arial" w:cs="Arial"/>
          <w:color w:val="0F1115"/>
          <w:sz w:val="20"/>
          <w:szCs w:val="20"/>
          <w:shd w:val="clear" w:color="auto" w:fill="FFFFFF"/>
        </w:rPr>
        <w:t>/</w:t>
      </w:r>
      <w:proofErr w:type="spellStart"/>
      <w:r w:rsidRPr="002C718B">
        <w:rPr>
          <w:rFonts w:ascii="Arial" w:hAnsi="Arial" w:cs="Arial"/>
          <w:color w:val="0F1115"/>
          <w:sz w:val="20"/>
          <w:szCs w:val="20"/>
          <w:shd w:val="clear" w:color="auto" w:fill="FFFFFF"/>
        </w:rPr>
        <w:t>UnifiedGenotyper</w:t>
      </w:r>
      <w:proofErr w:type="spellEnd"/>
      <w:r w:rsidRPr="002C718B">
        <w:rPr>
          <w:rFonts w:ascii="Arial" w:hAnsi="Arial" w:cs="Arial"/>
          <w:color w:val="0F1115"/>
          <w:sz w:val="20"/>
          <w:szCs w:val="20"/>
          <w:shd w:val="clear" w:color="auto" w:fill="FFFFFF"/>
        </w:rPr>
        <w:t xml:space="preserve"> in GATK and VarScan2, applying a minimum of three </w:t>
      </w:r>
      <w:r w:rsidRPr="002C718B">
        <w:rPr>
          <w:rFonts w:ascii="Arial" w:hAnsi="Arial" w:cs="Arial"/>
          <w:color w:val="0F1115"/>
          <w:sz w:val="20"/>
          <w:szCs w:val="20"/>
          <w:shd w:val="clear" w:color="auto" w:fill="FFFFFF"/>
        </w:rPr>
        <w:lastRenderedPageBreak/>
        <w:t xml:space="preserve">variant-supporting reads and a mutant allele frequency (MAF) threshold of 0.5%. Common polymorphisms were filtered against </w:t>
      </w:r>
      <w:proofErr w:type="spellStart"/>
      <w:r w:rsidRPr="002C718B">
        <w:rPr>
          <w:rFonts w:ascii="Arial" w:hAnsi="Arial" w:cs="Arial"/>
          <w:color w:val="0F1115"/>
          <w:sz w:val="20"/>
          <w:szCs w:val="20"/>
          <w:shd w:val="clear" w:color="auto" w:fill="FFFFFF"/>
        </w:rPr>
        <w:t>dbSNP</w:t>
      </w:r>
      <w:proofErr w:type="spellEnd"/>
      <w:r w:rsidRPr="002C718B">
        <w:rPr>
          <w:rFonts w:ascii="Arial" w:hAnsi="Arial" w:cs="Arial"/>
          <w:color w:val="0F1115"/>
          <w:sz w:val="20"/>
          <w:szCs w:val="20"/>
          <w:shd w:val="clear" w:color="auto" w:fill="FFFFFF"/>
        </w:rPr>
        <w:t xml:space="preserve"> and the 1000 Genomes Project. Germline variants were excluded by comparison with matched whole-blood controls. An in-house database of recurrent sequencing artifacts, derived from &gt;10,000 healthy individuals sequenced on the same platform, was used to further filter somatic calls. Gene fusions were identified using FACTERA, and copy number variations (CNVs) were analyzed with </w:t>
      </w:r>
      <w:proofErr w:type="spellStart"/>
      <w:r w:rsidRPr="002C718B">
        <w:rPr>
          <w:rFonts w:ascii="Arial" w:hAnsi="Arial" w:cs="Arial"/>
          <w:color w:val="0F1115"/>
          <w:sz w:val="20"/>
          <w:szCs w:val="20"/>
          <w:shd w:val="clear" w:color="auto" w:fill="FFFFFF"/>
        </w:rPr>
        <w:t>ADTEx</w:t>
      </w:r>
      <w:proofErr w:type="spellEnd"/>
      <w:r w:rsidR="00201358" w:rsidRPr="002C718B">
        <w:rPr>
          <w:rFonts w:ascii="Arial" w:hAnsi="Arial" w:cs="Arial"/>
          <w:sz w:val="20"/>
          <w:szCs w:val="20"/>
        </w:rPr>
        <w:t>.</w:t>
      </w:r>
      <w:r w:rsidRPr="002C718B">
        <w:rPr>
          <w:rFonts w:ascii="Arial" w:hAnsi="Arial" w:cs="Arial"/>
          <w:color w:val="0F1115"/>
          <w:sz w:val="20"/>
          <w:szCs w:val="20"/>
          <w:shd w:val="clear" w:color="auto" w:fill="FFFFFF"/>
        </w:rPr>
        <w:t xml:space="preserve"> A log</w:t>
      </w:r>
      <w:r w:rsidRPr="002C718B">
        <w:rPr>
          <w:rFonts w:ascii="Cambria Math" w:hAnsi="Cambria Math" w:cs="Cambria Math"/>
          <w:color w:val="0F1115"/>
          <w:sz w:val="20"/>
          <w:szCs w:val="20"/>
          <w:shd w:val="clear" w:color="auto" w:fill="FFFFFF"/>
        </w:rPr>
        <w:t>₂</w:t>
      </w:r>
      <w:r w:rsidRPr="002C718B">
        <w:rPr>
          <w:rFonts w:ascii="Arial" w:hAnsi="Arial" w:cs="Arial"/>
          <w:color w:val="0F1115"/>
          <w:sz w:val="20"/>
          <w:szCs w:val="20"/>
          <w:shd w:val="clear" w:color="auto" w:fill="FFFFFF"/>
        </w:rPr>
        <w:t xml:space="preserve"> ratio threshold of 2.0 was applied for copy number gains in tissue samples, while a threshold of 0.67 was used for losses in all samples; these thresholds were validated by droplet digital PCR (</w:t>
      </w:r>
      <w:proofErr w:type="spellStart"/>
      <w:r w:rsidRPr="002C718B">
        <w:rPr>
          <w:rFonts w:ascii="Arial" w:hAnsi="Arial" w:cs="Arial"/>
          <w:color w:val="0F1115"/>
          <w:sz w:val="20"/>
          <w:szCs w:val="20"/>
          <w:shd w:val="clear" w:color="auto" w:fill="FFFFFF"/>
        </w:rPr>
        <w:t>ddPCR</w:t>
      </w:r>
      <w:proofErr w:type="spellEnd"/>
      <w:r w:rsidRPr="002C718B">
        <w:rPr>
          <w:rFonts w:ascii="Arial" w:hAnsi="Arial" w:cs="Arial"/>
          <w:color w:val="0F1115"/>
          <w:sz w:val="20"/>
          <w:szCs w:val="20"/>
          <w:shd w:val="clear" w:color="auto" w:fill="FFFFFF"/>
        </w:rPr>
        <w:t>)–based absolute copy number detection. Allele-specific CNV analysis was performed using FACETS</w:t>
      </w:r>
      <w:r w:rsidR="001A14C4" w:rsidRPr="002C718B">
        <w:rPr>
          <w:rFonts w:ascii="Arial" w:hAnsi="Arial" w:cs="Arial"/>
          <w:color w:val="0F1115"/>
          <w:sz w:val="20"/>
          <w:szCs w:val="20"/>
          <w:shd w:val="clear" w:color="auto" w:fill="FFFFFF"/>
        </w:rPr>
        <w:t>, and segments with a drift threshold &gt; 0.2 were classified as unstable. Chromosomal instability (CIN) proportion was calculated as the total length of drifted segments divided by the total genome segment length.</w:t>
      </w:r>
    </w:p>
    <w:p w14:paraId="5960A984" w14:textId="77777777" w:rsidR="00075671" w:rsidRDefault="00075671" w:rsidP="004E660E">
      <w:pPr>
        <w:spacing w:line="480" w:lineRule="auto"/>
        <w:jc w:val="left"/>
        <w:rPr>
          <w:rFonts w:ascii="Arial" w:hAnsi="Arial" w:cs="Arial"/>
          <w:color w:val="0F1115"/>
          <w:sz w:val="20"/>
          <w:szCs w:val="20"/>
          <w:shd w:val="clear" w:color="auto" w:fill="FFFFFF"/>
        </w:rPr>
      </w:pPr>
    </w:p>
    <w:p w14:paraId="3C47F9A5" w14:textId="77777777" w:rsidR="00075671" w:rsidRPr="00B7308A" w:rsidRDefault="00075671" w:rsidP="004E660E">
      <w:pPr>
        <w:spacing w:line="480" w:lineRule="auto"/>
        <w:jc w:val="left"/>
        <w:rPr>
          <w:b/>
        </w:rPr>
      </w:pPr>
      <w:r w:rsidRPr="00B7308A">
        <w:rPr>
          <w:b/>
        </w:rPr>
        <w:t>References</w:t>
      </w:r>
    </w:p>
    <w:p w14:paraId="0B62B54F" w14:textId="16C80398" w:rsidR="00CD31D1" w:rsidRDefault="00CD31D1" w:rsidP="004E660E">
      <w:pPr>
        <w:spacing w:line="480" w:lineRule="auto"/>
        <w:jc w:val="left"/>
        <w:rPr>
          <w:rFonts w:ascii="Arial" w:hAnsi="Arial" w:cs="Arial"/>
        </w:rPr>
      </w:pPr>
      <w:r w:rsidRPr="00CD31D1">
        <w:rPr>
          <w:rFonts w:ascii="Arial" w:hAnsi="Arial" w:cs="Arial"/>
        </w:rPr>
        <w:t>1.</w:t>
      </w:r>
      <w:r>
        <w:rPr>
          <w:rFonts w:ascii="Arial" w:hAnsi="Arial" w:cs="Arial"/>
        </w:rPr>
        <w:t xml:space="preserve"> </w:t>
      </w:r>
      <w:r w:rsidRPr="00CD31D1">
        <w:rPr>
          <w:rFonts w:ascii="Arial" w:hAnsi="Arial" w:cs="Arial"/>
        </w:rPr>
        <w:t>Shen Y, Zhao L, Li A, Peng Q, Liu Q, Wang L, Liu Z.</w:t>
      </w:r>
      <w:r>
        <w:rPr>
          <w:rFonts w:ascii="Arial" w:hAnsi="Arial" w:cs="Arial"/>
        </w:rPr>
        <w:t xml:space="preserve"> </w:t>
      </w:r>
      <w:r w:rsidRPr="00CD31D1">
        <w:rPr>
          <w:rFonts w:ascii="Arial" w:hAnsi="Arial" w:cs="Arial"/>
        </w:rPr>
        <w:t>Rare myxoid pleomorphic liposarcoma: a case report and literature review.</w:t>
      </w:r>
      <w:r>
        <w:rPr>
          <w:rFonts w:ascii="Arial" w:hAnsi="Arial" w:cs="Arial"/>
        </w:rPr>
        <w:t xml:space="preserve"> </w:t>
      </w:r>
      <w:r w:rsidRPr="00CD31D1">
        <w:rPr>
          <w:rFonts w:ascii="Arial" w:hAnsi="Arial" w:cs="Arial"/>
          <w:i/>
          <w:iCs/>
        </w:rPr>
        <w:t xml:space="preserve">J Clin </w:t>
      </w:r>
      <w:proofErr w:type="spellStart"/>
      <w:r w:rsidRPr="00CD31D1">
        <w:rPr>
          <w:rFonts w:ascii="Arial" w:hAnsi="Arial" w:cs="Arial"/>
          <w:i/>
          <w:iCs/>
        </w:rPr>
        <w:t>Pathol</w:t>
      </w:r>
      <w:proofErr w:type="spellEnd"/>
      <w:r>
        <w:rPr>
          <w:rFonts w:ascii="Arial" w:hAnsi="Arial" w:cs="Arial"/>
        </w:rPr>
        <w:t xml:space="preserve"> </w:t>
      </w:r>
      <w:r w:rsidRPr="00CD31D1">
        <w:rPr>
          <w:rFonts w:ascii="Arial" w:hAnsi="Arial" w:cs="Arial"/>
          <w:b/>
          <w:bCs/>
        </w:rPr>
        <w:t>77</w:t>
      </w:r>
      <w:r>
        <w:rPr>
          <w:rFonts w:ascii="Arial" w:hAnsi="Arial" w:cs="Arial"/>
        </w:rPr>
        <w:t xml:space="preserve">, </w:t>
      </w:r>
      <w:r w:rsidRPr="00CD31D1">
        <w:rPr>
          <w:rFonts w:ascii="Arial" w:hAnsi="Arial" w:cs="Arial"/>
        </w:rPr>
        <w:t>358-362</w:t>
      </w:r>
      <w:r>
        <w:rPr>
          <w:rFonts w:ascii="Arial" w:hAnsi="Arial" w:cs="Arial"/>
        </w:rPr>
        <w:t xml:space="preserve"> (</w:t>
      </w:r>
      <w:r w:rsidRPr="00CD31D1">
        <w:rPr>
          <w:rFonts w:ascii="Arial" w:hAnsi="Arial" w:cs="Arial"/>
        </w:rPr>
        <w:t>2024</w:t>
      </w:r>
      <w:r>
        <w:rPr>
          <w:rFonts w:ascii="Arial" w:hAnsi="Arial" w:cs="Arial"/>
        </w:rPr>
        <w:t>)</w:t>
      </w:r>
      <w:r w:rsidRPr="00CD31D1">
        <w:rPr>
          <w:rFonts w:ascii="Arial" w:hAnsi="Arial" w:cs="Arial"/>
        </w:rPr>
        <w:t>.</w:t>
      </w:r>
    </w:p>
    <w:p w14:paraId="673747A4" w14:textId="447AE146" w:rsidR="00C40614" w:rsidRPr="007D4F94" w:rsidRDefault="00CD31D1" w:rsidP="004E660E">
      <w:pPr>
        <w:spacing w:line="480" w:lineRule="auto"/>
        <w:jc w:val="left"/>
        <w:rPr>
          <w:rFonts w:ascii="Arial" w:hAnsi="Arial" w:cs="Arial"/>
        </w:rPr>
      </w:pPr>
      <w:r w:rsidRPr="00CD31D1">
        <w:rPr>
          <w:rFonts w:ascii="Arial" w:hAnsi="Arial" w:cs="Arial"/>
        </w:rPr>
        <w:t>https://doi: 10.1136/jcp-2023-209223.</w:t>
      </w:r>
      <w:r w:rsidR="00201358" w:rsidRPr="002C718B">
        <w:rPr>
          <w:rFonts w:ascii="Arial" w:hAnsi="Arial" w:cs="Arial"/>
          <w:b/>
          <w:sz w:val="20"/>
          <w:szCs w:val="20"/>
        </w:rPr>
        <w:br w:type="page"/>
      </w:r>
    </w:p>
    <w:p w14:paraId="3863EC69" w14:textId="77777777" w:rsidR="00C40614" w:rsidRPr="002C718B" w:rsidRDefault="00201358" w:rsidP="004E660E">
      <w:pPr>
        <w:spacing w:line="480" w:lineRule="auto"/>
        <w:jc w:val="left"/>
        <w:rPr>
          <w:rFonts w:ascii="Arial" w:hAnsi="Arial" w:cs="Arial"/>
          <w:b/>
          <w:sz w:val="20"/>
          <w:szCs w:val="20"/>
        </w:rPr>
      </w:pPr>
      <w:r w:rsidRPr="002C718B">
        <w:rPr>
          <w:rFonts w:ascii="Arial" w:hAnsi="Arial" w:cs="Arial"/>
          <w:b/>
          <w:sz w:val="20"/>
          <w:szCs w:val="20"/>
        </w:rPr>
        <w:lastRenderedPageBreak/>
        <w:t>Supplementary Figure Legends</w:t>
      </w:r>
    </w:p>
    <w:p w14:paraId="0FCCDFBA" w14:textId="27452D67" w:rsidR="00C40614" w:rsidRPr="002C718B" w:rsidRDefault="00201358" w:rsidP="004E660E">
      <w:pPr>
        <w:spacing w:line="480" w:lineRule="auto"/>
        <w:jc w:val="left"/>
        <w:rPr>
          <w:rFonts w:ascii="Arial" w:hAnsi="Arial" w:cs="Arial"/>
          <w:b/>
          <w:bCs/>
          <w:sz w:val="20"/>
          <w:szCs w:val="20"/>
        </w:rPr>
      </w:pPr>
      <w:bookmarkStart w:id="2" w:name="OLE_LINK68"/>
      <w:r w:rsidRPr="002C718B">
        <w:rPr>
          <w:rFonts w:ascii="Arial" w:eastAsia="Cambria" w:hAnsi="Arial" w:cs="Arial"/>
          <w:b/>
          <w:bCs/>
          <w:color w:val="1B1B1B"/>
          <w:sz w:val="20"/>
          <w:szCs w:val="20"/>
          <w:shd w:val="clear" w:color="auto" w:fill="FFFFFF"/>
        </w:rPr>
        <w:t>Figure S1</w:t>
      </w:r>
      <w:r w:rsidRPr="002C718B">
        <w:rPr>
          <w:rFonts w:ascii="Arial" w:hAnsi="Arial" w:cs="Arial"/>
          <w:b/>
          <w:bCs/>
          <w:sz w:val="20"/>
          <w:szCs w:val="20"/>
        </w:rPr>
        <w:t xml:space="preserve">. </w:t>
      </w:r>
      <w:r w:rsidR="000971BE" w:rsidRPr="002C718B">
        <w:rPr>
          <w:rStyle w:val="Strong"/>
          <w:rFonts w:ascii="Arial" w:hAnsi="Arial" w:cs="Arial"/>
          <w:color w:val="0F1115"/>
          <w:sz w:val="20"/>
          <w:szCs w:val="20"/>
          <w:shd w:val="clear" w:color="auto" w:fill="FFFFFF"/>
        </w:rPr>
        <w:t>Transcriptional profiling of A204 cells treated with LBH589 and/or OTX015.</w:t>
      </w:r>
      <w:r w:rsidR="000971BE" w:rsidRPr="002C718B">
        <w:rPr>
          <w:rFonts w:ascii="Arial" w:hAnsi="Arial" w:cs="Arial"/>
          <w:color w:val="0F1115"/>
          <w:sz w:val="20"/>
          <w:szCs w:val="20"/>
        </w:rPr>
        <w:br/>
      </w:r>
      <w:r w:rsidR="000971BE" w:rsidRPr="002C718B">
        <w:rPr>
          <w:rStyle w:val="Strong"/>
          <w:rFonts w:ascii="Arial" w:hAnsi="Arial" w:cs="Arial"/>
          <w:color w:val="0F1115"/>
          <w:sz w:val="20"/>
          <w:szCs w:val="20"/>
          <w:shd w:val="clear" w:color="auto" w:fill="FFFFFF"/>
        </w:rPr>
        <w:t>(A)</w:t>
      </w:r>
      <w:r w:rsidR="000971BE" w:rsidRPr="002C718B">
        <w:rPr>
          <w:rFonts w:ascii="Arial" w:hAnsi="Arial" w:cs="Arial"/>
          <w:color w:val="0F1115"/>
          <w:sz w:val="20"/>
          <w:szCs w:val="20"/>
          <w:shd w:val="clear" w:color="auto" w:fill="FFFFFF"/>
        </w:rPr>
        <w:t> Principal component analysis (PCA) of RNA</w:t>
      </w:r>
      <w:r w:rsidR="000971BE" w:rsidRPr="002C718B">
        <w:rPr>
          <w:rFonts w:ascii="Arial" w:hAnsi="Arial" w:cs="Arial"/>
          <w:color w:val="0F1115"/>
          <w:sz w:val="20"/>
          <w:szCs w:val="20"/>
          <w:shd w:val="clear" w:color="auto" w:fill="FFFFFF"/>
        </w:rPr>
        <w:noBreakHyphen/>
        <w:t xml:space="preserve">sequencing data from A204 cells treated for 16 h with DMSO (control), LBH589, OTX015, or the combination of both drugs. Each condition includes three biological replicates. </w:t>
      </w:r>
      <w:r w:rsidR="000971BE" w:rsidRPr="002C718B">
        <w:rPr>
          <w:rStyle w:val="Strong"/>
          <w:rFonts w:ascii="Arial" w:hAnsi="Arial" w:cs="Arial"/>
          <w:color w:val="0F1115"/>
          <w:sz w:val="20"/>
          <w:szCs w:val="20"/>
          <w:shd w:val="clear" w:color="auto" w:fill="FFFFFF"/>
        </w:rPr>
        <w:t>(B)</w:t>
      </w:r>
      <w:r w:rsidR="000971BE" w:rsidRPr="002C718B">
        <w:rPr>
          <w:rFonts w:ascii="Arial" w:hAnsi="Arial" w:cs="Arial"/>
          <w:color w:val="0F1115"/>
          <w:sz w:val="20"/>
          <w:szCs w:val="20"/>
          <w:shd w:val="clear" w:color="auto" w:fill="FFFFFF"/>
        </w:rPr>
        <w:t> Volcano plots showing differentially expressed genes after treatment with LBH589 (left), OTX015 (middle), or the combination (right), compared to the DMSO control. Grey dots denote transcripts without significant change; red and blue dots indicate up</w:t>
      </w:r>
      <w:r w:rsidR="000971BE" w:rsidRPr="002C718B">
        <w:rPr>
          <w:rFonts w:ascii="Arial" w:hAnsi="Arial" w:cs="Arial"/>
          <w:color w:val="0F1115"/>
          <w:sz w:val="20"/>
          <w:szCs w:val="20"/>
          <w:shd w:val="clear" w:color="auto" w:fill="FFFFFF"/>
        </w:rPr>
        <w:noBreakHyphen/>
        <w:t>regulated and down</w:t>
      </w:r>
      <w:r w:rsidR="000971BE" w:rsidRPr="002C718B">
        <w:rPr>
          <w:rFonts w:ascii="Arial" w:hAnsi="Arial" w:cs="Arial"/>
          <w:color w:val="0F1115"/>
          <w:sz w:val="20"/>
          <w:szCs w:val="20"/>
          <w:shd w:val="clear" w:color="auto" w:fill="FFFFFF"/>
        </w:rPr>
        <w:noBreakHyphen/>
        <w:t xml:space="preserve">regulated transcripts, respectively. </w:t>
      </w:r>
      <w:r w:rsidR="000971BE" w:rsidRPr="002C718B">
        <w:rPr>
          <w:rStyle w:val="Strong"/>
          <w:rFonts w:ascii="Arial" w:hAnsi="Arial" w:cs="Arial"/>
          <w:color w:val="0F1115"/>
          <w:sz w:val="20"/>
          <w:szCs w:val="20"/>
          <w:shd w:val="clear" w:color="auto" w:fill="FFFFFF"/>
        </w:rPr>
        <w:t>(C)</w:t>
      </w:r>
      <w:r w:rsidR="000971BE" w:rsidRPr="002C718B">
        <w:rPr>
          <w:rFonts w:ascii="Arial" w:hAnsi="Arial" w:cs="Arial"/>
          <w:color w:val="0F1115"/>
          <w:sz w:val="20"/>
          <w:szCs w:val="20"/>
          <w:shd w:val="clear" w:color="auto" w:fill="FFFFFF"/>
        </w:rPr>
        <w:t xml:space="preserve"> Venn diagram illustrating the overlap of differentially expressed genes across the three treatment conditions. </w:t>
      </w:r>
      <w:r w:rsidR="000971BE" w:rsidRPr="002C718B">
        <w:rPr>
          <w:rStyle w:val="Strong"/>
          <w:rFonts w:ascii="Arial" w:hAnsi="Arial" w:cs="Arial"/>
          <w:color w:val="0F1115"/>
          <w:sz w:val="20"/>
          <w:szCs w:val="20"/>
          <w:shd w:val="clear" w:color="auto" w:fill="FFFFFF"/>
        </w:rPr>
        <w:t>(D, E)</w:t>
      </w:r>
      <w:r w:rsidR="000971BE" w:rsidRPr="002C718B">
        <w:rPr>
          <w:rFonts w:ascii="Arial" w:hAnsi="Arial" w:cs="Arial"/>
          <w:color w:val="0F1115"/>
          <w:sz w:val="20"/>
          <w:szCs w:val="20"/>
          <w:shd w:val="clear" w:color="auto" w:fill="FFFFFF"/>
        </w:rPr>
        <w:t> Heatmaps displaying differentially expressed genes associated with the S</w:t>
      </w:r>
      <w:r w:rsidR="000971BE" w:rsidRPr="002C718B">
        <w:rPr>
          <w:rFonts w:ascii="Arial" w:hAnsi="Arial" w:cs="Arial"/>
          <w:color w:val="0F1115"/>
          <w:sz w:val="20"/>
          <w:szCs w:val="20"/>
          <w:shd w:val="clear" w:color="auto" w:fill="FFFFFF"/>
        </w:rPr>
        <w:noBreakHyphen/>
        <w:t>phase </w:t>
      </w:r>
      <w:r w:rsidR="000971BE" w:rsidRPr="002C718B">
        <w:rPr>
          <w:rStyle w:val="Strong"/>
          <w:rFonts w:ascii="Arial" w:hAnsi="Arial" w:cs="Arial"/>
          <w:color w:val="0F1115"/>
          <w:sz w:val="20"/>
          <w:szCs w:val="20"/>
          <w:shd w:val="clear" w:color="auto" w:fill="FFFFFF"/>
        </w:rPr>
        <w:t>(D)</w:t>
      </w:r>
      <w:r w:rsidR="000971BE" w:rsidRPr="002C718B">
        <w:rPr>
          <w:rFonts w:ascii="Arial" w:hAnsi="Arial" w:cs="Arial"/>
          <w:color w:val="0F1115"/>
          <w:sz w:val="20"/>
          <w:szCs w:val="20"/>
          <w:shd w:val="clear" w:color="auto" w:fill="FFFFFF"/>
        </w:rPr>
        <w:t> and G</w:t>
      </w:r>
      <w:r w:rsidR="000971BE" w:rsidRPr="002C718B">
        <w:rPr>
          <w:rFonts w:ascii="Cambria Math" w:hAnsi="Cambria Math" w:cs="Cambria Math"/>
          <w:color w:val="0F1115"/>
          <w:sz w:val="20"/>
          <w:szCs w:val="20"/>
          <w:shd w:val="clear" w:color="auto" w:fill="FFFFFF"/>
        </w:rPr>
        <w:t>₂</w:t>
      </w:r>
      <w:r w:rsidR="000971BE" w:rsidRPr="002C718B">
        <w:rPr>
          <w:rFonts w:ascii="Arial" w:hAnsi="Arial" w:cs="Arial"/>
          <w:color w:val="0F1115"/>
          <w:sz w:val="20"/>
          <w:szCs w:val="20"/>
          <w:shd w:val="clear" w:color="auto" w:fill="FFFFFF"/>
        </w:rPr>
        <w:t>/M</w:t>
      </w:r>
      <w:r w:rsidR="000971BE" w:rsidRPr="002C718B">
        <w:rPr>
          <w:rFonts w:ascii="Arial" w:hAnsi="Arial" w:cs="Arial"/>
          <w:color w:val="0F1115"/>
          <w:sz w:val="20"/>
          <w:szCs w:val="20"/>
          <w:shd w:val="clear" w:color="auto" w:fill="FFFFFF"/>
        </w:rPr>
        <w:noBreakHyphen/>
        <w:t>phase </w:t>
      </w:r>
      <w:r w:rsidR="000971BE" w:rsidRPr="002C718B">
        <w:rPr>
          <w:rStyle w:val="Strong"/>
          <w:rFonts w:ascii="Arial" w:hAnsi="Arial" w:cs="Arial"/>
          <w:color w:val="0F1115"/>
          <w:sz w:val="20"/>
          <w:szCs w:val="20"/>
          <w:shd w:val="clear" w:color="auto" w:fill="FFFFFF"/>
        </w:rPr>
        <w:t>(E)</w:t>
      </w:r>
      <w:r w:rsidR="000971BE" w:rsidRPr="002C718B">
        <w:rPr>
          <w:rFonts w:ascii="Arial" w:hAnsi="Arial" w:cs="Arial"/>
          <w:color w:val="0F1115"/>
          <w:sz w:val="20"/>
          <w:szCs w:val="20"/>
          <w:shd w:val="clear" w:color="auto" w:fill="FFFFFF"/>
        </w:rPr>
        <w:t> of the cell cycle.</w:t>
      </w:r>
    </w:p>
    <w:bookmarkEnd w:id="2"/>
    <w:p w14:paraId="30F0E7DB" w14:textId="77777777" w:rsidR="00C40614" w:rsidRPr="002C718B" w:rsidRDefault="00C40614" w:rsidP="004E660E">
      <w:pPr>
        <w:spacing w:line="480" w:lineRule="auto"/>
        <w:jc w:val="left"/>
        <w:rPr>
          <w:rFonts w:ascii="Arial" w:hAnsi="Arial" w:cs="Arial"/>
          <w:b/>
          <w:bCs/>
          <w:sz w:val="20"/>
          <w:szCs w:val="20"/>
        </w:rPr>
      </w:pPr>
    </w:p>
    <w:p w14:paraId="57A95D9A" w14:textId="77777777" w:rsidR="002C718B" w:rsidRPr="002C718B" w:rsidRDefault="00201358" w:rsidP="004E660E">
      <w:pPr>
        <w:spacing w:line="480" w:lineRule="auto"/>
        <w:jc w:val="left"/>
        <w:rPr>
          <w:rStyle w:val="Strong"/>
          <w:rFonts w:ascii="Arial" w:hAnsi="Arial" w:cs="Arial"/>
          <w:color w:val="0F1115"/>
          <w:sz w:val="20"/>
          <w:szCs w:val="20"/>
          <w:shd w:val="clear" w:color="auto" w:fill="FFFFFF"/>
        </w:rPr>
      </w:pPr>
      <w:r w:rsidRPr="002C718B">
        <w:rPr>
          <w:rFonts w:ascii="Arial" w:eastAsia="Cambria" w:hAnsi="Arial" w:cs="Arial"/>
          <w:b/>
          <w:bCs/>
          <w:color w:val="1B1B1B"/>
          <w:sz w:val="20"/>
          <w:szCs w:val="20"/>
          <w:shd w:val="clear" w:color="auto" w:fill="FFFFFF"/>
        </w:rPr>
        <w:t>Figure S</w:t>
      </w:r>
      <w:r w:rsidRPr="002C718B">
        <w:rPr>
          <w:rFonts w:ascii="Arial" w:hAnsi="Arial" w:cs="Arial"/>
          <w:b/>
          <w:bCs/>
          <w:sz w:val="20"/>
          <w:szCs w:val="20"/>
        </w:rPr>
        <w:t xml:space="preserve">2. </w:t>
      </w:r>
      <w:r w:rsidR="002C718B" w:rsidRPr="002C718B">
        <w:rPr>
          <w:rStyle w:val="Strong"/>
          <w:rFonts w:ascii="Arial" w:hAnsi="Arial" w:cs="Arial"/>
          <w:color w:val="0F1115"/>
          <w:sz w:val="20"/>
          <w:szCs w:val="20"/>
          <w:shd w:val="clear" w:color="auto" w:fill="FFFFFF"/>
        </w:rPr>
        <w:t>Transcriptional response of G401 cells to LBH589 or OTX015 treatment.</w:t>
      </w:r>
    </w:p>
    <w:p w14:paraId="6EC168E4" w14:textId="7DB303E5" w:rsidR="00C40614" w:rsidRPr="002C718B" w:rsidRDefault="002C718B" w:rsidP="004E660E">
      <w:pPr>
        <w:spacing w:line="480" w:lineRule="auto"/>
        <w:jc w:val="left"/>
        <w:rPr>
          <w:rFonts w:ascii="Arial" w:hAnsi="Arial" w:cs="Arial"/>
          <w:color w:val="0F1115"/>
          <w:sz w:val="20"/>
          <w:szCs w:val="20"/>
          <w:shd w:val="clear" w:color="auto" w:fill="FFFFFF"/>
        </w:rPr>
      </w:pPr>
      <w:r w:rsidRPr="002C718B">
        <w:rPr>
          <w:rStyle w:val="Strong"/>
          <w:rFonts w:ascii="Arial" w:hAnsi="Arial" w:cs="Arial"/>
          <w:color w:val="0F1115"/>
          <w:sz w:val="20"/>
          <w:szCs w:val="20"/>
          <w:shd w:val="clear" w:color="auto" w:fill="FFFFFF"/>
        </w:rPr>
        <w:t>(A)</w:t>
      </w:r>
      <w:r w:rsidRPr="002C718B">
        <w:rPr>
          <w:rFonts w:ascii="Arial" w:hAnsi="Arial" w:cs="Arial"/>
          <w:color w:val="0F1115"/>
          <w:sz w:val="20"/>
          <w:szCs w:val="20"/>
          <w:shd w:val="clear" w:color="auto" w:fill="FFFFFF"/>
        </w:rPr>
        <w:t> Principal component analysis (PCA) of RNA</w:t>
      </w:r>
      <w:r w:rsidRPr="002C718B">
        <w:rPr>
          <w:rFonts w:ascii="Arial" w:hAnsi="Arial" w:cs="Arial"/>
          <w:color w:val="0F1115"/>
          <w:sz w:val="20"/>
          <w:szCs w:val="20"/>
          <w:shd w:val="clear" w:color="auto" w:fill="FFFFFF"/>
        </w:rPr>
        <w:noBreakHyphen/>
        <w:t xml:space="preserve">sequencing data from G401 cells treated for 16 h with DMSO (control), LBH589, or OTX015. Three biological replicates were included per condition. </w:t>
      </w:r>
      <w:r w:rsidRPr="002C718B">
        <w:rPr>
          <w:rStyle w:val="Strong"/>
          <w:rFonts w:ascii="Arial" w:hAnsi="Arial" w:cs="Arial"/>
          <w:color w:val="0F1115"/>
          <w:sz w:val="20"/>
          <w:szCs w:val="20"/>
          <w:shd w:val="clear" w:color="auto" w:fill="FFFFFF"/>
        </w:rPr>
        <w:t>(B)</w:t>
      </w:r>
      <w:r w:rsidRPr="002C718B">
        <w:rPr>
          <w:rFonts w:ascii="Arial" w:hAnsi="Arial" w:cs="Arial"/>
          <w:color w:val="0F1115"/>
          <w:sz w:val="20"/>
          <w:szCs w:val="20"/>
          <w:shd w:val="clear" w:color="auto" w:fill="FFFFFF"/>
        </w:rPr>
        <w:t> Volcano plots showing differentially expressed genes after treatment with LBH589 (left) or OTX015 (right) relative to the DMSO control. Grey dots indicate transcripts without significant change; red and blue dots denote up</w:t>
      </w:r>
      <w:r w:rsidRPr="002C718B">
        <w:rPr>
          <w:rFonts w:ascii="Arial" w:hAnsi="Arial" w:cs="Arial"/>
          <w:color w:val="0F1115"/>
          <w:sz w:val="20"/>
          <w:szCs w:val="20"/>
          <w:shd w:val="clear" w:color="auto" w:fill="FFFFFF"/>
        </w:rPr>
        <w:noBreakHyphen/>
        <w:t>regulated and down</w:t>
      </w:r>
      <w:r w:rsidRPr="002C718B">
        <w:rPr>
          <w:rFonts w:ascii="Arial" w:hAnsi="Arial" w:cs="Arial"/>
          <w:color w:val="0F1115"/>
          <w:sz w:val="20"/>
          <w:szCs w:val="20"/>
          <w:shd w:val="clear" w:color="auto" w:fill="FFFFFF"/>
        </w:rPr>
        <w:noBreakHyphen/>
        <w:t xml:space="preserve">regulated transcripts, respectively. </w:t>
      </w:r>
      <w:r w:rsidRPr="002C718B">
        <w:rPr>
          <w:rStyle w:val="Strong"/>
          <w:rFonts w:ascii="Arial" w:hAnsi="Arial" w:cs="Arial"/>
          <w:color w:val="0F1115"/>
          <w:sz w:val="20"/>
          <w:szCs w:val="20"/>
          <w:shd w:val="clear" w:color="auto" w:fill="FFFFFF"/>
        </w:rPr>
        <w:t>(C)</w:t>
      </w:r>
      <w:r w:rsidRPr="002C718B">
        <w:rPr>
          <w:rFonts w:ascii="Arial" w:hAnsi="Arial" w:cs="Arial"/>
          <w:color w:val="0F1115"/>
          <w:sz w:val="20"/>
          <w:szCs w:val="20"/>
          <w:shd w:val="clear" w:color="auto" w:fill="FFFFFF"/>
        </w:rPr>
        <w:t xml:space="preserve"> Venn diagram comparing differentially expressed genes between LBH589 and OTX015 treatments. </w:t>
      </w:r>
      <w:r w:rsidRPr="002C718B">
        <w:rPr>
          <w:rStyle w:val="Strong"/>
          <w:rFonts w:ascii="Arial" w:hAnsi="Arial" w:cs="Arial"/>
          <w:color w:val="0F1115"/>
          <w:sz w:val="20"/>
          <w:szCs w:val="20"/>
          <w:shd w:val="clear" w:color="auto" w:fill="FFFFFF"/>
        </w:rPr>
        <w:t>(D, E)</w:t>
      </w:r>
      <w:r w:rsidRPr="002C718B">
        <w:rPr>
          <w:rFonts w:ascii="Arial" w:hAnsi="Arial" w:cs="Arial"/>
          <w:color w:val="0F1115"/>
          <w:sz w:val="20"/>
          <w:szCs w:val="20"/>
          <w:shd w:val="clear" w:color="auto" w:fill="FFFFFF"/>
        </w:rPr>
        <w:t> Gene set enrichment pathway analysis of significantly down</w:t>
      </w:r>
      <w:r w:rsidRPr="002C718B">
        <w:rPr>
          <w:rFonts w:ascii="Arial" w:hAnsi="Arial" w:cs="Arial"/>
          <w:color w:val="0F1115"/>
          <w:sz w:val="20"/>
          <w:szCs w:val="20"/>
          <w:shd w:val="clear" w:color="auto" w:fill="FFFFFF"/>
        </w:rPr>
        <w:noBreakHyphen/>
        <w:t>regulated genes after 16 h treatment with LBH589 </w:t>
      </w:r>
      <w:r w:rsidRPr="002C718B">
        <w:rPr>
          <w:rStyle w:val="Strong"/>
          <w:rFonts w:ascii="Arial" w:hAnsi="Arial" w:cs="Arial"/>
          <w:color w:val="0F1115"/>
          <w:sz w:val="20"/>
          <w:szCs w:val="20"/>
          <w:shd w:val="clear" w:color="auto" w:fill="FFFFFF"/>
        </w:rPr>
        <w:t>(D)</w:t>
      </w:r>
      <w:r w:rsidRPr="002C718B">
        <w:rPr>
          <w:rFonts w:ascii="Arial" w:hAnsi="Arial" w:cs="Arial"/>
          <w:color w:val="0F1115"/>
          <w:sz w:val="20"/>
          <w:szCs w:val="20"/>
          <w:shd w:val="clear" w:color="auto" w:fill="FFFFFF"/>
        </w:rPr>
        <w:t> or OTX015 </w:t>
      </w:r>
      <w:r w:rsidRPr="002C718B">
        <w:rPr>
          <w:rStyle w:val="Strong"/>
          <w:rFonts w:ascii="Arial" w:hAnsi="Arial" w:cs="Arial"/>
          <w:color w:val="0F1115"/>
          <w:sz w:val="20"/>
          <w:szCs w:val="20"/>
          <w:shd w:val="clear" w:color="auto" w:fill="FFFFFF"/>
        </w:rPr>
        <w:t>(E)</w:t>
      </w:r>
      <w:r w:rsidRPr="002C718B">
        <w:rPr>
          <w:rFonts w:ascii="Arial" w:hAnsi="Arial" w:cs="Arial"/>
          <w:color w:val="0F1115"/>
          <w:sz w:val="20"/>
          <w:szCs w:val="20"/>
          <w:shd w:val="clear" w:color="auto" w:fill="FFFFFF"/>
        </w:rPr>
        <w:t xml:space="preserve">. </w:t>
      </w:r>
      <w:r w:rsidRPr="002C718B">
        <w:rPr>
          <w:rStyle w:val="Strong"/>
          <w:rFonts w:ascii="Arial" w:hAnsi="Arial" w:cs="Arial"/>
          <w:color w:val="0F1115"/>
          <w:sz w:val="20"/>
          <w:szCs w:val="20"/>
          <w:shd w:val="clear" w:color="auto" w:fill="FFFFFF"/>
        </w:rPr>
        <w:t>(F, G)</w:t>
      </w:r>
      <w:r w:rsidRPr="002C718B">
        <w:rPr>
          <w:rFonts w:ascii="Arial" w:hAnsi="Arial" w:cs="Arial"/>
          <w:color w:val="0F1115"/>
          <w:sz w:val="20"/>
          <w:szCs w:val="20"/>
          <w:shd w:val="clear" w:color="auto" w:fill="FFFFFF"/>
        </w:rPr>
        <w:t> Transcription</w:t>
      </w:r>
      <w:r w:rsidRPr="002C718B">
        <w:rPr>
          <w:rFonts w:ascii="Arial" w:hAnsi="Arial" w:cs="Arial"/>
          <w:color w:val="0F1115"/>
          <w:sz w:val="20"/>
          <w:szCs w:val="20"/>
          <w:shd w:val="clear" w:color="auto" w:fill="FFFFFF"/>
        </w:rPr>
        <w:noBreakHyphen/>
        <w:t>factor motif enrichment analysis based on GSEA for LBH589 </w:t>
      </w:r>
      <w:r w:rsidRPr="002C718B">
        <w:rPr>
          <w:rStyle w:val="Strong"/>
          <w:rFonts w:ascii="Arial" w:hAnsi="Arial" w:cs="Arial"/>
          <w:color w:val="0F1115"/>
          <w:sz w:val="20"/>
          <w:szCs w:val="20"/>
          <w:shd w:val="clear" w:color="auto" w:fill="FFFFFF"/>
        </w:rPr>
        <w:t>(F)</w:t>
      </w:r>
      <w:r w:rsidRPr="002C718B">
        <w:rPr>
          <w:rFonts w:ascii="Arial" w:hAnsi="Arial" w:cs="Arial"/>
          <w:color w:val="0F1115"/>
          <w:sz w:val="20"/>
          <w:szCs w:val="20"/>
          <w:shd w:val="clear" w:color="auto" w:fill="FFFFFF"/>
        </w:rPr>
        <w:t xml:space="preserve"> or </w:t>
      </w:r>
      <w:r w:rsidRPr="002C718B">
        <w:rPr>
          <w:rFonts w:ascii="Arial" w:hAnsi="Arial" w:cs="Arial"/>
          <w:color w:val="0F1115"/>
          <w:sz w:val="20"/>
          <w:szCs w:val="20"/>
          <w:shd w:val="clear" w:color="auto" w:fill="FFFFFF"/>
        </w:rPr>
        <w:lastRenderedPageBreak/>
        <w:t>OTX015 </w:t>
      </w:r>
      <w:r w:rsidRPr="002C718B">
        <w:rPr>
          <w:rStyle w:val="Strong"/>
          <w:rFonts w:ascii="Arial" w:hAnsi="Arial" w:cs="Arial"/>
          <w:color w:val="0F1115"/>
          <w:sz w:val="20"/>
          <w:szCs w:val="20"/>
          <w:shd w:val="clear" w:color="auto" w:fill="FFFFFF"/>
        </w:rPr>
        <w:t>(G)</w:t>
      </w:r>
      <w:r w:rsidRPr="002C718B">
        <w:rPr>
          <w:rFonts w:ascii="Arial" w:hAnsi="Arial" w:cs="Arial"/>
          <w:color w:val="0F1115"/>
          <w:sz w:val="20"/>
          <w:szCs w:val="20"/>
          <w:shd w:val="clear" w:color="auto" w:fill="FFFFFF"/>
        </w:rPr>
        <w:t> treatment compared to the DMSO control.</w:t>
      </w:r>
    </w:p>
    <w:p w14:paraId="04CB6407" w14:textId="09C90E67" w:rsidR="002C718B" w:rsidRPr="002C718B" w:rsidRDefault="002C718B" w:rsidP="004E660E">
      <w:pPr>
        <w:spacing w:line="480" w:lineRule="auto"/>
        <w:jc w:val="left"/>
        <w:rPr>
          <w:rFonts w:ascii="Arial" w:hAnsi="Arial" w:cs="Arial"/>
          <w:color w:val="0F1115"/>
          <w:sz w:val="20"/>
          <w:szCs w:val="20"/>
          <w:shd w:val="clear" w:color="auto" w:fill="FFFFFF"/>
        </w:rPr>
      </w:pPr>
    </w:p>
    <w:p w14:paraId="397F0103" w14:textId="043F8433" w:rsidR="00C40614" w:rsidRPr="002C718B" w:rsidRDefault="00201358" w:rsidP="004E660E">
      <w:pPr>
        <w:spacing w:line="480" w:lineRule="auto"/>
        <w:jc w:val="left"/>
        <w:rPr>
          <w:rFonts w:ascii="Arial" w:hAnsi="Arial" w:cs="Arial"/>
          <w:color w:val="0F1115"/>
          <w:sz w:val="20"/>
          <w:szCs w:val="20"/>
          <w:shd w:val="clear" w:color="auto" w:fill="FFFFFF"/>
        </w:rPr>
      </w:pPr>
      <w:r w:rsidRPr="002C718B">
        <w:rPr>
          <w:rFonts w:ascii="Arial" w:eastAsia="Cambria" w:hAnsi="Arial" w:cs="Arial"/>
          <w:b/>
          <w:bCs/>
          <w:color w:val="1B1B1B"/>
          <w:sz w:val="20"/>
          <w:szCs w:val="20"/>
          <w:shd w:val="clear" w:color="auto" w:fill="FFFFFF"/>
        </w:rPr>
        <w:t>Figure S</w:t>
      </w:r>
      <w:r w:rsidRPr="002C718B">
        <w:rPr>
          <w:rFonts w:ascii="Arial" w:hAnsi="Arial" w:cs="Arial"/>
          <w:b/>
          <w:bCs/>
          <w:sz w:val="20"/>
          <w:szCs w:val="20"/>
        </w:rPr>
        <w:t xml:space="preserve">3. </w:t>
      </w:r>
      <w:r w:rsidR="002C718B" w:rsidRPr="002C718B">
        <w:rPr>
          <w:rStyle w:val="Strong"/>
          <w:rFonts w:ascii="Arial" w:hAnsi="Arial" w:cs="Arial"/>
          <w:color w:val="0F1115"/>
          <w:sz w:val="20"/>
          <w:szCs w:val="20"/>
          <w:shd w:val="clear" w:color="auto" w:fill="FFFFFF"/>
        </w:rPr>
        <w:t>Suppression of E2F1 activity by combined HDAC and BET inhibition.</w:t>
      </w:r>
      <w:r w:rsidR="002C718B" w:rsidRPr="002C718B">
        <w:rPr>
          <w:rFonts w:ascii="Arial" w:hAnsi="Arial" w:cs="Arial"/>
          <w:color w:val="0F1115"/>
          <w:sz w:val="20"/>
          <w:szCs w:val="20"/>
        </w:rPr>
        <w:br/>
      </w:r>
      <w:r w:rsidR="002C718B" w:rsidRPr="002C718B">
        <w:rPr>
          <w:rStyle w:val="Strong"/>
          <w:rFonts w:ascii="Arial" w:hAnsi="Arial" w:cs="Arial"/>
          <w:color w:val="0F1115"/>
          <w:sz w:val="20"/>
          <w:szCs w:val="20"/>
          <w:shd w:val="clear" w:color="auto" w:fill="FFFFFF"/>
        </w:rPr>
        <w:t>(A)</w:t>
      </w:r>
      <w:r w:rsidR="002C718B" w:rsidRPr="002C718B">
        <w:rPr>
          <w:rFonts w:ascii="Arial" w:hAnsi="Arial" w:cs="Arial"/>
          <w:color w:val="0F1115"/>
          <w:sz w:val="20"/>
          <w:szCs w:val="20"/>
          <w:shd w:val="clear" w:color="auto" w:fill="FFFFFF"/>
        </w:rPr>
        <w:t> Heatmaps displaying expression patterns of E2F1 target genes involved in cell cycle, apoptosis, DNA damage response, metabolism, and other cellular processes, based on RNA</w:t>
      </w:r>
      <w:r w:rsidR="002C718B" w:rsidRPr="002C718B">
        <w:rPr>
          <w:rFonts w:ascii="Arial" w:hAnsi="Arial" w:cs="Arial"/>
          <w:color w:val="0F1115"/>
          <w:sz w:val="20"/>
          <w:szCs w:val="20"/>
          <w:shd w:val="clear" w:color="auto" w:fill="FFFFFF"/>
        </w:rPr>
        <w:noBreakHyphen/>
        <w:t xml:space="preserve">seq data from Figure 2. </w:t>
      </w:r>
      <w:r w:rsidR="002C718B" w:rsidRPr="002C718B">
        <w:rPr>
          <w:rStyle w:val="Strong"/>
          <w:rFonts w:ascii="Arial" w:hAnsi="Arial" w:cs="Arial"/>
          <w:color w:val="0F1115"/>
          <w:sz w:val="20"/>
          <w:szCs w:val="20"/>
          <w:shd w:val="clear" w:color="auto" w:fill="FFFFFF"/>
        </w:rPr>
        <w:t>(B, C)</w:t>
      </w:r>
      <w:r w:rsidR="002C718B" w:rsidRPr="002C718B">
        <w:rPr>
          <w:rFonts w:ascii="Arial" w:hAnsi="Arial" w:cs="Arial"/>
          <w:color w:val="0F1115"/>
          <w:sz w:val="20"/>
          <w:szCs w:val="20"/>
          <w:shd w:val="clear" w:color="auto" w:fill="FFFFFF"/>
        </w:rPr>
        <w:t> RT</w:t>
      </w:r>
      <w:r w:rsidR="002C718B" w:rsidRPr="002C718B">
        <w:rPr>
          <w:rFonts w:ascii="Arial" w:hAnsi="Arial" w:cs="Arial"/>
          <w:color w:val="0F1115"/>
          <w:sz w:val="20"/>
          <w:szCs w:val="20"/>
          <w:shd w:val="clear" w:color="auto" w:fill="FFFFFF"/>
        </w:rPr>
        <w:noBreakHyphen/>
        <w:t>qPCR quantification of E2F1</w:t>
      </w:r>
      <w:r w:rsidR="002C718B" w:rsidRPr="002C718B">
        <w:rPr>
          <w:rFonts w:ascii="Arial" w:hAnsi="Arial" w:cs="Arial"/>
          <w:color w:val="0F1115"/>
          <w:sz w:val="20"/>
          <w:szCs w:val="20"/>
          <w:shd w:val="clear" w:color="auto" w:fill="FFFFFF"/>
        </w:rPr>
        <w:noBreakHyphen/>
        <w:t>regulated cell</w:t>
      </w:r>
      <w:r w:rsidR="002C718B" w:rsidRPr="002C718B">
        <w:rPr>
          <w:rFonts w:ascii="Arial" w:hAnsi="Arial" w:cs="Arial"/>
          <w:color w:val="0F1115"/>
          <w:sz w:val="20"/>
          <w:szCs w:val="20"/>
          <w:shd w:val="clear" w:color="auto" w:fill="FFFFFF"/>
        </w:rPr>
        <w:noBreakHyphen/>
        <w:t>cycle genes in A204 </w:t>
      </w:r>
      <w:r w:rsidR="002C718B" w:rsidRPr="002C718B">
        <w:rPr>
          <w:rStyle w:val="Strong"/>
          <w:rFonts w:ascii="Arial" w:hAnsi="Arial" w:cs="Arial"/>
          <w:color w:val="0F1115"/>
          <w:sz w:val="20"/>
          <w:szCs w:val="20"/>
          <w:shd w:val="clear" w:color="auto" w:fill="FFFFFF"/>
        </w:rPr>
        <w:t>(B)</w:t>
      </w:r>
      <w:r w:rsidR="002C718B" w:rsidRPr="002C718B">
        <w:rPr>
          <w:rFonts w:ascii="Arial" w:hAnsi="Arial" w:cs="Arial"/>
          <w:color w:val="0F1115"/>
          <w:sz w:val="20"/>
          <w:szCs w:val="20"/>
          <w:shd w:val="clear" w:color="auto" w:fill="FFFFFF"/>
        </w:rPr>
        <w:t> and G401 </w:t>
      </w:r>
      <w:r w:rsidR="002C718B" w:rsidRPr="002C718B">
        <w:rPr>
          <w:rStyle w:val="Strong"/>
          <w:rFonts w:ascii="Arial" w:hAnsi="Arial" w:cs="Arial"/>
          <w:color w:val="0F1115"/>
          <w:sz w:val="20"/>
          <w:szCs w:val="20"/>
          <w:shd w:val="clear" w:color="auto" w:fill="FFFFFF"/>
        </w:rPr>
        <w:t>(C)</w:t>
      </w:r>
      <w:r w:rsidR="002C718B" w:rsidRPr="002C718B">
        <w:rPr>
          <w:rFonts w:ascii="Arial" w:hAnsi="Arial" w:cs="Arial"/>
          <w:color w:val="0F1115"/>
          <w:sz w:val="20"/>
          <w:szCs w:val="20"/>
          <w:shd w:val="clear" w:color="auto" w:fill="FFFFFF"/>
        </w:rPr>
        <w:t> cells after 16 h treatment with LBH589 and/or OTX015.</w:t>
      </w:r>
    </w:p>
    <w:p w14:paraId="13BF56CC" w14:textId="77777777" w:rsidR="002C718B" w:rsidRPr="002C718B" w:rsidRDefault="002C718B" w:rsidP="004E660E">
      <w:pPr>
        <w:spacing w:line="480" w:lineRule="auto"/>
        <w:jc w:val="left"/>
        <w:rPr>
          <w:rFonts w:ascii="Arial" w:hAnsi="Arial" w:cs="Arial"/>
          <w:b/>
          <w:bCs/>
          <w:sz w:val="20"/>
          <w:szCs w:val="20"/>
        </w:rPr>
      </w:pPr>
    </w:p>
    <w:p w14:paraId="2AA58C22" w14:textId="77777777" w:rsidR="002C718B" w:rsidRPr="002C718B" w:rsidRDefault="002C718B" w:rsidP="004E660E">
      <w:pPr>
        <w:spacing w:line="480" w:lineRule="auto"/>
        <w:jc w:val="left"/>
        <w:rPr>
          <w:rStyle w:val="Strong"/>
          <w:rFonts w:ascii="Arial" w:hAnsi="Arial" w:cs="Arial"/>
          <w:color w:val="0F1115"/>
          <w:sz w:val="20"/>
          <w:szCs w:val="20"/>
          <w:shd w:val="clear" w:color="auto" w:fill="FFFFFF"/>
        </w:rPr>
      </w:pPr>
      <w:r w:rsidRPr="002C718B">
        <w:rPr>
          <w:rStyle w:val="Strong"/>
          <w:rFonts w:ascii="Arial" w:hAnsi="Arial" w:cs="Arial"/>
          <w:color w:val="0F1115"/>
          <w:sz w:val="20"/>
          <w:szCs w:val="20"/>
          <w:shd w:val="clear" w:color="auto" w:fill="FFFFFF"/>
        </w:rPr>
        <w:t xml:space="preserve">Figure S4. </w:t>
      </w:r>
      <w:r w:rsidRPr="00441A0D">
        <w:rPr>
          <w:rStyle w:val="Strong"/>
          <w:rFonts w:ascii="Arial" w:hAnsi="Arial" w:cs="Arial"/>
          <w:i/>
          <w:iCs/>
          <w:color w:val="0F1115"/>
          <w:sz w:val="20"/>
          <w:szCs w:val="20"/>
          <w:shd w:val="clear" w:color="auto" w:fill="FFFFFF"/>
        </w:rPr>
        <w:t>In vivo</w:t>
      </w:r>
      <w:r w:rsidRPr="002C718B">
        <w:rPr>
          <w:rStyle w:val="Strong"/>
          <w:rFonts w:ascii="Arial" w:hAnsi="Arial" w:cs="Arial"/>
          <w:color w:val="0F1115"/>
          <w:sz w:val="20"/>
          <w:szCs w:val="20"/>
          <w:shd w:val="clear" w:color="auto" w:fill="FFFFFF"/>
        </w:rPr>
        <w:t xml:space="preserve"> suppression of E2F1 target genes by combined LBH589 and OTX015 treatment.</w:t>
      </w:r>
    </w:p>
    <w:p w14:paraId="7883D5F9" w14:textId="3F78BF18" w:rsidR="00C40614" w:rsidRDefault="002C718B" w:rsidP="004E660E">
      <w:pPr>
        <w:spacing w:line="480" w:lineRule="auto"/>
        <w:jc w:val="left"/>
        <w:rPr>
          <w:rFonts w:ascii="Arial" w:hAnsi="Arial" w:cs="Arial"/>
          <w:sz w:val="20"/>
          <w:szCs w:val="20"/>
        </w:rPr>
      </w:pPr>
      <w:r w:rsidRPr="002C718B">
        <w:rPr>
          <w:rFonts w:ascii="Arial" w:hAnsi="Arial" w:cs="Arial"/>
          <w:color w:val="0F1115"/>
          <w:sz w:val="20"/>
          <w:szCs w:val="20"/>
          <w:shd w:val="clear" w:color="auto" w:fill="FFFFFF"/>
        </w:rPr>
        <w:t>Expression of the E2F1</w:t>
      </w:r>
      <w:r w:rsidRPr="002C718B">
        <w:rPr>
          <w:rFonts w:ascii="Arial" w:hAnsi="Arial" w:cs="Arial"/>
          <w:color w:val="0F1115"/>
          <w:sz w:val="20"/>
          <w:szCs w:val="20"/>
          <w:shd w:val="clear" w:color="auto" w:fill="FFFFFF"/>
        </w:rPr>
        <w:noBreakHyphen/>
        <w:t>regulated genes </w:t>
      </w:r>
      <w:r w:rsidRPr="002C718B">
        <w:rPr>
          <w:rStyle w:val="Emphasis"/>
          <w:rFonts w:ascii="Arial" w:hAnsi="Arial" w:cs="Arial"/>
          <w:color w:val="0F1115"/>
          <w:sz w:val="20"/>
          <w:szCs w:val="20"/>
          <w:shd w:val="clear" w:color="auto" w:fill="FFFFFF"/>
        </w:rPr>
        <w:t>CCNE2</w:t>
      </w:r>
      <w:r w:rsidRPr="002C718B">
        <w:rPr>
          <w:rFonts w:ascii="Arial" w:hAnsi="Arial" w:cs="Arial"/>
          <w:color w:val="0F1115"/>
          <w:sz w:val="20"/>
          <w:szCs w:val="20"/>
          <w:shd w:val="clear" w:color="auto" w:fill="FFFFFF"/>
        </w:rPr>
        <w:t>, </w:t>
      </w:r>
      <w:r w:rsidRPr="002C718B">
        <w:rPr>
          <w:rStyle w:val="Emphasis"/>
          <w:rFonts w:ascii="Arial" w:hAnsi="Arial" w:cs="Arial"/>
          <w:color w:val="0F1115"/>
          <w:sz w:val="20"/>
          <w:szCs w:val="20"/>
          <w:shd w:val="clear" w:color="auto" w:fill="FFFFFF"/>
        </w:rPr>
        <w:t>CDK1</w:t>
      </w:r>
      <w:r w:rsidRPr="002C718B">
        <w:rPr>
          <w:rFonts w:ascii="Arial" w:hAnsi="Arial" w:cs="Arial"/>
          <w:color w:val="0F1115"/>
          <w:sz w:val="20"/>
          <w:szCs w:val="20"/>
          <w:shd w:val="clear" w:color="auto" w:fill="FFFFFF"/>
        </w:rPr>
        <w:t>, </w:t>
      </w:r>
      <w:r w:rsidRPr="002C718B">
        <w:rPr>
          <w:rStyle w:val="Emphasis"/>
          <w:rFonts w:ascii="Arial" w:hAnsi="Arial" w:cs="Arial"/>
          <w:color w:val="0F1115"/>
          <w:sz w:val="20"/>
          <w:szCs w:val="20"/>
          <w:shd w:val="clear" w:color="auto" w:fill="FFFFFF"/>
        </w:rPr>
        <w:t>CDK2</w:t>
      </w:r>
      <w:r w:rsidRPr="002C718B">
        <w:rPr>
          <w:rFonts w:ascii="Arial" w:hAnsi="Arial" w:cs="Arial"/>
          <w:color w:val="0F1115"/>
          <w:sz w:val="20"/>
          <w:szCs w:val="20"/>
          <w:shd w:val="clear" w:color="auto" w:fill="FFFFFF"/>
        </w:rPr>
        <w:t>, </w:t>
      </w:r>
      <w:r w:rsidRPr="002C718B">
        <w:rPr>
          <w:rStyle w:val="Emphasis"/>
          <w:rFonts w:ascii="Arial" w:hAnsi="Arial" w:cs="Arial"/>
          <w:color w:val="0F1115"/>
          <w:sz w:val="20"/>
          <w:szCs w:val="20"/>
          <w:shd w:val="clear" w:color="auto" w:fill="FFFFFF"/>
        </w:rPr>
        <w:t>CDC6</w:t>
      </w:r>
      <w:r w:rsidRPr="002C718B">
        <w:rPr>
          <w:rFonts w:ascii="Arial" w:hAnsi="Arial" w:cs="Arial"/>
          <w:color w:val="0F1115"/>
          <w:sz w:val="20"/>
          <w:szCs w:val="20"/>
          <w:shd w:val="clear" w:color="auto" w:fill="FFFFFF"/>
        </w:rPr>
        <w:t>, and </w:t>
      </w:r>
      <w:r w:rsidRPr="002C718B">
        <w:rPr>
          <w:rStyle w:val="Emphasis"/>
          <w:rFonts w:ascii="Arial" w:hAnsi="Arial" w:cs="Arial"/>
          <w:color w:val="0F1115"/>
          <w:sz w:val="20"/>
          <w:szCs w:val="20"/>
          <w:shd w:val="clear" w:color="auto" w:fill="FFFFFF"/>
        </w:rPr>
        <w:t>E2F2</w:t>
      </w:r>
      <w:r w:rsidRPr="002C718B">
        <w:rPr>
          <w:rFonts w:ascii="Arial" w:hAnsi="Arial" w:cs="Arial"/>
          <w:color w:val="0F1115"/>
          <w:sz w:val="20"/>
          <w:szCs w:val="20"/>
          <w:shd w:val="clear" w:color="auto" w:fill="FFFFFF"/>
        </w:rPr>
        <w:t> was measured by RT</w:t>
      </w:r>
      <w:r w:rsidRPr="002C718B">
        <w:rPr>
          <w:rFonts w:ascii="Arial" w:hAnsi="Arial" w:cs="Arial"/>
          <w:color w:val="0F1115"/>
          <w:sz w:val="20"/>
          <w:szCs w:val="20"/>
          <w:shd w:val="clear" w:color="auto" w:fill="FFFFFF"/>
        </w:rPr>
        <w:noBreakHyphen/>
        <w:t>qPCR in A204 xenograft tumors from the indicated treatment groups. mRNA levels were normalized to </w:t>
      </w:r>
      <w:r w:rsidRPr="002C718B">
        <w:rPr>
          <w:rStyle w:val="Emphasis"/>
          <w:rFonts w:ascii="Arial" w:hAnsi="Arial" w:cs="Arial"/>
          <w:color w:val="0F1115"/>
          <w:sz w:val="20"/>
          <w:szCs w:val="20"/>
          <w:shd w:val="clear" w:color="auto" w:fill="FFFFFF"/>
        </w:rPr>
        <w:t>GAPDH</w:t>
      </w:r>
      <w:r w:rsidRPr="002C718B">
        <w:rPr>
          <w:rFonts w:ascii="Arial" w:hAnsi="Arial" w:cs="Arial"/>
          <w:color w:val="0F1115"/>
          <w:sz w:val="20"/>
          <w:szCs w:val="20"/>
          <w:shd w:val="clear" w:color="auto" w:fill="FFFFFF"/>
        </w:rPr>
        <w:t>.</w:t>
      </w:r>
      <w:r w:rsidR="00201358" w:rsidRPr="002C718B">
        <w:rPr>
          <w:rFonts w:ascii="Arial" w:hAnsi="Arial" w:cs="Arial"/>
          <w:sz w:val="20"/>
          <w:szCs w:val="20"/>
        </w:rPr>
        <w:t xml:space="preserve"> </w:t>
      </w:r>
    </w:p>
    <w:p w14:paraId="340A2E21" w14:textId="19FF4336" w:rsidR="00487A44" w:rsidRDefault="00487A44" w:rsidP="004E660E">
      <w:pPr>
        <w:spacing w:line="480" w:lineRule="auto"/>
        <w:jc w:val="left"/>
        <w:rPr>
          <w:rFonts w:ascii="Arial" w:hAnsi="Arial" w:cs="Arial"/>
          <w:sz w:val="20"/>
          <w:szCs w:val="20"/>
        </w:rPr>
      </w:pPr>
    </w:p>
    <w:p w14:paraId="70C21C19" w14:textId="77777777" w:rsidR="005B79B2" w:rsidRDefault="005B79B2" w:rsidP="004E660E">
      <w:pPr>
        <w:spacing w:line="480" w:lineRule="auto"/>
        <w:jc w:val="left"/>
        <w:rPr>
          <w:rFonts w:ascii="Arial" w:hAnsi="Arial" w:cs="Arial"/>
          <w:sz w:val="20"/>
          <w:szCs w:val="20"/>
        </w:rPr>
      </w:pPr>
    </w:p>
    <w:sectPr w:rsidR="005B79B2" w:rsidSect="002C718B">
      <w:footerReference w:type="default" r:id="rId6"/>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8E8F" w14:textId="77777777" w:rsidR="002701DD" w:rsidRDefault="002701DD" w:rsidP="00A87A28">
      <w:r>
        <w:separator/>
      </w:r>
    </w:p>
  </w:endnote>
  <w:endnote w:type="continuationSeparator" w:id="0">
    <w:p w14:paraId="293877F7" w14:textId="77777777" w:rsidR="002701DD" w:rsidRDefault="002701DD" w:rsidP="00A8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47830"/>
      <w:docPartObj>
        <w:docPartGallery w:val="Page Numbers (Bottom of Page)"/>
        <w:docPartUnique/>
      </w:docPartObj>
    </w:sdtPr>
    <w:sdtContent>
      <w:p w14:paraId="2FC2947E" w14:textId="50457F27" w:rsidR="002C718B" w:rsidRDefault="002C718B">
        <w:pPr>
          <w:pStyle w:val="Footer"/>
          <w:jc w:val="center"/>
        </w:pPr>
        <w:r>
          <w:fldChar w:fldCharType="begin"/>
        </w:r>
        <w:r>
          <w:instrText>PAGE   \* MERGEFORMAT</w:instrText>
        </w:r>
        <w:r>
          <w:fldChar w:fldCharType="separate"/>
        </w:r>
        <w:r w:rsidRPr="002C718B">
          <w:rPr>
            <w:noProof/>
            <w:lang w:val="zh-CN"/>
          </w:rPr>
          <w:t>4</w:t>
        </w:r>
        <w:r>
          <w:fldChar w:fldCharType="end"/>
        </w:r>
      </w:p>
    </w:sdtContent>
  </w:sdt>
  <w:p w14:paraId="3DA92C59" w14:textId="77777777" w:rsidR="002C718B" w:rsidRDefault="002C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19DC" w14:textId="77777777" w:rsidR="002701DD" w:rsidRDefault="002701DD" w:rsidP="00A87A28">
      <w:r>
        <w:separator/>
      </w:r>
    </w:p>
  </w:footnote>
  <w:footnote w:type="continuationSeparator" w:id="0">
    <w:p w14:paraId="24AF8605" w14:textId="77777777" w:rsidR="002701DD" w:rsidRDefault="002701DD" w:rsidP="00A87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614"/>
    <w:rsid w:val="00075671"/>
    <w:rsid w:val="000971BE"/>
    <w:rsid w:val="00162CBD"/>
    <w:rsid w:val="001A14C4"/>
    <w:rsid w:val="00201358"/>
    <w:rsid w:val="002701DD"/>
    <w:rsid w:val="002C718B"/>
    <w:rsid w:val="003C05B6"/>
    <w:rsid w:val="00441A0D"/>
    <w:rsid w:val="00487A44"/>
    <w:rsid w:val="004E660E"/>
    <w:rsid w:val="005B79B2"/>
    <w:rsid w:val="00774992"/>
    <w:rsid w:val="007D4F94"/>
    <w:rsid w:val="0081203C"/>
    <w:rsid w:val="00A87A28"/>
    <w:rsid w:val="00C40614"/>
    <w:rsid w:val="00CD31D1"/>
    <w:rsid w:val="1B7A7D4D"/>
    <w:rsid w:val="4C320DF2"/>
    <w:rsid w:val="6C69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B651"/>
  <w15:docId w15:val="{FDB27628-B7F4-4EAD-93BE-C2DF4A95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character" w:styleId="CommentReference">
    <w:name w:val="annotation reference"/>
    <w:basedOn w:val="DefaultParagraphFont"/>
    <w:rPr>
      <w:sz w:val="21"/>
      <w:szCs w:val="21"/>
    </w:rPr>
  </w:style>
  <w:style w:type="paragraph" w:styleId="Header">
    <w:name w:val="header"/>
    <w:basedOn w:val="Normal"/>
    <w:link w:val="HeaderChar"/>
    <w:rsid w:val="00A87A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87A28"/>
    <w:rPr>
      <w:kern w:val="2"/>
      <w:sz w:val="18"/>
      <w:szCs w:val="18"/>
    </w:rPr>
  </w:style>
  <w:style w:type="paragraph" w:styleId="Footer">
    <w:name w:val="footer"/>
    <w:basedOn w:val="Normal"/>
    <w:link w:val="FooterChar"/>
    <w:uiPriority w:val="99"/>
    <w:rsid w:val="00A87A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87A28"/>
    <w:rPr>
      <w:kern w:val="2"/>
      <w:sz w:val="18"/>
      <w:szCs w:val="18"/>
    </w:rPr>
  </w:style>
  <w:style w:type="character" w:styleId="Strong">
    <w:name w:val="Strong"/>
    <w:basedOn w:val="DefaultParagraphFont"/>
    <w:uiPriority w:val="22"/>
    <w:qFormat/>
    <w:rsid w:val="000971BE"/>
    <w:rPr>
      <w:b/>
      <w:bCs/>
    </w:rPr>
  </w:style>
  <w:style w:type="character" w:styleId="Emphasis">
    <w:name w:val="Emphasis"/>
    <w:basedOn w:val="DefaultParagraphFont"/>
    <w:uiPriority w:val="20"/>
    <w:qFormat/>
    <w:rsid w:val="002C718B"/>
    <w:rPr>
      <w:i/>
      <w:iCs/>
    </w:rPr>
  </w:style>
  <w:style w:type="character" w:styleId="LineNumber">
    <w:name w:val="line number"/>
    <w:basedOn w:val="DefaultParagraphFont"/>
    <w:rsid w:val="002C718B"/>
  </w:style>
  <w:style w:type="paragraph" w:styleId="ListParagraph">
    <w:name w:val="List Paragraph"/>
    <w:basedOn w:val="Normal"/>
    <w:uiPriority w:val="99"/>
    <w:rsid w:val="00CD31D1"/>
    <w:pPr>
      <w:ind w:left="720"/>
      <w:contextualSpacing/>
    </w:pPr>
  </w:style>
  <w:style w:type="character" w:styleId="Hyperlink">
    <w:name w:val="Hyperlink"/>
    <w:basedOn w:val="DefaultParagraphFont"/>
    <w:rsid w:val="00CD31D1"/>
    <w:rPr>
      <w:color w:val="0026E5" w:themeColor="hyperlink"/>
      <w:u w:val="single"/>
    </w:rPr>
  </w:style>
  <w:style w:type="character" w:styleId="UnresolvedMention">
    <w:name w:val="Unresolved Mention"/>
    <w:basedOn w:val="DefaultParagraphFont"/>
    <w:uiPriority w:val="99"/>
    <w:semiHidden/>
    <w:unhideWhenUsed/>
    <w:rsid w:val="00CD31D1"/>
    <w:rPr>
      <w:color w:val="605E5C"/>
      <w:shd w:val="clear" w:color="auto" w:fill="E1DFDD"/>
    </w:rPr>
  </w:style>
  <w:style w:type="character" w:customStyle="1" w:styleId="docsum-authors">
    <w:name w:val="docsum-authors"/>
    <w:basedOn w:val="DefaultParagraphFont"/>
    <w:rsid w:val="00CD31D1"/>
  </w:style>
  <w:style w:type="character" w:styleId="FollowedHyperlink">
    <w:name w:val="FollowedHyperlink"/>
    <w:basedOn w:val="DefaultParagraphFont"/>
    <w:rsid w:val="00CD31D1"/>
    <w:rPr>
      <w:color w:val="7E1FA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8037">
      <w:bodyDiv w:val="1"/>
      <w:marLeft w:val="0"/>
      <w:marRight w:val="0"/>
      <w:marTop w:val="0"/>
      <w:marBottom w:val="0"/>
      <w:divBdr>
        <w:top w:val="none" w:sz="0" w:space="0" w:color="auto"/>
        <w:left w:val="none" w:sz="0" w:space="0" w:color="auto"/>
        <w:bottom w:val="none" w:sz="0" w:space="0" w:color="auto"/>
        <w:right w:val="none" w:sz="0" w:space="0" w:color="auto"/>
      </w:divBdr>
      <w:divsChild>
        <w:div w:id="251545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HEIDSTAR</dc:creator>
  <cp:lastModifiedBy>zebing liu</cp:lastModifiedBy>
  <cp:revision>12</cp:revision>
  <dcterms:created xsi:type="dcterms:W3CDTF">2025-11-19T11:06:00Z</dcterms:created>
  <dcterms:modified xsi:type="dcterms:W3CDTF">2025-12-22T13:57:00Z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eyJoZGlkIjoiNTc3ZmM2MGZiNTEzNjNjMTA2ZTQwMWI2ZTk2MDNjZDEiLCJ1c2VySWQiOiIyNDExNDA5MjgifQ==</vt:lpwstr>
  </property>
  <property fmtid="{D5CDD505-2E9C-101B-9397-08002B2CF9AE}" pid="4" name="ICV">
    <vt:lpwstr>CD7D02592960469CA8548EA51C3CA4DE_12</vt:lpwstr>
  </property>
</Properties>
</file>