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7B272" w14:textId="77777777" w:rsidR="009E0AF9" w:rsidRPr="009E0AF9" w:rsidRDefault="009E0AF9" w:rsidP="009E0AF9">
      <w:pPr>
        <w:widowControl w:val="0"/>
        <w:topLinePunct/>
        <w:autoSpaceDE/>
        <w:autoSpaceDN/>
        <w:adjustRightInd/>
        <w:spacing w:beforeLines="50" w:before="156" w:afterLines="50" w:after="156" w:line="240" w:lineRule="auto"/>
        <w:jc w:val="both"/>
        <w:textAlignment w:val="center"/>
        <w:rPr>
          <w:rFonts w:eastAsia="宋体"/>
          <w:kern w:val="2"/>
          <w:sz w:val="32"/>
          <w:szCs w:val="32"/>
          <w:lang w:eastAsia="zh-CN"/>
        </w:rPr>
      </w:pPr>
      <w:r w:rsidRPr="009E0AF9">
        <w:rPr>
          <w:rFonts w:eastAsia="宋体"/>
          <w:kern w:val="2"/>
          <w:sz w:val="32"/>
          <w:szCs w:val="32"/>
          <w:lang w:eastAsia="zh-CN"/>
        </w:rPr>
        <w:t>Supporting Information</w:t>
      </w:r>
    </w:p>
    <w:p w14:paraId="4E198F1A" w14:textId="77777777" w:rsidR="009E0AF9" w:rsidRDefault="009E0AF9" w:rsidP="009E0AF9">
      <w:pPr>
        <w:pStyle w:val="12"/>
      </w:pPr>
      <w:r>
        <w:t>Sodion Induced Interfacial Polarization and π‒π Synergy Enable Irreversible Dye Adsorption in g‒C</w:t>
      </w:r>
      <w:r>
        <w:rPr>
          <w:vertAlign w:val="subscript"/>
        </w:rPr>
        <w:t>3</w:t>
      </w:r>
      <w:r>
        <w:t>N</w:t>
      </w:r>
      <w:r>
        <w:rPr>
          <w:vertAlign w:val="subscript"/>
        </w:rPr>
        <w:t>4</w:t>
      </w:r>
      <w:r>
        <w:t xml:space="preserve"> Quantum Dot–Embedded Hydrogels</w:t>
      </w:r>
    </w:p>
    <w:p w14:paraId="70A174C3" w14:textId="77777777" w:rsidR="009E0AF9" w:rsidRDefault="009E0AF9" w:rsidP="009E0AF9">
      <w:pPr>
        <w:pStyle w:val="author"/>
      </w:pPr>
      <w:bookmarkStart w:id="0" w:name="_Hlk197414531"/>
      <w:r>
        <w:rPr>
          <w:lang w:val="de-DE"/>
        </w:rPr>
        <w:t>Qi Cui</w:t>
      </w:r>
      <w:r>
        <w:rPr>
          <w:vertAlign w:val="superscript"/>
          <w:lang w:val="de-DE"/>
        </w:rPr>
        <w:t>1</w:t>
      </w:r>
      <w:r>
        <w:rPr>
          <w:lang w:val="de-DE"/>
        </w:rPr>
        <w:t>, Xiang Li</w:t>
      </w:r>
      <w:r>
        <w:rPr>
          <w:vertAlign w:val="superscript"/>
          <w:lang w:val="de-DE"/>
        </w:rPr>
        <w:t>1</w:t>
      </w:r>
      <w:r>
        <w:rPr>
          <w:lang w:val="de-DE"/>
        </w:rPr>
        <w:t>, Xiaochuan Li</w:t>
      </w:r>
      <w:r>
        <w:rPr>
          <w:vertAlign w:val="superscript"/>
          <w:lang w:val="de-DE"/>
        </w:rPr>
        <w:t>1</w:t>
      </w:r>
      <w:r>
        <w:t>, and</w:t>
      </w:r>
      <w:r>
        <w:rPr>
          <w:lang w:val="de-DE"/>
        </w:rPr>
        <w:t xml:space="preserve"> Wenjian Fang</w:t>
      </w:r>
      <w:r>
        <w:rPr>
          <w:vertAlign w:val="superscript"/>
          <w:lang w:val="de-DE"/>
        </w:rPr>
        <w:t>1*</w:t>
      </w:r>
      <w:bookmarkEnd w:id="0"/>
    </w:p>
    <w:p w14:paraId="1C624186" w14:textId="2D60B589" w:rsidR="0034497A" w:rsidRDefault="009E0AF9" w:rsidP="009E0AF9">
      <w:pPr>
        <w:pStyle w:val="affiliation"/>
        <w:rPr>
          <w:lang w:val="de-DE" w:eastAsia="zh-CN"/>
        </w:rPr>
      </w:pPr>
      <w:bookmarkStart w:id="1" w:name="_Hlk197414621"/>
      <w:r>
        <w:rPr>
          <w:rFonts w:hint="eastAsia"/>
          <w:lang w:val="de-DE" w:eastAsia="zh-CN"/>
        </w:rPr>
        <w:t xml:space="preserve">1 </w:t>
      </w:r>
      <w:r>
        <w:rPr>
          <w:lang w:val="de-DE"/>
        </w:rPr>
        <w:t>School of Electrical and Energy Power Engineering, Yangzhou University, Yangzhou 225002, China</w:t>
      </w:r>
      <w:bookmarkEnd w:id="1"/>
      <w:r>
        <w:rPr>
          <w:rFonts w:hint="eastAsia"/>
          <w:lang w:val="de-DE" w:eastAsia="zh-CN"/>
        </w:rPr>
        <w:t>.</w:t>
      </w:r>
    </w:p>
    <w:p w14:paraId="7C170DE4" w14:textId="70D3EF47" w:rsidR="009E0AF9" w:rsidRDefault="009E0AF9" w:rsidP="009E0AF9">
      <w:pPr>
        <w:pStyle w:val="email"/>
      </w:pPr>
      <w:r>
        <w:t xml:space="preserve">*E-mail: </w:t>
      </w:r>
      <w:hyperlink r:id="rId7" w:history="1">
        <w:r w:rsidRPr="009060D1">
          <w:rPr>
            <w:rStyle w:val="af6"/>
          </w:rPr>
          <w:t>fwjlf2227@163.com</w:t>
        </w:r>
      </w:hyperlink>
    </w:p>
    <w:p w14:paraId="5ED50E12" w14:textId="77777777" w:rsidR="009E0AF9" w:rsidRDefault="009E0AF9" w:rsidP="009E0AF9">
      <w:pPr>
        <w:pStyle w:val="heading1"/>
      </w:pPr>
      <w:r>
        <w:t>Supporting Content</w:t>
      </w:r>
    </w:p>
    <w:p w14:paraId="00A76CA0" w14:textId="77777777" w:rsidR="009E0AF9" w:rsidRDefault="009E0AF9" w:rsidP="009E0AF9">
      <w:pPr>
        <w:pStyle w:val="TESupportingInformation"/>
        <w:ind w:firstLine="480"/>
      </w:pPr>
      <w:r>
        <w:t>1.1 Characterization</w:t>
      </w:r>
    </w:p>
    <w:p w14:paraId="31FEE09C" w14:textId="77777777" w:rsidR="009E0AF9" w:rsidRDefault="009E0AF9" w:rsidP="009E0AF9">
      <w:pPr>
        <w:pStyle w:val="TESupportingInformation"/>
        <w:ind w:firstLine="480"/>
      </w:pPr>
      <w:r>
        <w:t>1.2 The swelling behavior of hydrogels</w:t>
      </w:r>
    </w:p>
    <w:p w14:paraId="19FB9A24" w14:textId="77777777" w:rsidR="009E0AF9" w:rsidRDefault="009E0AF9" w:rsidP="009E0AF9">
      <w:pPr>
        <w:pStyle w:val="TESupportingInformation"/>
        <w:ind w:firstLine="480"/>
      </w:pPr>
      <w:r>
        <w:t>1.3 pH-dependent adsorption experiment</w:t>
      </w:r>
    </w:p>
    <w:p w14:paraId="64551168" w14:textId="77777777" w:rsidR="009E0AF9" w:rsidRPr="00055EA4" w:rsidRDefault="009E0AF9" w:rsidP="009E0AF9">
      <w:pPr>
        <w:pStyle w:val="TESupportingInformation"/>
        <w:ind w:firstLine="480"/>
        <w:rPr>
          <w:highlight w:val="yellow"/>
        </w:rPr>
      </w:pPr>
      <w:r w:rsidRPr="00DF3B47">
        <w:t>1.4 Photocatalytic performance test</w:t>
      </w:r>
    </w:p>
    <w:p w14:paraId="2E89BF6D" w14:textId="77777777" w:rsidR="009E0AF9" w:rsidRDefault="009E0AF9" w:rsidP="009E0AF9">
      <w:pPr>
        <w:pStyle w:val="TESupportingInformation"/>
        <w:ind w:firstLine="480"/>
      </w:pPr>
      <w:r>
        <w:t>1.5 Analysis of adsorption kinetics</w:t>
      </w:r>
    </w:p>
    <w:p w14:paraId="75818552" w14:textId="77777777" w:rsidR="009E0AF9" w:rsidRPr="00DF3B47" w:rsidRDefault="009E0AF9" w:rsidP="009E0AF9">
      <w:pPr>
        <w:pStyle w:val="TESupportingInformation"/>
        <w:ind w:firstLine="480"/>
      </w:pPr>
      <w:r w:rsidRPr="00DF3B47">
        <w:t>1.6 Numerical solution</w:t>
      </w:r>
    </w:p>
    <w:p w14:paraId="04E49AFF" w14:textId="77777777" w:rsidR="009E0AF9" w:rsidRDefault="009E0AF9" w:rsidP="009E0AF9">
      <w:pPr>
        <w:pStyle w:val="VDTableTitle"/>
        <w:ind w:firstLine="482"/>
      </w:pPr>
      <w:r w:rsidRPr="00DF3B47">
        <w:rPr>
          <w:b/>
          <w:bCs/>
        </w:rPr>
        <w:t>Table S1.</w:t>
      </w:r>
      <w:r>
        <w:t xml:space="preserve"> Adsorption and desorption kinetic parameters of MB on CNQD/PAM and TDQD/PAM hydrogels</w:t>
      </w:r>
    </w:p>
    <w:p w14:paraId="511AD405" w14:textId="77777777" w:rsidR="009E0AF9" w:rsidRDefault="009E0AF9" w:rsidP="009E0AF9">
      <w:pPr>
        <w:pStyle w:val="VAFigureCaption"/>
        <w:ind w:firstLine="482"/>
      </w:pPr>
      <w:r>
        <w:rPr>
          <w:rFonts w:hint="eastAsia"/>
          <w:b/>
          <w:bCs/>
        </w:rPr>
        <w:t>Fig</w:t>
      </w:r>
      <w:r>
        <w:rPr>
          <w:rFonts w:hint="eastAsia"/>
          <w:b/>
          <w:bCs/>
          <w:lang w:eastAsia="zh-CN"/>
        </w:rPr>
        <w:t>.</w:t>
      </w:r>
      <w:r w:rsidRPr="00DF3B47">
        <w:rPr>
          <w:b/>
          <w:bCs/>
        </w:rPr>
        <w:t xml:space="preserve"> S1</w:t>
      </w:r>
      <w:r>
        <w:t xml:space="preserve"> Titanium dioxide quantum dot (TDQD) colloid (left) and TDQD/PAM hydrogel (right)</w:t>
      </w:r>
    </w:p>
    <w:p w14:paraId="0D44A42D" w14:textId="77777777" w:rsidR="009E0AF9" w:rsidRDefault="009E0AF9" w:rsidP="009E0AF9">
      <w:pPr>
        <w:pStyle w:val="VAFigureCaption"/>
        <w:ind w:firstLine="482"/>
      </w:pPr>
      <w:r>
        <w:rPr>
          <w:rFonts w:hint="eastAsia"/>
          <w:b/>
          <w:bCs/>
        </w:rPr>
        <w:lastRenderedPageBreak/>
        <w:t>Fig</w:t>
      </w:r>
      <w:r>
        <w:rPr>
          <w:rFonts w:hint="eastAsia"/>
          <w:b/>
          <w:bCs/>
          <w:lang w:eastAsia="zh-CN"/>
        </w:rPr>
        <w:t>.</w:t>
      </w:r>
      <w:r w:rsidRPr="00DF3B47">
        <w:rPr>
          <w:b/>
          <w:bCs/>
        </w:rPr>
        <w:t xml:space="preserve"> S2</w:t>
      </w:r>
      <w:r>
        <w:t xml:space="preserve"> g-C</w:t>
      </w:r>
      <w:r>
        <w:rPr>
          <w:vertAlign w:val="subscript"/>
        </w:rPr>
        <w:t>3</w:t>
      </w:r>
      <w:r>
        <w:t>N</w:t>
      </w:r>
      <w:r>
        <w:rPr>
          <w:vertAlign w:val="subscript"/>
        </w:rPr>
        <w:t>4</w:t>
      </w:r>
      <w:r>
        <w:t xml:space="preserve"> quantum dots (CNQD) colloid (left) and CNQD/PAM hydrogel (right) </w:t>
      </w:r>
    </w:p>
    <w:p w14:paraId="1D5B1C74" w14:textId="77777777" w:rsidR="009E0AF9" w:rsidRDefault="009E0AF9" w:rsidP="009E0AF9">
      <w:pPr>
        <w:pStyle w:val="VAFigureCaption"/>
        <w:ind w:firstLine="482"/>
      </w:pPr>
      <w:r>
        <w:rPr>
          <w:b/>
          <w:bCs/>
        </w:rPr>
        <w:t>Fig</w:t>
      </w:r>
      <w:r>
        <w:rPr>
          <w:rFonts w:hint="eastAsia"/>
          <w:b/>
          <w:bCs/>
          <w:lang w:eastAsia="zh-CN"/>
        </w:rPr>
        <w:t>.</w:t>
      </w:r>
      <w:r w:rsidRPr="00DF3B47">
        <w:rPr>
          <w:b/>
          <w:bCs/>
        </w:rPr>
        <w:t xml:space="preserve"> S</w:t>
      </w:r>
      <w:r w:rsidRPr="00DF3B47">
        <w:rPr>
          <w:rFonts w:hint="eastAsia"/>
          <w:b/>
          <w:bCs/>
        </w:rPr>
        <w:t>3</w:t>
      </w:r>
      <w:r>
        <w:t xml:space="preserve"> HRTEM images of TDQD/PAM and CNQD/PAM</w:t>
      </w:r>
    </w:p>
    <w:p w14:paraId="4B5F5A44" w14:textId="77777777" w:rsidR="009E0AF9" w:rsidRDefault="009E0AF9" w:rsidP="009E0AF9">
      <w:pPr>
        <w:pStyle w:val="VAFigureCaption"/>
        <w:ind w:firstLine="482"/>
      </w:pPr>
      <w:r>
        <w:rPr>
          <w:b/>
          <w:bCs/>
        </w:rPr>
        <w:t>Fig</w:t>
      </w:r>
      <w:r>
        <w:rPr>
          <w:rFonts w:hint="eastAsia"/>
          <w:b/>
          <w:bCs/>
          <w:lang w:eastAsia="zh-CN"/>
        </w:rPr>
        <w:t>.</w:t>
      </w:r>
      <w:r w:rsidRPr="00DF3B47">
        <w:rPr>
          <w:b/>
          <w:bCs/>
        </w:rPr>
        <w:t xml:space="preserve"> S</w:t>
      </w:r>
      <w:r w:rsidRPr="00DF3B47">
        <w:rPr>
          <w:rFonts w:hint="eastAsia"/>
          <w:b/>
          <w:bCs/>
        </w:rPr>
        <w:t>4</w:t>
      </w:r>
      <w:r>
        <w:t xml:space="preserve"> Swelling behavior of CNQD/PAM and TDQD/PAM hydrogels over time</w:t>
      </w:r>
    </w:p>
    <w:p w14:paraId="2416D186" w14:textId="77777777" w:rsidR="009E0AF9" w:rsidRPr="00DF3B47" w:rsidRDefault="009E0AF9" w:rsidP="009E0AF9">
      <w:pPr>
        <w:pStyle w:val="VAFigureCaption"/>
        <w:ind w:firstLine="482"/>
      </w:pPr>
      <w:r>
        <w:rPr>
          <w:b/>
          <w:bCs/>
        </w:rPr>
        <w:t>Fig</w:t>
      </w:r>
      <w:r>
        <w:rPr>
          <w:rFonts w:hint="eastAsia"/>
          <w:b/>
          <w:bCs/>
          <w:lang w:eastAsia="zh-CN"/>
        </w:rPr>
        <w:t>.</w:t>
      </w:r>
      <w:r w:rsidRPr="00DF3B47">
        <w:rPr>
          <w:b/>
          <w:bCs/>
        </w:rPr>
        <w:t xml:space="preserve"> S</w:t>
      </w:r>
      <w:r w:rsidRPr="00DF3B47">
        <w:rPr>
          <w:rFonts w:hint="eastAsia"/>
          <w:b/>
          <w:bCs/>
        </w:rPr>
        <w:t>5</w:t>
      </w:r>
      <w:r w:rsidRPr="00DF3B47">
        <w:rPr>
          <w:b/>
          <w:bCs/>
        </w:rPr>
        <w:t>.</w:t>
      </w:r>
      <w:r>
        <w:t xml:space="preserve">  Decomposition of adsorbed MB under light irradiation in CNQD/PAM</w:t>
      </w:r>
    </w:p>
    <w:p w14:paraId="15B14207" w14:textId="3ED9F02F" w:rsidR="009E0AF9" w:rsidRDefault="009E0AF9">
      <w:pPr>
        <w:overflowPunct/>
        <w:autoSpaceDE/>
        <w:autoSpaceDN/>
        <w:adjustRightInd/>
        <w:spacing w:line="240" w:lineRule="auto"/>
        <w:textAlignment w:val="auto"/>
        <w:rPr>
          <w:sz w:val="20"/>
          <w:lang w:eastAsia="zh-CN"/>
        </w:rPr>
      </w:pPr>
      <w:r>
        <w:rPr>
          <w:lang w:eastAsia="zh-CN"/>
        </w:rPr>
        <w:br w:type="page"/>
      </w:r>
    </w:p>
    <w:p w14:paraId="665BE09F" w14:textId="77777777" w:rsidR="009E0AF9" w:rsidRPr="00DF3B47" w:rsidRDefault="009E0AF9" w:rsidP="009E0AF9">
      <w:pPr>
        <w:pStyle w:val="heading2"/>
      </w:pPr>
      <w:r w:rsidRPr="00DF3B47">
        <w:lastRenderedPageBreak/>
        <w:t>1.1 Characterization</w:t>
      </w:r>
    </w:p>
    <w:p w14:paraId="6DC51EC2" w14:textId="77777777" w:rsidR="009E0AF9" w:rsidRPr="00DF3B47" w:rsidRDefault="009E0AF9" w:rsidP="009E0AF9">
      <w:pPr>
        <w:pStyle w:val="TESupportingInformation"/>
      </w:pPr>
      <w:r w:rsidRPr="00DF3B47">
        <w:t>The obtained samples were characterized by various means. Its surface morphology was observed by Hitachi S-4800 scanning electron microscope (SEM). Transmission electron microscopy (TEM) was used to analyze particle morphology and dispersion, while high-resolution transmission electron microscopy (HRTEM) was used to observe lattice fringes and determine crystal structure. All related tests were completed on the Tecnai G2 F30 (300 kV) instrument. The chemical state of the samples was determined by X-ray photoelectron spectroscopy (XPS) using the ESCALAB-250Xi photoelectron spectrometer. Fourier Transform Infrared spectroscopy (FTIR) was obtained by the Varian Cary 610/670 micro infrared spectrometer, while ultraviolet-visible diffuse reflectance spectroscopy (DRS) was determined by the Varian Cary 5000 ultraviolet-visible spectrophotometer.</w:t>
      </w:r>
    </w:p>
    <w:p w14:paraId="3E39E101" w14:textId="77777777" w:rsidR="009E0AF9" w:rsidRPr="00DF3B47" w:rsidRDefault="009E0AF9" w:rsidP="009E0AF9">
      <w:pPr>
        <w:pStyle w:val="heading2"/>
      </w:pPr>
      <w:r w:rsidRPr="00DF3B47">
        <w:t>1.2 The swelling behavior of hydrogels</w:t>
      </w:r>
    </w:p>
    <w:p w14:paraId="4D79A5D3" w14:textId="77777777" w:rsidR="009E0AF9" w:rsidRPr="00DF3B47" w:rsidRDefault="009E0AF9" w:rsidP="009E0AF9">
      <w:pPr>
        <w:pStyle w:val="TESupportingInformation"/>
      </w:pPr>
      <w:r w:rsidRPr="00DF3B47">
        <w:t>The swelling behavior of the composite hydrogel in deionized water was monitored by gravimetric method. The specific operation is as follows: Place the pre-weighed dry hydrogel sample in a 100 mL beaker containing 50 mL of deionized water and seal it with plastic film to prevent evaporation. Subsequently, place the beaker in a 50 °C hot blast stove to avoid the influence of environmental temperature fluctuations on the experiment, thereby ensuring that the swelling process takes place under relatively stable conditions. At the preset time intervals, take out the expanded hydrogel, gently absorb the residual moisture on the surface with a paper towel, and weigh it immediately. The water absorption rate of the sample is calculated by the following formula:</w:t>
      </w:r>
    </w:p>
    <w:p w14:paraId="4EDB6DE9" w14:textId="54C67C17" w:rsidR="009E0AF9" w:rsidRPr="00DF3B47" w:rsidRDefault="007E4A29" w:rsidP="009E0AF9">
      <w:pPr>
        <w:pStyle w:val="equation"/>
      </w:pPr>
      <w:r w:rsidRPr="007E4A29">
        <w:rPr>
          <w:position w:val="-22"/>
        </w:rPr>
        <w:object w:dxaOrig="1128" w:dyaOrig="550" w14:anchorId="32C8A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57pt;height:27pt" o:ole="">
            <v:imagedata r:id="rId8" o:title=""/>
          </v:shape>
          <o:OLEObject Type="Embed" ProgID="Equation.AxMath" ShapeID="_x0000_i1067" DrawAspect="Content" ObjectID="_1827919445" r:id="rId9"/>
        </w:object>
      </w:r>
      <w:r w:rsidR="009E0AF9" w:rsidRPr="00DF3B47">
        <w:tab/>
      </w:r>
      <w:bookmarkStart w:id="2" w:name="OLE_LINK4"/>
      <w:r w:rsidR="009E0AF9" w:rsidRPr="007E4A29">
        <w:t>(SI.1)</w:t>
      </w:r>
      <w:bookmarkEnd w:id="2"/>
    </w:p>
    <w:p w14:paraId="531470D0" w14:textId="77777777" w:rsidR="009E0AF9" w:rsidRPr="00DF3B47" w:rsidRDefault="009E0AF9" w:rsidP="009E0AF9">
      <w:pPr>
        <w:pStyle w:val="TESupportingInformation"/>
      </w:pPr>
      <w:r w:rsidRPr="00DF3B47">
        <w:lastRenderedPageBreak/>
        <w:t>Here, S represents the swelling ratio, W is the mass of the hydrogel after swelling, and W0 is the mass of the dry gel.</w:t>
      </w:r>
    </w:p>
    <w:p w14:paraId="5238CE5A" w14:textId="77777777" w:rsidR="009E0AF9" w:rsidRPr="00DF3B47" w:rsidRDefault="009E0AF9" w:rsidP="009E0AF9">
      <w:pPr>
        <w:pStyle w:val="TESupportingInformation"/>
      </w:pPr>
      <w:r w:rsidRPr="00DF3B47">
        <w:t>Porosity calculation</w:t>
      </w:r>
    </w:p>
    <w:p w14:paraId="68513706" w14:textId="5509CCC0" w:rsidR="009E0AF9" w:rsidRPr="00DF3B47" w:rsidRDefault="007E4A29" w:rsidP="009E0AF9">
      <w:pPr>
        <w:pStyle w:val="equation"/>
      </w:pPr>
      <w:r w:rsidRPr="007E4A29">
        <w:rPr>
          <w:position w:val="-22"/>
        </w:rPr>
        <w:object w:dxaOrig="670" w:dyaOrig="550" w14:anchorId="5712BC0B">
          <v:shape id="_x0000_i1069" type="#_x0000_t75" style="width:33pt;height:27pt" o:ole="">
            <v:imagedata r:id="rId10" o:title=""/>
          </v:shape>
          <o:OLEObject Type="Embed" ProgID="Equation.AxMath" ShapeID="_x0000_i1069" DrawAspect="Content" ObjectID="_1827919446" r:id="rId11"/>
        </w:object>
      </w:r>
      <w:r w:rsidR="009E0AF9" w:rsidRPr="00DF3B47">
        <w:tab/>
      </w:r>
      <w:r w:rsidR="009E0AF9" w:rsidRPr="007E4A29">
        <w:t>(SI.2)</w:t>
      </w:r>
    </w:p>
    <w:p w14:paraId="0EB8C357" w14:textId="225E0247" w:rsidR="009E0AF9" w:rsidRPr="00DF3B47" w:rsidRDefault="007E4A29" w:rsidP="009E0AF9">
      <w:pPr>
        <w:pStyle w:val="equation"/>
      </w:pPr>
      <w:r w:rsidRPr="007E4A29">
        <w:rPr>
          <w:position w:val="-22"/>
        </w:rPr>
        <w:object w:dxaOrig="2326" w:dyaOrig="550" w14:anchorId="04C4D521">
          <v:shape id="_x0000_i1071" type="#_x0000_t75" style="width:117pt;height:27pt" o:ole="">
            <v:imagedata r:id="rId12" o:title=""/>
          </v:shape>
          <o:OLEObject Type="Embed" ProgID="Equation.AxMath" ShapeID="_x0000_i1071" DrawAspect="Content" ObjectID="_1827919447" r:id="rId13"/>
        </w:object>
      </w:r>
      <w:r w:rsidR="009E0AF9" w:rsidRPr="00DF3B47">
        <w:tab/>
        <w:t>(SI.3)</w:t>
      </w:r>
    </w:p>
    <w:p w14:paraId="612A9222" w14:textId="77777777" w:rsidR="009E0AF9" w:rsidRPr="00DF3B47" w:rsidRDefault="009E0AF9" w:rsidP="009E0AF9">
      <w:pPr>
        <w:pStyle w:val="TESupportingInformation"/>
      </w:pPr>
      <w:r w:rsidRPr="00DF3B47">
        <w:t xml:space="preserve">Here, </w:t>
      </w:r>
    </w:p>
    <w:bookmarkStart w:id="3" w:name="OLE_LINK8"/>
    <w:p w14:paraId="3934FEAA" w14:textId="23693381" w:rsidR="009E0AF9" w:rsidRPr="00DF3B47" w:rsidRDefault="007E4A29" w:rsidP="009E0AF9">
      <w:pPr>
        <w:pStyle w:val="TESupportingInformation"/>
      </w:pPr>
      <w:r w:rsidRPr="007E4A29">
        <w:rPr>
          <w:position w:val="-10"/>
        </w:rPr>
        <w:object w:dxaOrig="232" w:dyaOrig="300" w14:anchorId="0E311262">
          <v:shape id="_x0000_i1073" type="#_x0000_t75" style="width:11.25pt;height:15pt" o:ole="">
            <v:imagedata r:id="rId14" o:title=""/>
          </v:shape>
          <o:OLEObject Type="Embed" ProgID="Equation.AxMath" ShapeID="_x0000_i1073" DrawAspect="Content" ObjectID="_1827919448" r:id="rId15"/>
        </w:object>
      </w:r>
      <w:bookmarkEnd w:id="3"/>
      <w:r w:rsidR="009E0AF9" w:rsidRPr="00DF3B47">
        <w:t>：The volume of dry gel;</w:t>
      </w:r>
    </w:p>
    <w:p w14:paraId="411A9135" w14:textId="2D0F0534" w:rsidR="009E0AF9" w:rsidRPr="00DF3B47" w:rsidRDefault="007E4A29" w:rsidP="009E0AF9">
      <w:pPr>
        <w:pStyle w:val="TESupportingInformation"/>
      </w:pPr>
      <w:r w:rsidRPr="007E4A29">
        <w:rPr>
          <w:position w:val="-10"/>
        </w:rPr>
        <w:object w:dxaOrig="198" w:dyaOrig="300" w14:anchorId="0B9AE058">
          <v:shape id="_x0000_i1075" type="#_x0000_t75" style="width:10.5pt;height:15pt" o:ole="">
            <v:imagedata r:id="rId16" o:title=""/>
          </v:shape>
          <o:OLEObject Type="Embed" ProgID="Equation.AxMath" ShapeID="_x0000_i1075" DrawAspect="Content" ObjectID="_1827919449" r:id="rId17"/>
        </w:object>
      </w:r>
      <w:r w:rsidR="009E0AF9" w:rsidRPr="00DF3B47">
        <w:t>：The total volume after swelling equilibrium;</w:t>
      </w:r>
    </w:p>
    <w:bookmarkStart w:id="4" w:name="OLE_LINK9"/>
    <w:p w14:paraId="334162BD" w14:textId="583F88F5" w:rsidR="009E0AF9" w:rsidRPr="00DF3B47" w:rsidRDefault="007E4A29" w:rsidP="009E0AF9">
      <w:pPr>
        <w:pStyle w:val="TESupportingInformation"/>
      </w:pPr>
      <w:r w:rsidRPr="007E4A29">
        <w:rPr>
          <w:position w:val="-10"/>
        </w:rPr>
        <w:object w:dxaOrig="240" w:dyaOrig="300" w14:anchorId="4F9D3FEC">
          <v:shape id="_x0000_i1077" type="#_x0000_t75" style="width:11.25pt;height:15pt" o:ole="">
            <v:imagedata r:id="rId18" o:title=""/>
          </v:shape>
          <o:OLEObject Type="Embed" ProgID="Equation.AxMath" ShapeID="_x0000_i1077" DrawAspect="Content" ObjectID="_1827919450" r:id="rId19"/>
        </w:object>
      </w:r>
      <w:r w:rsidR="009E0AF9" w:rsidRPr="00DF3B47">
        <w:t>：The volume of pores;</w:t>
      </w:r>
    </w:p>
    <w:bookmarkEnd w:id="4"/>
    <w:p w14:paraId="6E75C73F" w14:textId="45859D58" w:rsidR="009E0AF9" w:rsidRPr="00DF3B47" w:rsidRDefault="007E4A29" w:rsidP="009E0AF9">
      <w:pPr>
        <w:pStyle w:val="TESupportingInformation"/>
      </w:pPr>
      <w:r w:rsidRPr="007E4A29">
        <w:rPr>
          <w:position w:val="-10"/>
        </w:rPr>
        <w:object w:dxaOrig="392" w:dyaOrig="300" w14:anchorId="5EAA242A">
          <v:shape id="_x0000_i1079" type="#_x0000_t75" style="width:20.25pt;height:15pt" o:ole="">
            <v:imagedata r:id="rId20" o:title=""/>
          </v:shape>
          <o:OLEObject Type="Embed" ProgID="Equation.AxMath" ShapeID="_x0000_i1079" DrawAspect="Content" ObjectID="_1827919451" r:id="rId21"/>
        </w:object>
      </w:r>
      <w:r w:rsidR="009E0AF9" w:rsidRPr="00DF3B47">
        <w:t>：Polymer skeleton volume (assuming that the volume of the polymer skeleton remains approximately unchanged during the water absorption process);</w:t>
      </w:r>
    </w:p>
    <w:p w14:paraId="3769ACE1" w14:textId="69F7A629" w:rsidR="009E0AF9" w:rsidRPr="00DF3B47" w:rsidRDefault="007E4A29" w:rsidP="009E0AF9">
      <w:pPr>
        <w:pStyle w:val="TESupportingInformation"/>
      </w:pPr>
      <w:r w:rsidRPr="007E4A29">
        <w:rPr>
          <w:position w:val="-10"/>
        </w:rPr>
        <w:object w:dxaOrig="170" w:dyaOrig="298" w14:anchorId="403A3A85">
          <v:shape id="_x0000_i1081" type="#_x0000_t75" style="width:8.25pt;height:14.25pt" o:ole="">
            <v:imagedata r:id="rId22" o:title=""/>
          </v:shape>
          <o:OLEObject Type="Embed" ProgID="Equation.AxMath" ShapeID="_x0000_i1081" DrawAspect="Content" ObjectID="_1827919452" r:id="rId23"/>
        </w:object>
      </w:r>
      <w:r w:rsidR="009E0AF9" w:rsidRPr="00DF3B47">
        <w:t>：Swelling ratio;</w:t>
      </w:r>
    </w:p>
    <w:p w14:paraId="6C1A0A47" w14:textId="654ECD85" w:rsidR="009E0AF9" w:rsidRPr="00DF3B47" w:rsidRDefault="007E4A29" w:rsidP="009E0AF9">
      <w:pPr>
        <w:pStyle w:val="TESupportingInformation"/>
      </w:pPr>
      <w:r w:rsidRPr="007E4A29">
        <w:rPr>
          <w:position w:val="-10"/>
        </w:rPr>
        <w:object w:dxaOrig="138" w:dyaOrig="298" w14:anchorId="14E3E34D">
          <v:shape id="_x0000_i1083" type="#_x0000_t75" style="width:6.75pt;height:14.25pt" o:ole="">
            <v:imagedata r:id="rId24" o:title=""/>
          </v:shape>
          <o:OLEObject Type="Embed" ProgID="Equation.AxMath" ShapeID="_x0000_i1083" DrawAspect="Content" ObjectID="_1827919453" r:id="rId25"/>
        </w:object>
      </w:r>
      <w:r w:rsidR="009E0AF9" w:rsidRPr="00DF3B47">
        <w:t>：Porosity.</w:t>
      </w:r>
    </w:p>
    <w:p w14:paraId="3E093E21" w14:textId="77777777" w:rsidR="009E0AF9" w:rsidRPr="00DF3B47" w:rsidRDefault="009E0AF9" w:rsidP="009E0AF9">
      <w:pPr>
        <w:pStyle w:val="heading2"/>
      </w:pPr>
      <w:r w:rsidRPr="00DF3B47">
        <w:t>1.3 pH-dependent adsorption experiment.</w:t>
      </w:r>
    </w:p>
    <w:p w14:paraId="03A1470B" w14:textId="77777777" w:rsidR="009E0AF9" w:rsidRPr="00DF3B47" w:rsidRDefault="009E0AF9" w:rsidP="009E0AF9">
      <w:pPr>
        <w:pStyle w:val="TESupportingInformation"/>
      </w:pPr>
      <w:r w:rsidRPr="00DF3B47">
        <w:t>To investigate the effect of pH on adsorption behavior, a separate set of experiments was conducted under identical conditions using the same batch of CNQD colloids to eliminate batch-to-batch variations. Because of the limited sample amount, the mass of each hydrogel used in this test was smaller than that in the standard adsorption experiment. To ensure complete adsorption equilibrium, the samples were immersed in MB solutions for one week before measurement.</w:t>
      </w:r>
    </w:p>
    <w:p w14:paraId="5D2F164F" w14:textId="77777777" w:rsidR="009E0AF9" w:rsidRPr="00B94B8F" w:rsidRDefault="009E0AF9" w:rsidP="009E0AF9">
      <w:pPr>
        <w:pStyle w:val="heading2"/>
      </w:pPr>
      <w:bookmarkStart w:id="5" w:name="OLE_LINK7"/>
      <w:r w:rsidRPr="00B94B8F">
        <w:lastRenderedPageBreak/>
        <w:t>1.4 Photocatalytic performance test</w:t>
      </w:r>
    </w:p>
    <w:bookmarkEnd w:id="5"/>
    <w:p w14:paraId="7277C012" w14:textId="77777777" w:rsidR="009E0AF9" w:rsidRPr="00DF3B47" w:rsidRDefault="009E0AF9" w:rsidP="009E0AF9">
      <w:pPr>
        <w:pStyle w:val="TESupportingInformation"/>
      </w:pPr>
      <w:r w:rsidRPr="00B94B8F">
        <w:t xml:space="preserve">To evaluate the photocatalytic degradation ability of the </w:t>
      </w:r>
      <w:r w:rsidRPr="00B94B8F">
        <w:rPr>
          <w:rFonts w:hint="eastAsia"/>
        </w:rPr>
        <w:t xml:space="preserve">CNQD/PAM </w:t>
      </w:r>
      <w:r w:rsidRPr="00B94B8F">
        <w:t>hydrogels after the adsorption–desorption cycle, the samples were subjected to simulated sunlight irradiation using a 300 W xenon lamp following MB adsorption (48 h) and desorption (24 h). During illumination, the temporal changes in gel color and morphology were monitored, and both top-view and side-view images were recorded to characterize the light-driven degradation behavior of the retained dye.</w:t>
      </w:r>
      <w:r w:rsidRPr="00DF3B47">
        <w:t xml:space="preserve"> </w:t>
      </w:r>
    </w:p>
    <w:p w14:paraId="7710578A" w14:textId="77777777" w:rsidR="009E0AF9" w:rsidRPr="00DF3B47" w:rsidRDefault="009E0AF9" w:rsidP="009E0AF9">
      <w:pPr>
        <w:pStyle w:val="heading2"/>
      </w:pPr>
      <w:r w:rsidRPr="00DF3B47">
        <w:t>1.5 Analysis of adsorption kinetics</w:t>
      </w:r>
    </w:p>
    <w:p w14:paraId="48FB43A4" w14:textId="77777777" w:rsidR="009E0AF9" w:rsidRPr="00DF3B47" w:rsidRDefault="009E0AF9" w:rsidP="009E0AF9">
      <w:pPr>
        <w:pStyle w:val="TESupportingInformation"/>
      </w:pPr>
      <w:r w:rsidRPr="00DF3B47">
        <w:t>Pseudo-first-order model</w:t>
      </w:r>
    </w:p>
    <w:p w14:paraId="6A5EC3D1" w14:textId="77777777" w:rsidR="009E0AF9" w:rsidRPr="00DF3B47" w:rsidRDefault="009E0AF9" w:rsidP="009E0AF9">
      <w:pPr>
        <w:pStyle w:val="TESupportingInformation"/>
      </w:pPr>
      <w:r w:rsidRPr="00DF3B47">
        <w:t>The integral form of the pseudo-first-order model generally expressed as follows:</w:t>
      </w:r>
    </w:p>
    <w:p w14:paraId="508B0F94" w14:textId="7B571A40" w:rsidR="009E0AF9" w:rsidRPr="00DF3B47" w:rsidRDefault="007E4A29" w:rsidP="009E0AF9">
      <w:pPr>
        <w:pStyle w:val="equation"/>
      </w:pPr>
      <w:r w:rsidRPr="007E4A29">
        <w:rPr>
          <w:position w:val="-11"/>
        </w:rPr>
        <w:object w:dxaOrig="2056" w:dyaOrig="314" w14:anchorId="0593B26E">
          <v:shape id="_x0000_i1085" type="#_x0000_t75" style="width:102.75pt;height:15.75pt" o:ole="">
            <v:imagedata r:id="rId26" o:title=""/>
          </v:shape>
          <o:OLEObject Type="Embed" ProgID="Equation.AxMath" ShapeID="_x0000_i1085" DrawAspect="Content" ObjectID="_1827919454" r:id="rId27"/>
        </w:object>
      </w:r>
      <w:r w:rsidR="009E0AF9" w:rsidRPr="00DF3B47">
        <w:tab/>
        <w:t>(SI.4)</w:t>
      </w:r>
    </w:p>
    <w:p w14:paraId="01E174C4" w14:textId="77777777" w:rsidR="009E0AF9" w:rsidRPr="00DF3B47" w:rsidRDefault="009E0AF9" w:rsidP="009E0AF9">
      <w:pPr>
        <w:pStyle w:val="TESupportingInformation"/>
      </w:pPr>
      <w:proofErr w:type="gramStart"/>
      <w:r w:rsidRPr="00DF3B47">
        <w:t>Where</w:t>
      </w:r>
      <w:proofErr w:type="gramEnd"/>
      <w:r w:rsidRPr="00DF3B47">
        <w:t>，</w:t>
      </w:r>
    </w:p>
    <w:bookmarkStart w:id="6" w:name="OLE_LINK5"/>
    <w:p w14:paraId="41492811" w14:textId="247B96F6" w:rsidR="009E0AF9" w:rsidRPr="00DF3B47" w:rsidRDefault="007E4A29" w:rsidP="009E0AF9">
      <w:pPr>
        <w:pStyle w:val="TESupportingInformation"/>
      </w:pPr>
      <w:r w:rsidRPr="007E4A29">
        <w:rPr>
          <w:position w:val="-10"/>
        </w:rPr>
        <w:object w:dxaOrig="210" w:dyaOrig="300" w14:anchorId="0E30D4F2">
          <v:shape id="_x0000_i1087" type="#_x0000_t75" style="width:11.25pt;height:15pt" o:ole="">
            <v:imagedata r:id="rId28" o:title=""/>
          </v:shape>
          <o:OLEObject Type="Embed" ProgID="Equation.AxMath" ShapeID="_x0000_i1087" DrawAspect="Content" ObjectID="_1827919455" r:id="rId29"/>
        </w:object>
      </w:r>
      <w:bookmarkEnd w:id="6"/>
      <w:r w:rsidR="009E0AF9" w:rsidRPr="00DF3B47">
        <w:t>：amount adsorbed at equilibrium（mg g-1）;</w:t>
      </w:r>
    </w:p>
    <w:bookmarkStart w:id="7" w:name="OLE_LINK6"/>
    <w:p w14:paraId="2E92FC1B" w14:textId="568F34E2" w:rsidR="009E0AF9" w:rsidRPr="00DF3B47" w:rsidRDefault="007E4A29" w:rsidP="009E0AF9">
      <w:pPr>
        <w:pStyle w:val="TESupportingInformation"/>
      </w:pPr>
      <w:r w:rsidRPr="007E4A29">
        <w:rPr>
          <w:position w:val="-10"/>
        </w:rPr>
        <w:object w:dxaOrig="192" w:dyaOrig="300" w14:anchorId="0265F71F">
          <v:shape id="_x0000_i1089" type="#_x0000_t75" style="width:9pt;height:15pt" o:ole="">
            <v:imagedata r:id="rId30" o:title=""/>
          </v:shape>
          <o:OLEObject Type="Embed" ProgID="Equation.AxMath" ShapeID="_x0000_i1089" DrawAspect="Content" ObjectID="_1827919456" r:id="rId31"/>
        </w:object>
      </w:r>
      <w:bookmarkEnd w:id="7"/>
      <w:r w:rsidR="009E0AF9" w:rsidRPr="00DF3B47">
        <w:t>：amount adsorbed at time t（mg g-1）;</w:t>
      </w:r>
    </w:p>
    <w:bookmarkStart w:id="8" w:name="OLE_LINK12"/>
    <w:p w14:paraId="57DE5FD0" w14:textId="1CB2D97B" w:rsidR="009E0AF9" w:rsidRPr="00DF3B47" w:rsidRDefault="007E4A29" w:rsidP="009E0AF9">
      <w:pPr>
        <w:pStyle w:val="TESupportingInformation"/>
      </w:pPr>
      <w:r w:rsidRPr="007E4A29">
        <w:rPr>
          <w:position w:val="-10"/>
        </w:rPr>
        <w:object w:dxaOrig="197" w:dyaOrig="300" w14:anchorId="1CC62460">
          <v:shape id="_x0000_i1091" type="#_x0000_t75" style="width:10.5pt;height:15pt" o:ole="">
            <v:imagedata r:id="rId32" o:title=""/>
          </v:shape>
          <o:OLEObject Type="Embed" ProgID="Equation.AxMath" ShapeID="_x0000_i1091" DrawAspect="Content" ObjectID="_1827919457" r:id="rId33"/>
        </w:object>
      </w:r>
      <w:bookmarkEnd w:id="8"/>
      <w:r w:rsidR="009E0AF9" w:rsidRPr="00DF3B47">
        <w:t>：the pseudo-first-order rate constant（min-1）;</w:t>
      </w:r>
    </w:p>
    <w:p w14:paraId="090E9DC2" w14:textId="50BED07C" w:rsidR="009E0AF9" w:rsidRPr="00DF3B47" w:rsidRDefault="007E4A29" w:rsidP="009E0AF9">
      <w:pPr>
        <w:pStyle w:val="TESupportingInformation"/>
      </w:pPr>
      <w:r w:rsidRPr="007E4A29">
        <w:rPr>
          <w:position w:val="-10"/>
        </w:rPr>
        <w:object w:dxaOrig="112" w:dyaOrig="298" w14:anchorId="786E2E9F">
          <v:shape id="_x0000_i1093" type="#_x0000_t75" style="width:6pt;height:14.25pt" o:ole="">
            <v:imagedata r:id="rId34" o:title=""/>
          </v:shape>
          <o:OLEObject Type="Embed" ProgID="Equation.AxMath" ShapeID="_x0000_i1093" DrawAspect="Content" ObjectID="_1827919458" r:id="rId35"/>
        </w:object>
      </w:r>
      <w:r w:rsidR="009E0AF9" w:rsidRPr="00DF3B47">
        <w:t>：adsorption time（min）.</w:t>
      </w:r>
    </w:p>
    <w:p w14:paraId="10C6E43C" w14:textId="77777777" w:rsidR="009E0AF9" w:rsidRPr="00DF3B47" w:rsidRDefault="009E0AF9" w:rsidP="009E0AF9">
      <w:pPr>
        <w:pStyle w:val="TESupportingInformation"/>
      </w:pPr>
      <w:r w:rsidRPr="00DF3B47">
        <w:t>Pseudo-second-order model</w:t>
      </w:r>
    </w:p>
    <w:p w14:paraId="392E9396" w14:textId="77777777" w:rsidR="009E0AF9" w:rsidRPr="00DF3B47" w:rsidRDefault="009E0AF9" w:rsidP="009E0AF9">
      <w:pPr>
        <w:pStyle w:val="TESupportingInformation"/>
      </w:pPr>
      <w:r w:rsidRPr="00DF3B47">
        <w:t>The pseudo-second-order model was expressed by the following equation:</w:t>
      </w:r>
    </w:p>
    <w:p w14:paraId="4AE0A766" w14:textId="049AF01E" w:rsidR="009E0AF9" w:rsidRPr="00DF3B47" w:rsidRDefault="007E4A29" w:rsidP="009E0AF9">
      <w:pPr>
        <w:pStyle w:val="equation"/>
      </w:pPr>
      <w:r w:rsidRPr="007E4A29">
        <w:rPr>
          <w:position w:val="-22"/>
        </w:rPr>
        <w:object w:dxaOrig="1475" w:dyaOrig="550" w14:anchorId="35FF8000">
          <v:shape id="_x0000_i1095" type="#_x0000_t75" style="width:74.25pt;height:27pt" o:ole="">
            <v:imagedata r:id="rId36" o:title=""/>
          </v:shape>
          <o:OLEObject Type="Embed" ProgID="Equation.AxMath" ShapeID="_x0000_i1095" DrawAspect="Content" ObjectID="_1827919459" r:id="rId37"/>
        </w:object>
      </w:r>
      <w:r w:rsidR="009E0AF9" w:rsidRPr="00DF3B47">
        <w:tab/>
        <w:t>(SI.5)</w:t>
      </w:r>
    </w:p>
    <w:p w14:paraId="2782DFF4" w14:textId="77777777" w:rsidR="009E0AF9" w:rsidRPr="00DF3B47" w:rsidRDefault="009E0AF9" w:rsidP="009E0AF9">
      <w:pPr>
        <w:pStyle w:val="TESupportingInformation"/>
      </w:pPr>
      <w:proofErr w:type="gramStart"/>
      <w:r w:rsidRPr="00DF3B47">
        <w:lastRenderedPageBreak/>
        <w:t>Where</w:t>
      </w:r>
      <w:proofErr w:type="gramEnd"/>
      <w:r w:rsidRPr="00DF3B47">
        <w:t>，</w:t>
      </w:r>
    </w:p>
    <w:p w14:paraId="62D65CB2" w14:textId="5364E1D8" w:rsidR="009E0AF9" w:rsidRPr="00DF3B47" w:rsidRDefault="007E4A29" w:rsidP="009E0AF9">
      <w:pPr>
        <w:pStyle w:val="TESupportingInformation"/>
      </w:pPr>
      <w:r w:rsidRPr="007E4A29">
        <w:rPr>
          <w:position w:val="-10"/>
        </w:rPr>
        <w:object w:dxaOrig="210" w:dyaOrig="300" w14:anchorId="25DE4BC1">
          <v:shape id="_x0000_i1097" type="#_x0000_t75" style="width:11.25pt;height:15pt" o:ole="">
            <v:imagedata r:id="rId28" o:title=""/>
          </v:shape>
          <o:OLEObject Type="Embed" ProgID="Equation.AxMath" ShapeID="_x0000_i1097" DrawAspect="Content" ObjectID="_1827919460" r:id="rId38"/>
        </w:object>
      </w:r>
      <w:r w:rsidR="009E0AF9" w:rsidRPr="00DF3B47">
        <w:t>：amount adsorbed at equilibrium（mg g-1）;</w:t>
      </w:r>
    </w:p>
    <w:p w14:paraId="54AEF653" w14:textId="26917D9A" w:rsidR="009E0AF9" w:rsidRPr="00DF3B47" w:rsidRDefault="007E4A29" w:rsidP="009E0AF9">
      <w:pPr>
        <w:pStyle w:val="TESupportingInformation"/>
      </w:pPr>
      <w:r w:rsidRPr="007E4A29">
        <w:rPr>
          <w:position w:val="-10"/>
        </w:rPr>
        <w:object w:dxaOrig="192" w:dyaOrig="300" w14:anchorId="5C0CF717">
          <v:shape id="_x0000_i1099" type="#_x0000_t75" style="width:9pt;height:15pt" o:ole="">
            <v:imagedata r:id="rId30" o:title=""/>
          </v:shape>
          <o:OLEObject Type="Embed" ProgID="Equation.AxMath" ShapeID="_x0000_i1099" DrawAspect="Content" ObjectID="_1827919461" r:id="rId39"/>
        </w:object>
      </w:r>
      <w:r w:rsidR="009E0AF9" w:rsidRPr="00DF3B47">
        <w:t>：amount adsorbed at time t（mg g-1）;</w:t>
      </w:r>
    </w:p>
    <w:p w14:paraId="572CA9F0" w14:textId="73E73FE3" w:rsidR="009E0AF9" w:rsidRPr="00DF3B47" w:rsidRDefault="007E4A29" w:rsidP="009E0AF9">
      <w:pPr>
        <w:pStyle w:val="TESupportingInformation"/>
      </w:pPr>
      <w:r w:rsidRPr="007E4A29">
        <w:rPr>
          <w:position w:val="-10"/>
        </w:rPr>
        <w:object w:dxaOrig="221" w:dyaOrig="300" w14:anchorId="78700E3C">
          <v:shape id="_x0000_i1101" type="#_x0000_t75" style="width:11.25pt;height:15pt" o:ole="">
            <v:imagedata r:id="rId40" o:title=""/>
          </v:shape>
          <o:OLEObject Type="Embed" ProgID="Equation.AxMath" ShapeID="_x0000_i1101" DrawAspect="Content" ObjectID="_1827919462" r:id="rId41"/>
        </w:object>
      </w:r>
      <w:r w:rsidR="009E0AF9" w:rsidRPr="00DF3B47">
        <w:t>：the pseudo-second-order rate constant（min-1）;</w:t>
      </w:r>
    </w:p>
    <w:p w14:paraId="67804995" w14:textId="3D649FC5" w:rsidR="009E0AF9" w:rsidRPr="00DF3B47" w:rsidRDefault="007E4A29" w:rsidP="009E0AF9">
      <w:pPr>
        <w:pStyle w:val="TESupportingInformation"/>
      </w:pPr>
      <w:r w:rsidRPr="007E4A29">
        <w:rPr>
          <w:position w:val="-10"/>
        </w:rPr>
        <w:object w:dxaOrig="112" w:dyaOrig="298" w14:anchorId="7DDF0EAD">
          <v:shape id="_x0000_i1103" type="#_x0000_t75" style="width:6pt;height:14.25pt" o:ole="">
            <v:imagedata r:id="rId34" o:title=""/>
          </v:shape>
          <o:OLEObject Type="Embed" ProgID="Equation.AxMath" ShapeID="_x0000_i1103" DrawAspect="Content" ObjectID="_1827919463" r:id="rId42"/>
        </w:object>
      </w:r>
      <w:r w:rsidR="009E0AF9" w:rsidRPr="00DF3B47">
        <w:t>：adsorption time（min）.</w:t>
      </w:r>
    </w:p>
    <w:p w14:paraId="3F93BA76" w14:textId="77777777" w:rsidR="009E0AF9" w:rsidRPr="00DF3B47" w:rsidRDefault="009E0AF9" w:rsidP="009E0AF9">
      <w:pPr>
        <w:pStyle w:val="heading2"/>
      </w:pPr>
      <w:bookmarkStart w:id="9" w:name="OLE_LINK10"/>
      <w:r w:rsidRPr="00DF3B47">
        <w:t>1.6 Numerical solution</w:t>
      </w:r>
      <w:bookmarkEnd w:id="9"/>
    </w:p>
    <w:p w14:paraId="216518D6" w14:textId="77777777" w:rsidR="009E0AF9" w:rsidRPr="00DF3B47" w:rsidRDefault="009E0AF9" w:rsidP="009E0AF9">
      <w:pPr>
        <w:pStyle w:val="TESupportingInformation"/>
      </w:pPr>
      <w:r w:rsidRPr="00DF3B47">
        <w:t>Since the governing equation is a partial differential-ordinary differential coupled system, it is difficult to obtain through analytical solution. Therefore, the finite difference method is adopted for numerical solution. The basic idea is to discretize the continuous spatial and temporal variables into a finite grid of points, replace the derivative operation with the difference approximation, thereby converting the partial differential equation into an algebraic system of equations, and gradually solve it iteratively in the time step.</w:t>
      </w:r>
    </w:p>
    <w:p w14:paraId="3E7686A9" w14:textId="77777777" w:rsidR="009E0AF9" w:rsidRPr="00DF3B47" w:rsidRDefault="009E0AF9" w:rsidP="009E0AF9">
      <w:pPr>
        <w:pStyle w:val="TESupportingInformation"/>
      </w:pPr>
      <w:r w:rsidRPr="00DF3B47">
        <w:t>The construction of discrete grids</w:t>
      </w:r>
    </w:p>
    <w:p w14:paraId="6418CEB8" w14:textId="331B6EF1" w:rsidR="009E0AF9" w:rsidRPr="00DF3B47" w:rsidRDefault="009E0AF9" w:rsidP="009E0AF9">
      <w:pPr>
        <w:pStyle w:val="TESupportingInformation"/>
      </w:pPr>
      <w:r w:rsidRPr="00DF3B47">
        <w:t xml:space="preserve">The radial interval is divided into </w:t>
      </w:r>
      <w:r w:rsidR="007E4A29" w:rsidRPr="007E4A29">
        <w:rPr>
          <w:position w:val="-10"/>
        </w:rPr>
        <w:object w:dxaOrig="268" w:dyaOrig="300" w14:anchorId="7142FEDA">
          <v:shape id="_x0000_i1105" type="#_x0000_t75" style="width:13.5pt;height:15pt" o:ole="">
            <v:imagedata r:id="rId43" o:title=""/>
          </v:shape>
          <o:OLEObject Type="Embed" ProgID="Equation.AxMath" ShapeID="_x0000_i1105" DrawAspect="Content" ObjectID="_1827919464" r:id="rId44"/>
        </w:object>
      </w:r>
      <w:r w:rsidRPr="00DF3B47">
        <w:t xml:space="preserve"> equally spaced grid points, and the time interval is also discretized into </w:t>
      </w:r>
      <w:r w:rsidR="007E4A29" w:rsidRPr="007E4A29">
        <w:rPr>
          <w:position w:val="-10"/>
        </w:rPr>
        <w:object w:dxaOrig="251" w:dyaOrig="300" w14:anchorId="3237E2B6">
          <v:shape id="_x0000_i1107" type="#_x0000_t75" style="width:12.75pt;height:15pt" o:ole="">
            <v:imagedata r:id="rId45" o:title=""/>
          </v:shape>
          <o:OLEObject Type="Embed" ProgID="Equation.AxMath" ShapeID="_x0000_i1107" DrawAspect="Content" ObjectID="_1827919465" r:id="rId46"/>
        </w:object>
      </w:r>
      <w:r w:rsidRPr="00DF3B47">
        <w:t xml:space="preserve"> equally spaced steps:</w:t>
      </w:r>
    </w:p>
    <w:p w14:paraId="26BF5411" w14:textId="7F09956B" w:rsidR="009E0AF9" w:rsidRPr="00DF3B47" w:rsidRDefault="007E4A29" w:rsidP="009E0AF9">
      <w:pPr>
        <w:pStyle w:val="equation"/>
      </w:pPr>
      <w:r w:rsidRPr="007E4A29">
        <w:rPr>
          <w:position w:val="-22"/>
        </w:rPr>
        <w:object w:dxaOrig="3948" w:dyaOrig="550" w14:anchorId="25014127">
          <v:shape id="_x0000_i1109" type="#_x0000_t75" style="width:198pt;height:27pt" o:ole="">
            <v:imagedata r:id="rId47" o:title=""/>
          </v:shape>
          <o:OLEObject Type="Embed" ProgID="Equation.AxMath" ShapeID="_x0000_i1109" DrawAspect="Content" ObjectID="_1827919466" r:id="rId48"/>
        </w:object>
      </w:r>
      <w:r w:rsidR="009E0AF9" w:rsidRPr="00DF3B47">
        <w:tab/>
        <w:t>(SI.6)</w:t>
      </w:r>
    </w:p>
    <w:p w14:paraId="1508E73F" w14:textId="2F454CF7" w:rsidR="009E0AF9" w:rsidRPr="00DF3B47" w:rsidRDefault="007E4A29" w:rsidP="009E0AF9">
      <w:pPr>
        <w:pStyle w:val="equation"/>
      </w:pPr>
      <w:r w:rsidRPr="007E4A29">
        <w:rPr>
          <w:position w:val="-22"/>
        </w:rPr>
        <w:object w:dxaOrig="3201" w:dyaOrig="548" w14:anchorId="3C2D3143">
          <v:shape id="_x0000_i1111" type="#_x0000_t75" style="width:159.75pt;height:27pt" o:ole="">
            <v:imagedata r:id="rId49" o:title=""/>
          </v:shape>
          <o:OLEObject Type="Embed" ProgID="Equation.AxMath" ShapeID="_x0000_i1111" DrawAspect="Content" ObjectID="_1827919467" r:id="rId50"/>
        </w:object>
      </w:r>
      <w:r w:rsidR="009E0AF9" w:rsidRPr="00DF3B47">
        <w:tab/>
        <w:t>(SI.7)</w:t>
      </w:r>
    </w:p>
    <w:p w14:paraId="119C11EA" w14:textId="28F9740C" w:rsidR="009E0AF9" w:rsidRPr="00DF3B47" w:rsidRDefault="009E0AF9" w:rsidP="009E0AF9">
      <w:pPr>
        <w:pStyle w:val="TESupportingInformation"/>
      </w:pPr>
      <w:r w:rsidRPr="00DF3B47">
        <w:lastRenderedPageBreak/>
        <w:t xml:space="preserve">Where, </w:t>
      </w:r>
      <w:r w:rsidR="007E4A29" w:rsidRPr="007E4A29">
        <w:rPr>
          <w:position w:val="-10"/>
        </w:rPr>
        <w:object w:dxaOrig="277" w:dyaOrig="298" w14:anchorId="2CC7A4BE">
          <v:shape id="_x0000_i1113" type="#_x0000_t75" style="width:14.25pt;height:14.25pt" o:ole="">
            <v:imagedata r:id="rId51" o:title=""/>
          </v:shape>
          <o:OLEObject Type="Embed" ProgID="Equation.AxMath" ShapeID="_x0000_i1113" DrawAspect="Content" ObjectID="_1827919468" r:id="rId52"/>
        </w:object>
      </w:r>
      <w:r w:rsidRPr="00DF3B47">
        <w:t xml:space="preserve"> and </w:t>
      </w:r>
      <w:r w:rsidR="007E4A29" w:rsidRPr="007E4A29">
        <w:rPr>
          <w:position w:val="-10"/>
        </w:rPr>
        <w:object w:dxaOrig="243" w:dyaOrig="298" w14:anchorId="0207D8DB">
          <v:shape id="_x0000_i1115" type="#_x0000_t75" style="width:12.75pt;height:14.25pt" o:ole="">
            <v:imagedata r:id="rId53" o:title=""/>
          </v:shape>
          <o:OLEObject Type="Embed" ProgID="Equation.AxMath" ShapeID="_x0000_i1115" DrawAspect="Content" ObjectID="_1827919469" r:id="rId54"/>
        </w:object>
      </w:r>
      <w:r w:rsidRPr="00DF3B47">
        <w:t xml:space="preserve"> are the steps in space and time respectively, </w:t>
      </w:r>
      <w:r w:rsidR="007E4A29" w:rsidRPr="007E4A29">
        <w:rPr>
          <w:position w:val="-10"/>
        </w:rPr>
        <w:object w:dxaOrig="179" w:dyaOrig="298" w14:anchorId="0216F625">
          <v:shape id="_x0000_i1117" type="#_x0000_t75" style="width:9pt;height:14.25pt" o:ole="">
            <v:imagedata r:id="rId55" o:title=""/>
          </v:shape>
          <o:OLEObject Type="Embed" ProgID="Equation.AxMath" ShapeID="_x0000_i1117" DrawAspect="Content" ObjectID="_1827919470" r:id="rId56"/>
        </w:object>
      </w:r>
      <w:r w:rsidRPr="00DF3B47">
        <w:t xml:space="preserve"> representing the total time length of the calculation (i.e., the end point of the time domain), and </w:t>
      </w:r>
      <w:r w:rsidR="007E4A29" w:rsidRPr="007E4A29">
        <w:rPr>
          <w:position w:val="-10"/>
        </w:rPr>
        <w:object w:dxaOrig="302" w:dyaOrig="300" w14:anchorId="45ED9FD7">
          <v:shape id="_x0000_i1119" type="#_x0000_t75" style="width:15.75pt;height:15pt" o:ole="">
            <v:imagedata r:id="rId57" o:title=""/>
          </v:shape>
          <o:OLEObject Type="Embed" ProgID="Equation.AxMath" ShapeID="_x0000_i1119" DrawAspect="Content" ObjectID="_1827919471" r:id="rId58"/>
        </w:object>
      </w:r>
      <w:r w:rsidRPr="00DF3B47">
        <w:t xml:space="preserve"> are the radius of the equivalent sphere.</w:t>
      </w:r>
    </w:p>
    <w:p w14:paraId="2B67F010" w14:textId="77777777" w:rsidR="009E0AF9" w:rsidRPr="00DF3B47" w:rsidRDefault="009E0AF9" w:rsidP="009E0AF9">
      <w:pPr>
        <w:pStyle w:val="TESupportingInformation"/>
      </w:pPr>
      <w:r w:rsidRPr="00DF3B47">
        <w:t>Finite difference approximation of derivatives</w:t>
      </w:r>
    </w:p>
    <w:p w14:paraId="4D71562D" w14:textId="77777777" w:rsidR="009E0AF9" w:rsidRPr="00DF3B47" w:rsidRDefault="009E0AF9" w:rsidP="009E0AF9">
      <w:pPr>
        <w:pStyle w:val="TESupportingInformation"/>
      </w:pPr>
      <w:r w:rsidRPr="00DF3B47">
        <w:t>The time derivative is approximated by the forward difference:</w:t>
      </w:r>
    </w:p>
    <w:p w14:paraId="1003D750" w14:textId="3068B139" w:rsidR="009E0AF9" w:rsidRPr="00DF3B47" w:rsidRDefault="007E4A29" w:rsidP="009E0AF9">
      <w:pPr>
        <w:pStyle w:val="equation"/>
      </w:pPr>
      <w:r w:rsidRPr="007E4A29">
        <w:rPr>
          <w:position w:val="-23"/>
        </w:rPr>
        <w:object w:dxaOrig="1713" w:dyaOrig="557" w14:anchorId="4819E6FF">
          <v:shape id="_x0000_i1121" type="#_x0000_t75" style="width:85.5pt;height:27pt" o:ole="">
            <v:imagedata r:id="rId59" o:title=""/>
          </v:shape>
          <o:OLEObject Type="Embed" ProgID="Equation.AxMath" ShapeID="_x0000_i1121" DrawAspect="Content" ObjectID="_1827919472" r:id="rId60"/>
        </w:object>
      </w:r>
      <w:r w:rsidR="009E0AF9" w:rsidRPr="00DF3B47">
        <w:t>,</w:t>
      </w:r>
      <w:r w:rsidRPr="007E4A29">
        <w:rPr>
          <w:position w:val="-23"/>
        </w:rPr>
        <w:object w:dxaOrig="1863" w:dyaOrig="562" w14:anchorId="24BFAC6A">
          <v:shape id="_x0000_i1123" type="#_x0000_t75" style="width:93pt;height:28.5pt" o:ole="">
            <v:imagedata r:id="rId61" o:title=""/>
          </v:shape>
          <o:OLEObject Type="Embed" ProgID="Equation.AxMath" ShapeID="_x0000_i1123" DrawAspect="Content" ObjectID="_1827919473" r:id="rId62"/>
        </w:object>
      </w:r>
      <w:r w:rsidR="009E0AF9" w:rsidRPr="00DF3B47">
        <w:tab/>
        <w:t>(SI.8)</w:t>
      </w:r>
    </w:p>
    <w:p w14:paraId="63AFD578" w14:textId="5C28F6FF" w:rsidR="009E0AF9" w:rsidRPr="00DF3B47" w:rsidRDefault="009E0AF9" w:rsidP="009E0AF9">
      <w:pPr>
        <w:pStyle w:val="equation"/>
      </w:pPr>
      <w:r w:rsidRPr="00DF3B47">
        <w:t>The radial diffusion term uses the second-order central difference:</w:t>
      </w:r>
      <w:r w:rsidRPr="009E0AF9">
        <w:t xml:space="preserve"> </w:t>
      </w:r>
      <w:r w:rsidR="007E4A29" w:rsidRPr="007E4A29">
        <w:rPr>
          <w:position w:val="-23"/>
        </w:rPr>
        <w:object w:dxaOrig="5322" w:dyaOrig="574" w14:anchorId="66B0FE16">
          <v:shape id="_x0000_i1125" type="#_x0000_t75" style="width:265.5pt;height:28.5pt" o:ole="">
            <v:imagedata r:id="rId63" o:title=""/>
          </v:shape>
          <o:OLEObject Type="Embed" ProgID="Equation.AxMath" ShapeID="_x0000_i1125" DrawAspect="Content" ObjectID="_1827919474" r:id="rId64"/>
        </w:object>
      </w:r>
      <w:r w:rsidRPr="00DF3B47">
        <w:tab/>
        <w:t>(SI.9)</w:t>
      </w:r>
    </w:p>
    <w:p w14:paraId="6B9D43EB" w14:textId="77777777" w:rsidR="009E0AF9" w:rsidRPr="00DF3B47" w:rsidRDefault="009E0AF9" w:rsidP="009E0AF9">
      <w:pPr>
        <w:pStyle w:val="TESupportingInformation"/>
      </w:pPr>
      <w:r w:rsidRPr="00DF3B47">
        <w:t>Discretization of boundary conditions：</w:t>
      </w:r>
    </w:p>
    <w:p w14:paraId="0B437AB9" w14:textId="18D630D9" w:rsidR="009E0AF9" w:rsidRPr="00DF3B47" w:rsidRDefault="009E0AF9" w:rsidP="009E0AF9">
      <w:pPr>
        <w:pStyle w:val="TESupportingInformation"/>
      </w:pPr>
      <w:r w:rsidRPr="00DF3B47">
        <w:t>At the gel surface</w:t>
      </w:r>
      <w:r w:rsidR="007E4A29" w:rsidRPr="007E4A29">
        <w:rPr>
          <w:position w:val="-10"/>
        </w:rPr>
        <w:object w:dxaOrig="637" w:dyaOrig="300" w14:anchorId="2F107439">
          <v:shape id="_x0000_i1127" type="#_x0000_t75" style="width:31.5pt;height:15pt" o:ole="">
            <v:imagedata r:id="rId65" o:title=""/>
          </v:shape>
          <o:OLEObject Type="Embed" ProgID="Equation.AxMath" ShapeID="_x0000_i1127" DrawAspect="Content" ObjectID="_1827919475" r:id="rId66"/>
        </w:object>
      </w:r>
      <w:r w:rsidRPr="00DF3B47">
        <w:t>, the Robin boundary condition discretizes as:</w:t>
      </w:r>
    </w:p>
    <w:p w14:paraId="36C7B17F" w14:textId="0AB4B5C8" w:rsidR="009E0AF9" w:rsidRPr="00DF3B47" w:rsidRDefault="007E4A29" w:rsidP="009E0AF9">
      <w:pPr>
        <w:pStyle w:val="equation"/>
      </w:pPr>
      <w:r w:rsidRPr="007E4A29">
        <w:rPr>
          <w:position w:val="-22"/>
        </w:rPr>
        <w:object w:dxaOrig="2824" w:dyaOrig="551" w14:anchorId="25478D91">
          <v:shape id="_x0000_i1129" type="#_x0000_t75" style="width:141pt;height:27pt" o:ole="">
            <v:imagedata r:id="rId67" o:title=""/>
          </v:shape>
          <o:OLEObject Type="Embed" ProgID="Equation.AxMath" ShapeID="_x0000_i1129" DrawAspect="Content" ObjectID="_1827919476" r:id="rId68"/>
        </w:object>
      </w:r>
      <w:r w:rsidR="009E0AF9" w:rsidRPr="00DF3B47">
        <w:tab/>
        <w:t>(SI.10)</w:t>
      </w:r>
    </w:p>
    <w:p w14:paraId="25F12802" w14:textId="77777777" w:rsidR="009E0AF9" w:rsidRPr="00DF3B47" w:rsidRDefault="009E0AF9" w:rsidP="009E0AF9">
      <w:pPr>
        <w:pStyle w:val="TESupportingInformation"/>
      </w:pPr>
      <w:r w:rsidRPr="00DF3B47">
        <w:t>The variation of the outer liquid concentration is determined by the interfacial flux, and its discrete form is:</w:t>
      </w:r>
    </w:p>
    <w:p w14:paraId="2F98AA85" w14:textId="36415F7B" w:rsidR="009E0AF9" w:rsidRPr="00DF3B47" w:rsidRDefault="007E4A29" w:rsidP="009E0AF9">
      <w:pPr>
        <w:pStyle w:val="equation"/>
      </w:pPr>
      <w:r w:rsidRPr="007E4A29">
        <w:rPr>
          <w:position w:val="-23"/>
        </w:rPr>
        <w:object w:dxaOrig="3334" w:dyaOrig="569" w14:anchorId="450ECBDE">
          <v:shape id="_x0000_i1131" type="#_x0000_t75" style="width:166.5pt;height:29.25pt" o:ole="">
            <v:imagedata r:id="rId69" o:title=""/>
          </v:shape>
          <o:OLEObject Type="Embed" ProgID="Equation.AxMath" ShapeID="_x0000_i1131" DrawAspect="Content" ObjectID="_1827919477" r:id="rId70"/>
        </w:object>
      </w:r>
      <w:r w:rsidR="009E0AF9" w:rsidRPr="00DF3B47">
        <w:tab/>
        <w:t>(SI.11)</w:t>
      </w:r>
    </w:p>
    <w:p w14:paraId="0ED28956" w14:textId="77777777" w:rsidR="009E0AF9" w:rsidRPr="00DF3B47" w:rsidRDefault="009E0AF9" w:rsidP="009E0AF9">
      <w:pPr>
        <w:pStyle w:val="TESupportingInformation"/>
      </w:pPr>
      <w:r w:rsidRPr="00DF3B47">
        <w:t>Through the above processing, the original PDE-ODE coupling system is transformed into a closed system of equations in algebraic form, which can be stably and iteratively solved.</w:t>
      </w:r>
    </w:p>
    <w:p w14:paraId="391E0B05" w14:textId="77777777" w:rsidR="009E0AF9" w:rsidRDefault="009E0AF9">
      <w:pPr>
        <w:overflowPunct/>
        <w:autoSpaceDE/>
        <w:autoSpaceDN/>
        <w:adjustRightInd/>
        <w:spacing w:line="240" w:lineRule="auto"/>
        <w:textAlignment w:val="auto"/>
        <w:rPr>
          <w:rFonts w:ascii="Times" w:hAnsi="Times"/>
          <w:lang w:eastAsia="en-US"/>
        </w:rPr>
      </w:pPr>
      <w:r>
        <w:br w:type="page"/>
      </w:r>
    </w:p>
    <w:p w14:paraId="79495E68" w14:textId="77777777" w:rsidR="009E0AF9" w:rsidRPr="00DF3B47" w:rsidRDefault="009E0AF9" w:rsidP="009E0AF9">
      <w:pPr>
        <w:pStyle w:val="TESupportingInformation"/>
      </w:pPr>
    </w:p>
    <w:p w14:paraId="48CD61B9" w14:textId="77777777" w:rsidR="009E0AF9" w:rsidRPr="009E0AF9" w:rsidRDefault="009E0AF9" w:rsidP="009E0AF9">
      <w:pPr>
        <w:pStyle w:val="tablelegend"/>
        <w:rPr>
          <w:lang w:eastAsia="en-US"/>
        </w:rPr>
      </w:pPr>
      <w:r w:rsidRPr="009E0AF9">
        <w:rPr>
          <w:b/>
          <w:bCs/>
          <w:lang w:eastAsia="en-US"/>
        </w:rPr>
        <w:t>Table S1.</w:t>
      </w:r>
      <w:r w:rsidRPr="009E0AF9">
        <w:rPr>
          <w:lang w:eastAsia="en-US"/>
        </w:rPr>
        <w:t xml:space="preserve"> Adsorption and desorption kinetic parameters of MB on CNQD/PAM and TDQD/PAM hydrogels</w:t>
      </w:r>
    </w:p>
    <w:tbl>
      <w:tblPr>
        <w:tblStyle w:val="13"/>
        <w:tblpPr w:leftFromText="180" w:rightFromText="180" w:vertAnchor="text" w:horzAnchor="page" w:tblpX="1868" w:tblpY="238"/>
        <w:tblOverlap w:val="never"/>
        <w:tblW w:w="0" w:type="auto"/>
        <w:tblLook w:val="04A0" w:firstRow="1" w:lastRow="0" w:firstColumn="1" w:lastColumn="0" w:noHBand="0" w:noVBand="1"/>
      </w:tblPr>
      <w:tblGrid>
        <w:gridCol w:w="1461"/>
        <w:gridCol w:w="1409"/>
        <w:gridCol w:w="1412"/>
        <w:gridCol w:w="1413"/>
        <w:gridCol w:w="1413"/>
        <w:gridCol w:w="1414"/>
      </w:tblGrid>
      <w:tr w:rsidR="009E0AF9" w:rsidRPr="007E4A29" w14:paraId="16197584" w14:textId="77777777" w:rsidTr="00895D8E">
        <w:trPr>
          <w:cnfStyle w:val="100000000000" w:firstRow="1" w:lastRow="0" w:firstColumn="0" w:lastColumn="0" w:oddVBand="0" w:evenVBand="0" w:oddHBand="0" w:evenHBand="0" w:firstRowFirstColumn="0" w:firstRowLastColumn="0" w:lastRowFirstColumn="0" w:lastRowLastColumn="0"/>
        </w:trPr>
        <w:tc>
          <w:tcPr>
            <w:tcW w:w="2870" w:type="dxa"/>
            <w:gridSpan w:val="2"/>
            <w:vMerge w:val="restart"/>
            <w:vAlign w:val="center"/>
          </w:tcPr>
          <w:p w14:paraId="0A2AC1E3"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Sample</w:t>
            </w:r>
          </w:p>
        </w:tc>
        <w:tc>
          <w:tcPr>
            <w:tcW w:w="2825" w:type="dxa"/>
            <w:gridSpan w:val="2"/>
            <w:vAlign w:val="center"/>
          </w:tcPr>
          <w:p w14:paraId="255CE67A"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Pseudo-first-order model</w:t>
            </w:r>
          </w:p>
        </w:tc>
        <w:tc>
          <w:tcPr>
            <w:tcW w:w="2827" w:type="dxa"/>
            <w:gridSpan w:val="2"/>
            <w:vAlign w:val="center"/>
          </w:tcPr>
          <w:p w14:paraId="780294F5"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Pseudo-second-order model</w:t>
            </w:r>
          </w:p>
        </w:tc>
      </w:tr>
      <w:tr w:rsidR="009E0AF9" w:rsidRPr="007E4A29" w14:paraId="053157AB" w14:textId="77777777" w:rsidTr="00895D8E">
        <w:tc>
          <w:tcPr>
            <w:tcW w:w="2870" w:type="dxa"/>
            <w:gridSpan w:val="2"/>
            <w:vMerge/>
            <w:vAlign w:val="center"/>
          </w:tcPr>
          <w:p w14:paraId="69BDFBD4"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p>
        </w:tc>
        <w:tc>
          <w:tcPr>
            <w:tcW w:w="1412" w:type="dxa"/>
            <w:vAlign w:val="center"/>
          </w:tcPr>
          <w:p w14:paraId="3872DAAB" w14:textId="413A853F" w:rsidR="009E0AF9" w:rsidRPr="007E4A29" w:rsidRDefault="007E4A2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position w:val="-10"/>
                <w:sz w:val="20"/>
                <w:lang w:eastAsia="en-US"/>
              </w:rPr>
              <w:object w:dxaOrig="197" w:dyaOrig="300" w14:anchorId="78179294">
                <v:shape id="_x0000_i1133" type="#_x0000_t75" style="width:10.5pt;height:15pt" o:ole="">
                  <v:imagedata r:id="rId32" o:title=""/>
                </v:shape>
                <o:OLEObject Type="Embed" ProgID="Equation.AxMath" ShapeID="_x0000_i1133" DrawAspect="Content" ObjectID="_1827919478" r:id="rId71"/>
              </w:object>
            </w:r>
          </w:p>
        </w:tc>
        <w:tc>
          <w:tcPr>
            <w:tcW w:w="1413" w:type="dxa"/>
            <w:vAlign w:val="center"/>
          </w:tcPr>
          <w:p w14:paraId="293BA61E" w14:textId="5026ACE9" w:rsidR="009E0AF9" w:rsidRPr="007E4A29" w:rsidRDefault="007E4A2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position w:val="-10"/>
                <w:sz w:val="20"/>
                <w:lang w:eastAsia="en-US"/>
              </w:rPr>
              <w:object w:dxaOrig="266" w:dyaOrig="300" w14:anchorId="3B5F21F1">
                <v:shape id="_x0000_i1135" type="#_x0000_t75" style="width:13.5pt;height:15pt" o:ole="">
                  <v:imagedata r:id="rId72" o:title=""/>
                </v:shape>
                <o:OLEObject Type="Embed" ProgID="Equation.AxMath" ShapeID="_x0000_i1135" DrawAspect="Content" ObjectID="_1827919479" r:id="rId73"/>
              </w:object>
            </w:r>
          </w:p>
        </w:tc>
        <w:tc>
          <w:tcPr>
            <w:tcW w:w="1413" w:type="dxa"/>
            <w:vAlign w:val="center"/>
          </w:tcPr>
          <w:p w14:paraId="70609820" w14:textId="62F6CCA8" w:rsidR="009E0AF9" w:rsidRPr="007E4A29" w:rsidRDefault="007E4A2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position w:val="-10"/>
                <w:sz w:val="20"/>
                <w:lang w:eastAsia="en-US"/>
              </w:rPr>
              <w:object w:dxaOrig="221" w:dyaOrig="300" w14:anchorId="4BA5DCDD">
                <v:shape id="_x0000_i1137" type="#_x0000_t75" style="width:11.25pt;height:15pt" o:ole="">
                  <v:imagedata r:id="rId40" o:title=""/>
                </v:shape>
                <o:OLEObject Type="Embed" ProgID="Equation.AxMath" ShapeID="_x0000_i1137" DrawAspect="Content" ObjectID="_1827919480" r:id="rId74"/>
              </w:object>
            </w:r>
          </w:p>
        </w:tc>
        <w:tc>
          <w:tcPr>
            <w:tcW w:w="1414" w:type="dxa"/>
            <w:vAlign w:val="center"/>
          </w:tcPr>
          <w:p w14:paraId="44B8EB8D" w14:textId="77284C64" w:rsidR="009E0AF9" w:rsidRPr="007E4A29" w:rsidRDefault="007E4A2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position w:val="-10"/>
                <w:sz w:val="20"/>
                <w:lang w:eastAsia="en-US"/>
              </w:rPr>
              <w:object w:dxaOrig="266" w:dyaOrig="300" w14:anchorId="3516DA9C">
                <v:shape id="_x0000_i1139" type="#_x0000_t75" style="width:13.5pt;height:15pt" o:ole="">
                  <v:imagedata r:id="rId72" o:title=""/>
                </v:shape>
                <o:OLEObject Type="Embed" ProgID="Equation.AxMath" ShapeID="_x0000_i1139" DrawAspect="Content" ObjectID="_1827919481" r:id="rId75"/>
              </w:object>
            </w:r>
          </w:p>
        </w:tc>
      </w:tr>
      <w:tr w:rsidR="009E0AF9" w:rsidRPr="007E4A29" w14:paraId="37D1E32E" w14:textId="77777777" w:rsidTr="00895D8E">
        <w:tc>
          <w:tcPr>
            <w:tcW w:w="1461" w:type="dxa"/>
            <w:vMerge w:val="restart"/>
            <w:vAlign w:val="center"/>
          </w:tcPr>
          <w:p w14:paraId="50FCED9F"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CNQD/PAM</w:t>
            </w:r>
          </w:p>
        </w:tc>
        <w:tc>
          <w:tcPr>
            <w:tcW w:w="1409" w:type="dxa"/>
            <w:vAlign w:val="center"/>
          </w:tcPr>
          <w:p w14:paraId="1234D6F0"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Adsorption</w:t>
            </w:r>
          </w:p>
        </w:tc>
        <w:tc>
          <w:tcPr>
            <w:tcW w:w="1412" w:type="dxa"/>
            <w:vAlign w:val="center"/>
          </w:tcPr>
          <w:p w14:paraId="1026776D"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0.05385</w:t>
            </w:r>
          </w:p>
        </w:tc>
        <w:tc>
          <w:tcPr>
            <w:tcW w:w="1413" w:type="dxa"/>
            <w:vAlign w:val="center"/>
          </w:tcPr>
          <w:p w14:paraId="2EC059F4"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0.99148</w:t>
            </w:r>
          </w:p>
        </w:tc>
        <w:tc>
          <w:tcPr>
            <w:tcW w:w="1413" w:type="dxa"/>
            <w:vAlign w:val="center"/>
          </w:tcPr>
          <w:p w14:paraId="2447B8D0"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0.03945</w:t>
            </w:r>
          </w:p>
        </w:tc>
        <w:tc>
          <w:tcPr>
            <w:tcW w:w="1414" w:type="dxa"/>
            <w:vAlign w:val="center"/>
          </w:tcPr>
          <w:p w14:paraId="6E89CEDD"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0.98622</w:t>
            </w:r>
          </w:p>
        </w:tc>
      </w:tr>
      <w:tr w:rsidR="009E0AF9" w:rsidRPr="007E4A29" w14:paraId="40F6C56C" w14:textId="77777777" w:rsidTr="00895D8E">
        <w:tc>
          <w:tcPr>
            <w:tcW w:w="1461" w:type="dxa"/>
            <w:vMerge/>
            <w:vAlign w:val="center"/>
          </w:tcPr>
          <w:p w14:paraId="0A052EF6"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p>
        </w:tc>
        <w:tc>
          <w:tcPr>
            <w:tcW w:w="1409" w:type="dxa"/>
            <w:vAlign w:val="center"/>
          </w:tcPr>
          <w:p w14:paraId="03E73F47"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Desorption</w:t>
            </w:r>
          </w:p>
        </w:tc>
        <w:tc>
          <w:tcPr>
            <w:tcW w:w="1412" w:type="dxa"/>
            <w:vAlign w:val="center"/>
          </w:tcPr>
          <w:p w14:paraId="59734B34"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0.03172</w:t>
            </w:r>
          </w:p>
        </w:tc>
        <w:tc>
          <w:tcPr>
            <w:tcW w:w="1413" w:type="dxa"/>
            <w:vAlign w:val="center"/>
          </w:tcPr>
          <w:p w14:paraId="3718DD83"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0.97262</w:t>
            </w:r>
          </w:p>
        </w:tc>
        <w:tc>
          <w:tcPr>
            <w:tcW w:w="1413" w:type="dxa"/>
            <w:vAlign w:val="center"/>
          </w:tcPr>
          <w:p w14:paraId="4FF6B957"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0.06967</w:t>
            </w:r>
          </w:p>
        </w:tc>
        <w:tc>
          <w:tcPr>
            <w:tcW w:w="1414" w:type="dxa"/>
            <w:vAlign w:val="center"/>
          </w:tcPr>
          <w:p w14:paraId="473114C6"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0.97316</w:t>
            </w:r>
          </w:p>
        </w:tc>
      </w:tr>
      <w:tr w:rsidR="009E0AF9" w:rsidRPr="007E4A29" w14:paraId="4AFDF882" w14:textId="77777777" w:rsidTr="00895D8E">
        <w:tc>
          <w:tcPr>
            <w:tcW w:w="1461" w:type="dxa"/>
            <w:vMerge w:val="restart"/>
            <w:vAlign w:val="center"/>
          </w:tcPr>
          <w:p w14:paraId="5600A3BD"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TDQD/PAM</w:t>
            </w:r>
          </w:p>
        </w:tc>
        <w:tc>
          <w:tcPr>
            <w:tcW w:w="1409" w:type="dxa"/>
            <w:vAlign w:val="center"/>
          </w:tcPr>
          <w:p w14:paraId="71966BE3"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Adsorption</w:t>
            </w:r>
          </w:p>
        </w:tc>
        <w:tc>
          <w:tcPr>
            <w:tcW w:w="1412" w:type="dxa"/>
            <w:vAlign w:val="center"/>
          </w:tcPr>
          <w:p w14:paraId="32B5E8B0"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0.06571</w:t>
            </w:r>
          </w:p>
        </w:tc>
        <w:tc>
          <w:tcPr>
            <w:tcW w:w="1413" w:type="dxa"/>
            <w:vAlign w:val="center"/>
          </w:tcPr>
          <w:p w14:paraId="07AC8048"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0.97102</w:t>
            </w:r>
          </w:p>
        </w:tc>
        <w:tc>
          <w:tcPr>
            <w:tcW w:w="1413" w:type="dxa"/>
            <w:vAlign w:val="center"/>
          </w:tcPr>
          <w:p w14:paraId="7FC2038C"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0.18716</w:t>
            </w:r>
          </w:p>
        </w:tc>
        <w:tc>
          <w:tcPr>
            <w:tcW w:w="1414" w:type="dxa"/>
            <w:vAlign w:val="center"/>
          </w:tcPr>
          <w:p w14:paraId="510F174E"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0.97447</w:t>
            </w:r>
          </w:p>
        </w:tc>
      </w:tr>
      <w:tr w:rsidR="009E0AF9" w:rsidRPr="007E4A29" w14:paraId="3A0F8D26" w14:textId="77777777" w:rsidTr="00895D8E">
        <w:tc>
          <w:tcPr>
            <w:tcW w:w="1461" w:type="dxa"/>
            <w:vMerge/>
            <w:vAlign w:val="center"/>
          </w:tcPr>
          <w:p w14:paraId="0C335FA8"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p>
        </w:tc>
        <w:tc>
          <w:tcPr>
            <w:tcW w:w="1409" w:type="dxa"/>
            <w:vAlign w:val="center"/>
          </w:tcPr>
          <w:p w14:paraId="29E96E00"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Desorption</w:t>
            </w:r>
          </w:p>
        </w:tc>
        <w:tc>
          <w:tcPr>
            <w:tcW w:w="1412" w:type="dxa"/>
            <w:vAlign w:val="center"/>
          </w:tcPr>
          <w:p w14:paraId="7B2DB1CA"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0.08985</w:t>
            </w:r>
          </w:p>
        </w:tc>
        <w:tc>
          <w:tcPr>
            <w:tcW w:w="1413" w:type="dxa"/>
            <w:vAlign w:val="center"/>
          </w:tcPr>
          <w:p w14:paraId="230A90A4"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0.98324</w:t>
            </w:r>
          </w:p>
        </w:tc>
        <w:tc>
          <w:tcPr>
            <w:tcW w:w="1413" w:type="dxa"/>
            <w:vAlign w:val="center"/>
          </w:tcPr>
          <w:p w14:paraId="675B9999"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0.25806</w:t>
            </w:r>
          </w:p>
        </w:tc>
        <w:tc>
          <w:tcPr>
            <w:tcW w:w="1414" w:type="dxa"/>
            <w:vAlign w:val="center"/>
          </w:tcPr>
          <w:p w14:paraId="4020815C" w14:textId="77777777" w:rsidR="009E0AF9" w:rsidRPr="007E4A29" w:rsidRDefault="009E0AF9" w:rsidP="009E0AF9">
            <w:pPr>
              <w:overflowPunct/>
              <w:autoSpaceDE/>
              <w:autoSpaceDN/>
              <w:adjustRightInd/>
              <w:spacing w:after="200" w:line="240" w:lineRule="auto"/>
              <w:jc w:val="both"/>
              <w:textAlignment w:val="auto"/>
              <w:rPr>
                <w:rFonts w:ascii="Times" w:eastAsia="等线" w:hAnsi="Times"/>
                <w:sz w:val="20"/>
                <w:lang w:eastAsia="en-US"/>
              </w:rPr>
            </w:pPr>
            <w:r w:rsidRPr="007E4A29">
              <w:rPr>
                <w:rFonts w:ascii="Times" w:eastAsia="等线" w:hAnsi="Times"/>
                <w:sz w:val="20"/>
                <w:lang w:eastAsia="en-US"/>
              </w:rPr>
              <w:t>0.98714</w:t>
            </w:r>
          </w:p>
        </w:tc>
      </w:tr>
    </w:tbl>
    <w:p w14:paraId="75FDDDAC" w14:textId="77777777" w:rsidR="009E0AF9" w:rsidRPr="009E0AF9" w:rsidRDefault="009E0AF9" w:rsidP="009E0AF9">
      <w:pPr>
        <w:widowControl w:val="0"/>
        <w:topLinePunct/>
        <w:autoSpaceDE/>
        <w:autoSpaceDN/>
        <w:snapToGrid w:val="0"/>
        <w:spacing w:line="480" w:lineRule="auto"/>
        <w:jc w:val="both"/>
        <w:textAlignment w:val="center"/>
        <w:rPr>
          <w:rFonts w:ascii="Times New Roman Regular" w:eastAsia="宋体" w:hAnsi="Times New Roman Regular" w:cs="Times New Roman Regular"/>
          <w:kern w:val="2"/>
          <w:sz w:val="18"/>
          <w:szCs w:val="18"/>
          <w:lang w:eastAsia="zh-CN"/>
        </w:rPr>
      </w:pPr>
    </w:p>
    <w:p w14:paraId="272DF7CA" w14:textId="77777777" w:rsidR="009E0AF9" w:rsidRPr="009E0AF9" w:rsidRDefault="009E0AF9" w:rsidP="009E0AF9">
      <w:pPr>
        <w:widowControl w:val="0"/>
        <w:topLinePunct/>
        <w:autoSpaceDE/>
        <w:autoSpaceDN/>
        <w:snapToGrid w:val="0"/>
        <w:spacing w:line="480" w:lineRule="auto"/>
        <w:ind w:firstLineChars="100" w:firstLine="180"/>
        <w:jc w:val="both"/>
        <w:textAlignment w:val="center"/>
        <w:rPr>
          <w:rFonts w:ascii="Times New Roman Regular" w:eastAsia="宋体" w:hAnsi="Times New Roman Regular" w:cs="Times New Roman Regular"/>
          <w:kern w:val="2"/>
          <w:sz w:val="18"/>
          <w:szCs w:val="18"/>
          <w:lang w:eastAsia="zh-CN"/>
        </w:rPr>
      </w:pPr>
      <w:r w:rsidRPr="009E0AF9">
        <w:rPr>
          <w:rFonts w:ascii="Times New Roman Regular" w:eastAsia="宋体" w:hAnsi="Times New Roman Regular" w:cs="Times New Roman Regular"/>
          <w:kern w:val="2"/>
          <w:sz w:val="18"/>
          <w:szCs w:val="18"/>
          <w:lang w:eastAsia="zh-CN"/>
        </w:rPr>
        <w:br w:type="page"/>
      </w:r>
    </w:p>
    <w:p w14:paraId="2987B968" w14:textId="77777777" w:rsidR="009E0AF9" w:rsidRPr="009E0AF9" w:rsidRDefault="009E0AF9" w:rsidP="009E0AF9">
      <w:pPr>
        <w:widowControl w:val="0"/>
        <w:topLinePunct/>
        <w:autoSpaceDE/>
        <w:autoSpaceDN/>
        <w:adjustRightInd/>
        <w:spacing w:beforeLines="50" w:before="156" w:afterLines="50" w:after="156" w:line="240" w:lineRule="auto"/>
        <w:ind w:firstLineChars="100" w:firstLine="210"/>
        <w:jc w:val="center"/>
        <w:textAlignment w:val="auto"/>
        <w:rPr>
          <w:rFonts w:eastAsia="宋体"/>
          <w:kern w:val="2"/>
          <w:sz w:val="21"/>
          <w:szCs w:val="21"/>
          <w:lang w:eastAsia="zh-CN"/>
        </w:rPr>
      </w:pPr>
      <w:r w:rsidRPr="009E0AF9">
        <w:rPr>
          <w:rFonts w:eastAsia="宋体"/>
          <w:noProof/>
          <w:kern w:val="2"/>
          <w:sz w:val="21"/>
          <w:szCs w:val="21"/>
          <w:lang w:eastAsia="zh-CN"/>
        </w:rPr>
        <w:lastRenderedPageBreak/>
        <w:drawing>
          <wp:inline distT="0" distB="0" distL="114300" distR="114300" wp14:anchorId="15F42BF1" wp14:editId="53468A40">
            <wp:extent cx="1736090" cy="1101725"/>
            <wp:effectExtent l="0" t="0" r="16510" b="15875"/>
            <wp:docPr id="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
                    <pic:cNvPicPr>
                      <a:picLocks noChangeAspect="1"/>
                    </pic:cNvPicPr>
                  </pic:nvPicPr>
                  <pic:blipFill>
                    <a:blip r:embed="rId76"/>
                    <a:stretch>
                      <a:fillRect/>
                    </a:stretch>
                  </pic:blipFill>
                  <pic:spPr>
                    <a:xfrm>
                      <a:off x="0" y="0"/>
                      <a:ext cx="1736090" cy="1101725"/>
                    </a:xfrm>
                    <a:prstGeom prst="rect">
                      <a:avLst/>
                    </a:prstGeom>
                    <a:noFill/>
                    <a:ln>
                      <a:noFill/>
                    </a:ln>
                  </pic:spPr>
                </pic:pic>
              </a:graphicData>
            </a:graphic>
          </wp:inline>
        </w:drawing>
      </w:r>
    </w:p>
    <w:p w14:paraId="56E08706" w14:textId="77777777" w:rsidR="009E0AF9" w:rsidRPr="009E0AF9" w:rsidRDefault="009E0AF9" w:rsidP="009E0AF9">
      <w:pPr>
        <w:pStyle w:val="figlegend"/>
        <w:rPr>
          <w:lang w:eastAsia="en-US"/>
        </w:rPr>
      </w:pPr>
      <w:r w:rsidRPr="009E0AF9">
        <w:rPr>
          <w:rFonts w:hint="eastAsia"/>
          <w:b/>
          <w:bCs/>
          <w:lang w:eastAsia="en-US"/>
        </w:rPr>
        <w:t>Fig</w:t>
      </w:r>
      <w:r w:rsidRPr="009E0AF9">
        <w:rPr>
          <w:rFonts w:hint="eastAsia"/>
          <w:b/>
          <w:bCs/>
          <w:lang w:eastAsia="zh-CN"/>
        </w:rPr>
        <w:t>.</w:t>
      </w:r>
      <w:r w:rsidRPr="009E0AF9">
        <w:rPr>
          <w:b/>
          <w:bCs/>
          <w:lang w:eastAsia="en-US"/>
        </w:rPr>
        <w:t xml:space="preserve"> S1</w:t>
      </w:r>
      <w:r w:rsidRPr="009E0AF9">
        <w:rPr>
          <w:lang w:eastAsia="en-US"/>
        </w:rPr>
        <w:t xml:space="preserve"> Titanium dioxide quantum dot (TDQD) colloid (left) and TDQD/PAM hydrogel (right)</w:t>
      </w:r>
    </w:p>
    <w:p w14:paraId="7EA8CC84" w14:textId="77777777" w:rsidR="009E0AF9" w:rsidRPr="009E0AF9" w:rsidRDefault="009E0AF9" w:rsidP="009E0AF9">
      <w:pPr>
        <w:widowControl w:val="0"/>
        <w:topLinePunct/>
        <w:autoSpaceDE/>
        <w:autoSpaceDN/>
        <w:adjustRightInd/>
        <w:spacing w:beforeLines="50" w:before="156" w:afterLines="50" w:after="156" w:line="240" w:lineRule="auto"/>
        <w:ind w:firstLineChars="100" w:firstLine="180"/>
        <w:jc w:val="both"/>
        <w:textAlignment w:val="auto"/>
        <w:rPr>
          <w:rFonts w:ascii="Times New Roman Regular" w:eastAsia="宋体" w:hAnsi="Times New Roman Regular" w:cs="Times New Roman Regular"/>
          <w:kern w:val="2"/>
          <w:sz w:val="18"/>
          <w:szCs w:val="18"/>
          <w:lang w:eastAsia="zh-CN"/>
        </w:rPr>
      </w:pPr>
      <w:r w:rsidRPr="009E0AF9">
        <w:rPr>
          <w:rFonts w:ascii="Times New Roman Regular" w:eastAsia="宋体" w:hAnsi="Times New Roman Regular" w:cs="Times New Roman Regular"/>
          <w:kern w:val="2"/>
          <w:sz w:val="18"/>
          <w:szCs w:val="18"/>
          <w:lang w:eastAsia="zh-CN"/>
        </w:rPr>
        <w:br w:type="page"/>
      </w:r>
    </w:p>
    <w:p w14:paraId="2CBACDE7" w14:textId="77777777" w:rsidR="009E0AF9" w:rsidRPr="009E0AF9" w:rsidRDefault="009E0AF9" w:rsidP="009E0AF9">
      <w:pPr>
        <w:widowControl w:val="0"/>
        <w:topLinePunct/>
        <w:autoSpaceDE/>
        <w:autoSpaceDN/>
        <w:adjustRightInd/>
        <w:spacing w:beforeLines="50" w:before="156" w:afterLines="50" w:after="156" w:line="240" w:lineRule="auto"/>
        <w:ind w:firstLineChars="100" w:firstLine="210"/>
        <w:jc w:val="center"/>
        <w:textAlignment w:val="auto"/>
        <w:rPr>
          <w:rFonts w:eastAsia="宋体"/>
          <w:kern w:val="2"/>
          <w:sz w:val="21"/>
          <w:szCs w:val="21"/>
          <w:lang w:eastAsia="zh-CN"/>
        </w:rPr>
      </w:pPr>
      <w:r w:rsidRPr="009E0AF9">
        <w:rPr>
          <w:rFonts w:eastAsia="宋体"/>
          <w:noProof/>
          <w:kern w:val="2"/>
          <w:sz w:val="21"/>
          <w:szCs w:val="21"/>
          <w:lang w:eastAsia="zh-CN"/>
        </w:rPr>
        <w:lastRenderedPageBreak/>
        <w:drawing>
          <wp:inline distT="0" distB="0" distL="114300" distR="114300" wp14:anchorId="5432A0F3" wp14:editId="3555731A">
            <wp:extent cx="2071370" cy="1280160"/>
            <wp:effectExtent l="0" t="0" r="11430" b="15240"/>
            <wp:docPr id="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pic:cNvPicPr>
                      <a:picLocks noChangeAspect="1"/>
                    </pic:cNvPicPr>
                  </pic:nvPicPr>
                  <pic:blipFill>
                    <a:blip r:embed="rId77"/>
                    <a:stretch>
                      <a:fillRect/>
                    </a:stretch>
                  </pic:blipFill>
                  <pic:spPr>
                    <a:xfrm>
                      <a:off x="0" y="0"/>
                      <a:ext cx="2071370" cy="1280160"/>
                    </a:xfrm>
                    <a:prstGeom prst="rect">
                      <a:avLst/>
                    </a:prstGeom>
                    <a:noFill/>
                    <a:ln>
                      <a:noFill/>
                    </a:ln>
                  </pic:spPr>
                </pic:pic>
              </a:graphicData>
            </a:graphic>
          </wp:inline>
        </w:drawing>
      </w:r>
    </w:p>
    <w:p w14:paraId="1579EAC4" w14:textId="77777777" w:rsidR="009E0AF9" w:rsidRPr="009E0AF9" w:rsidRDefault="009E0AF9" w:rsidP="009E0AF9">
      <w:pPr>
        <w:pStyle w:val="figlegend"/>
        <w:rPr>
          <w:lang w:eastAsia="en-US"/>
        </w:rPr>
      </w:pPr>
      <w:r w:rsidRPr="009E0AF9">
        <w:rPr>
          <w:rFonts w:hint="eastAsia"/>
          <w:b/>
          <w:bCs/>
          <w:lang w:eastAsia="en-US"/>
        </w:rPr>
        <w:t>Fig</w:t>
      </w:r>
      <w:r w:rsidRPr="009E0AF9">
        <w:rPr>
          <w:rFonts w:hint="eastAsia"/>
          <w:b/>
          <w:bCs/>
          <w:lang w:eastAsia="zh-CN"/>
        </w:rPr>
        <w:t>.</w:t>
      </w:r>
      <w:r w:rsidRPr="009E0AF9">
        <w:rPr>
          <w:b/>
          <w:bCs/>
          <w:lang w:eastAsia="en-US"/>
        </w:rPr>
        <w:t xml:space="preserve"> S2</w:t>
      </w:r>
      <w:r w:rsidRPr="009E0AF9">
        <w:rPr>
          <w:lang w:eastAsia="en-US"/>
        </w:rPr>
        <w:t xml:space="preserve"> g-C</w:t>
      </w:r>
      <w:r w:rsidRPr="009E0AF9">
        <w:rPr>
          <w:vertAlign w:val="subscript"/>
          <w:lang w:eastAsia="en-US"/>
        </w:rPr>
        <w:t>3</w:t>
      </w:r>
      <w:r w:rsidRPr="009E0AF9">
        <w:rPr>
          <w:lang w:eastAsia="en-US"/>
        </w:rPr>
        <w:t>N</w:t>
      </w:r>
      <w:r w:rsidRPr="009E0AF9">
        <w:rPr>
          <w:vertAlign w:val="subscript"/>
          <w:lang w:eastAsia="en-US"/>
        </w:rPr>
        <w:t>4</w:t>
      </w:r>
      <w:r w:rsidRPr="009E0AF9">
        <w:rPr>
          <w:lang w:eastAsia="en-US"/>
        </w:rPr>
        <w:t xml:space="preserve"> quantum dots (CNQD) colloid (left) and CNQD/PAM hydrogel (right) </w:t>
      </w:r>
    </w:p>
    <w:p w14:paraId="01301E80" w14:textId="77777777" w:rsidR="009E0AF9" w:rsidRPr="009E0AF9" w:rsidRDefault="009E0AF9" w:rsidP="009E0AF9">
      <w:pPr>
        <w:widowControl w:val="0"/>
        <w:topLinePunct/>
        <w:autoSpaceDE/>
        <w:autoSpaceDN/>
        <w:adjustRightInd/>
        <w:spacing w:beforeLines="50" w:before="156" w:afterLines="50" w:after="156" w:line="240" w:lineRule="auto"/>
        <w:ind w:firstLineChars="100" w:firstLine="180"/>
        <w:jc w:val="both"/>
        <w:textAlignment w:val="auto"/>
        <w:rPr>
          <w:rFonts w:ascii="Times New Roman Regular" w:eastAsia="宋体" w:hAnsi="Times New Roman Regular" w:cs="Times New Roman Regular"/>
          <w:kern w:val="2"/>
          <w:sz w:val="18"/>
          <w:szCs w:val="18"/>
          <w:lang w:eastAsia="zh-CN"/>
        </w:rPr>
      </w:pPr>
      <w:r w:rsidRPr="009E0AF9">
        <w:rPr>
          <w:rFonts w:ascii="Times New Roman Regular" w:eastAsia="宋体" w:hAnsi="Times New Roman Regular" w:cs="Times New Roman Regular"/>
          <w:kern w:val="2"/>
          <w:sz w:val="18"/>
          <w:szCs w:val="18"/>
          <w:lang w:eastAsia="zh-CN"/>
        </w:rPr>
        <w:br w:type="page"/>
      </w:r>
    </w:p>
    <w:p w14:paraId="2E0EB7F1" w14:textId="77777777" w:rsidR="009E0AF9" w:rsidRPr="009E0AF9" w:rsidRDefault="009E0AF9" w:rsidP="009E0AF9">
      <w:pPr>
        <w:widowControl w:val="0"/>
        <w:topLinePunct/>
        <w:autoSpaceDE/>
        <w:autoSpaceDN/>
        <w:snapToGrid w:val="0"/>
        <w:spacing w:line="480" w:lineRule="auto"/>
        <w:ind w:firstLineChars="100" w:firstLine="180"/>
        <w:jc w:val="center"/>
        <w:textAlignment w:val="center"/>
        <w:rPr>
          <w:rFonts w:ascii="Times New Roman Regular" w:eastAsia="宋体" w:hAnsi="Times New Roman Regular" w:cs="Times New Roman Regular"/>
          <w:kern w:val="2"/>
          <w:sz w:val="18"/>
          <w:szCs w:val="18"/>
          <w:lang w:eastAsia="zh-CN"/>
        </w:rPr>
      </w:pPr>
      <w:r w:rsidRPr="009E0AF9">
        <w:rPr>
          <w:rFonts w:ascii="Times New Roman Regular" w:eastAsia="宋体" w:hAnsi="Times New Roman Regular" w:cs="Times New Roman Regular"/>
          <w:noProof/>
          <w:kern w:val="2"/>
          <w:sz w:val="18"/>
          <w:szCs w:val="18"/>
          <w:lang w:eastAsia="zh-CN"/>
        </w:rPr>
        <w:lastRenderedPageBreak/>
        <w:drawing>
          <wp:inline distT="0" distB="0" distL="114300" distR="114300" wp14:anchorId="2A2D8AB5" wp14:editId="302F0890">
            <wp:extent cx="2002155" cy="2002155"/>
            <wp:effectExtent l="0" t="0" r="4445" b="4445"/>
            <wp:docPr id="14" name="图片 13"/>
            <wp:cNvGraphicFramePr/>
            <a:graphic xmlns:a="http://schemas.openxmlformats.org/drawingml/2006/main">
              <a:graphicData uri="http://schemas.openxmlformats.org/drawingml/2006/picture">
                <pic:pic xmlns:pic="http://schemas.openxmlformats.org/drawingml/2006/picture">
                  <pic:nvPicPr>
                    <pic:cNvPr id="14" name="图片 13"/>
                    <pic:cNvPicPr/>
                  </pic:nvPicPr>
                  <pic:blipFill>
                    <a:blip r:embed="rId78">
                      <a:extLst>
                        <a:ext uri="{96DAC541-7B7A-43D3-8B79-37D633B846F1}">
                          <asvg:svgBlip xmlns:asvg="http://schemas.microsoft.com/office/drawing/2016/SVG/main" r:embed="rId79"/>
                        </a:ext>
                      </a:extLst>
                    </a:blip>
                    <a:srcRect/>
                    <a:stretch>
                      <a:fillRect/>
                    </a:stretch>
                  </pic:blipFill>
                  <pic:spPr>
                    <a:xfrm>
                      <a:off x="0" y="0"/>
                      <a:ext cx="2002155" cy="2002155"/>
                    </a:xfrm>
                    <a:prstGeom prst="rect">
                      <a:avLst/>
                    </a:prstGeom>
                  </pic:spPr>
                </pic:pic>
              </a:graphicData>
            </a:graphic>
          </wp:inline>
        </w:drawing>
      </w:r>
      <w:r w:rsidRPr="009E0AF9">
        <w:rPr>
          <w:rFonts w:ascii="Times New Roman Regular" w:eastAsia="宋体" w:hAnsi="Times New Roman Regular" w:cs="Times New Roman Regular"/>
          <w:noProof/>
          <w:kern w:val="2"/>
          <w:sz w:val="18"/>
          <w:szCs w:val="18"/>
          <w:lang w:eastAsia="zh-CN"/>
        </w:rPr>
        <w:drawing>
          <wp:inline distT="0" distB="0" distL="114300" distR="114300" wp14:anchorId="176848BE" wp14:editId="16BB5EFE">
            <wp:extent cx="2002155" cy="2002155"/>
            <wp:effectExtent l="0" t="0" r="4445"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02155" cy="2002155"/>
                    </a:xfrm>
                    <a:prstGeom prst="rect">
                      <a:avLst/>
                    </a:prstGeom>
                  </pic:spPr>
                </pic:pic>
              </a:graphicData>
            </a:graphic>
          </wp:inline>
        </w:drawing>
      </w:r>
    </w:p>
    <w:p w14:paraId="05B36F2C" w14:textId="77777777" w:rsidR="009E0AF9" w:rsidRPr="009E0AF9" w:rsidRDefault="009E0AF9" w:rsidP="009E0AF9">
      <w:pPr>
        <w:pStyle w:val="figlegend"/>
        <w:rPr>
          <w:lang w:eastAsia="en-US"/>
        </w:rPr>
      </w:pPr>
      <w:r w:rsidRPr="009E0AF9">
        <w:rPr>
          <w:b/>
          <w:bCs/>
          <w:lang w:eastAsia="en-US"/>
        </w:rPr>
        <w:t>Fig</w:t>
      </w:r>
      <w:r w:rsidRPr="009E0AF9">
        <w:rPr>
          <w:rFonts w:hint="eastAsia"/>
          <w:b/>
          <w:bCs/>
          <w:lang w:eastAsia="zh-CN"/>
        </w:rPr>
        <w:t>.</w:t>
      </w:r>
      <w:r w:rsidRPr="009E0AF9">
        <w:rPr>
          <w:b/>
          <w:bCs/>
          <w:lang w:eastAsia="en-US"/>
        </w:rPr>
        <w:t xml:space="preserve"> S</w:t>
      </w:r>
      <w:r w:rsidRPr="009E0AF9">
        <w:rPr>
          <w:rFonts w:hint="eastAsia"/>
          <w:b/>
          <w:bCs/>
          <w:lang w:eastAsia="en-US"/>
        </w:rPr>
        <w:t>3</w:t>
      </w:r>
      <w:r w:rsidRPr="009E0AF9">
        <w:rPr>
          <w:lang w:eastAsia="en-US"/>
        </w:rPr>
        <w:t xml:space="preserve"> HRTEM images of TDQD/PAM and CNQD/PAM</w:t>
      </w:r>
    </w:p>
    <w:p w14:paraId="4FBCA910" w14:textId="77777777" w:rsidR="009E0AF9" w:rsidRPr="009E0AF9" w:rsidRDefault="009E0AF9" w:rsidP="009E0AF9">
      <w:pPr>
        <w:widowControl w:val="0"/>
        <w:topLinePunct/>
        <w:autoSpaceDE/>
        <w:autoSpaceDN/>
        <w:snapToGrid w:val="0"/>
        <w:spacing w:line="480" w:lineRule="auto"/>
        <w:ind w:firstLineChars="100" w:firstLine="180"/>
        <w:jc w:val="center"/>
        <w:textAlignment w:val="center"/>
        <w:rPr>
          <w:rFonts w:ascii="Times New Roman Regular" w:eastAsia="宋体" w:hAnsi="Times New Roman Regular" w:cs="Times New Roman Regular"/>
          <w:kern w:val="2"/>
          <w:sz w:val="18"/>
          <w:szCs w:val="18"/>
          <w:lang w:eastAsia="zh-CN"/>
        </w:rPr>
      </w:pPr>
      <w:r w:rsidRPr="009E0AF9">
        <w:rPr>
          <w:rFonts w:ascii="Times New Roman Regular" w:eastAsia="宋体" w:hAnsi="Times New Roman Regular" w:cs="Times New Roman Regular"/>
          <w:kern w:val="2"/>
          <w:sz w:val="18"/>
          <w:szCs w:val="18"/>
          <w:lang w:eastAsia="zh-CN"/>
        </w:rPr>
        <w:br w:type="page"/>
      </w:r>
    </w:p>
    <w:p w14:paraId="13AEA43E" w14:textId="77777777" w:rsidR="009E0AF9" w:rsidRPr="009E0AF9" w:rsidRDefault="009E0AF9" w:rsidP="009E0AF9">
      <w:pPr>
        <w:widowControl w:val="0"/>
        <w:topLinePunct/>
        <w:autoSpaceDE/>
        <w:autoSpaceDN/>
        <w:snapToGrid w:val="0"/>
        <w:spacing w:line="480" w:lineRule="auto"/>
        <w:ind w:firstLineChars="100" w:firstLine="180"/>
        <w:jc w:val="center"/>
        <w:textAlignment w:val="center"/>
        <w:rPr>
          <w:rFonts w:ascii="Times New Roman Regular" w:eastAsia="宋体" w:hAnsi="Times New Roman Regular" w:cs="Times New Roman Regular"/>
          <w:kern w:val="2"/>
          <w:sz w:val="18"/>
          <w:szCs w:val="18"/>
          <w:lang w:eastAsia="zh-CN"/>
        </w:rPr>
      </w:pPr>
      <w:r w:rsidRPr="009E0AF9">
        <w:rPr>
          <w:rFonts w:ascii="Times New Roman Regular" w:eastAsia="宋体" w:hAnsi="Times New Roman Regular" w:cs="Times New Roman Regular"/>
          <w:noProof/>
          <w:kern w:val="2"/>
          <w:sz w:val="18"/>
          <w:szCs w:val="18"/>
          <w:lang w:eastAsia="zh-CN"/>
        </w:rPr>
        <w:lastRenderedPageBreak/>
        <w:drawing>
          <wp:inline distT="0" distB="0" distL="0" distR="0" wp14:anchorId="2D37F211" wp14:editId="564E4E11">
            <wp:extent cx="2879725" cy="2374265"/>
            <wp:effectExtent l="0" t="0" r="0" b="0"/>
            <wp:docPr id="15278998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99866" name="图片 1"/>
                    <pic:cNvPicPr>
                      <a:picLocks noChangeAspect="1"/>
                    </pic:cNvPicPr>
                  </pic:nvPicPr>
                  <pic:blipFill>
                    <a:blip r:embed="rId81"/>
                    <a:stretch>
                      <a:fillRect/>
                    </a:stretch>
                  </pic:blipFill>
                  <pic:spPr>
                    <a:xfrm>
                      <a:off x="0" y="0"/>
                      <a:ext cx="2880000" cy="2374531"/>
                    </a:xfrm>
                    <a:prstGeom prst="rect">
                      <a:avLst/>
                    </a:prstGeom>
                  </pic:spPr>
                </pic:pic>
              </a:graphicData>
            </a:graphic>
          </wp:inline>
        </w:drawing>
      </w:r>
    </w:p>
    <w:p w14:paraId="2DDF9D04" w14:textId="77777777" w:rsidR="009E0AF9" w:rsidRPr="009E0AF9" w:rsidRDefault="009E0AF9" w:rsidP="009E0AF9">
      <w:pPr>
        <w:pStyle w:val="figlegend"/>
        <w:rPr>
          <w:lang w:eastAsia="en-US"/>
        </w:rPr>
      </w:pPr>
      <w:r w:rsidRPr="009E0AF9">
        <w:rPr>
          <w:b/>
          <w:bCs/>
          <w:lang w:eastAsia="en-US"/>
        </w:rPr>
        <w:t>Fig</w:t>
      </w:r>
      <w:r w:rsidRPr="009E0AF9">
        <w:rPr>
          <w:rFonts w:hint="eastAsia"/>
          <w:b/>
          <w:bCs/>
          <w:lang w:eastAsia="zh-CN"/>
        </w:rPr>
        <w:t>.</w:t>
      </w:r>
      <w:r w:rsidRPr="009E0AF9">
        <w:rPr>
          <w:b/>
          <w:bCs/>
          <w:lang w:eastAsia="en-US"/>
        </w:rPr>
        <w:t xml:space="preserve"> S</w:t>
      </w:r>
      <w:r w:rsidRPr="009E0AF9">
        <w:rPr>
          <w:rFonts w:hint="eastAsia"/>
          <w:b/>
          <w:bCs/>
          <w:lang w:eastAsia="en-US"/>
        </w:rPr>
        <w:t>4</w:t>
      </w:r>
      <w:r w:rsidRPr="009E0AF9">
        <w:rPr>
          <w:lang w:eastAsia="en-US"/>
        </w:rPr>
        <w:t xml:space="preserve"> Swelling behavior of CNQD/PAM and TDQD/PAM hydrogels over time</w:t>
      </w:r>
    </w:p>
    <w:p w14:paraId="769768A8" w14:textId="77777777" w:rsidR="009E0AF9" w:rsidRPr="009E0AF9" w:rsidRDefault="009E0AF9" w:rsidP="009E0AF9">
      <w:pPr>
        <w:widowControl w:val="0"/>
        <w:topLinePunct/>
        <w:autoSpaceDE/>
        <w:autoSpaceDN/>
        <w:adjustRightInd/>
        <w:spacing w:beforeLines="50" w:before="156" w:afterLines="50" w:after="156" w:line="240" w:lineRule="auto"/>
        <w:jc w:val="both"/>
        <w:textAlignment w:val="center"/>
        <w:rPr>
          <w:rFonts w:ascii="Times New Roman Regular" w:eastAsia="宋体" w:hAnsi="Times New Roman Regular" w:cs="Times New Roman Regular"/>
          <w:kern w:val="2"/>
          <w:sz w:val="18"/>
          <w:szCs w:val="18"/>
          <w:lang w:eastAsia="zh-CN"/>
        </w:rPr>
      </w:pPr>
      <w:r w:rsidRPr="009E0AF9">
        <w:rPr>
          <w:rFonts w:ascii="Times New Roman Regular" w:eastAsia="宋体" w:hAnsi="Times New Roman Regular" w:cs="Times New Roman Regular"/>
          <w:kern w:val="2"/>
          <w:sz w:val="18"/>
          <w:szCs w:val="18"/>
          <w:lang w:eastAsia="zh-CN"/>
        </w:rPr>
        <w:br w:type="page"/>
      </w:r>
    </w:p>
    <w:p w14:paraId="2996FCCE" w14:textId="77777777" w:rsidR="009E0AF9" w:rsidRPr="009E0AF9" w:rsidRDefault="009E0AF9" w:rsidP="009E0AF9">
      <w:pPr>
        <w:widowControl w:val="0"/>
        <w:topLinePunct/>
        <w:autoSpaceDE/>
        <w:autoSpaceDN/>
        <w:snapToGrid w:val="0"/>
        <w:spacing w:line="480" w:lineRule="auto"/>
        <w:ind w:firstLineChars="100" w:firstLine="210"/>
        <w:jc w:val="center"/>
        <w:textAlignment w:val="center"/>
        <w:rPr>
          <w:rFonts w:ascii="Times New Roman Regular" w:eastAsia="宋体" w:hAnsi="Times New Roman Regular" w:cs="Times New Roman Regular"/>
          <w:kern w:val="2"/>
          <w:sz w:val="18"/>
          <w:szCs w:val="18"/>
          <w:lang w:eastAsia="zh-CN"/>
        </w:rPr>
      </w:pPr>
      <w:r w:rsidRPr="009E0AF9">
        <w:rPr>
          <w:rFonts w:eastAsia="宋体"/>
          <w:noProof/>
          <w:kern w:val="2"/>
          <w:sz w:val="21"/>
          <w:szCs w:val="21"/>
          <w:lang w:eastAsia="zh-CN"/>
        </w:rPr>
        <w:lastRenderedPageBreak/>
        <w:drawing>
          <wp:inline distT="0" distB="0" distL="114300" distR="114300" wp14:anchorId="1515BE7E" wp14:editId="7E3992DB">
            <wp:extent cx="5268595" cy="1071245"/>
            <wp:effectExtent l="0" t="0" r="14605" b="20955"/>
            <wp:docPr id="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pic:cNvPicPr>
                      <a:picLocks noChangeAspect="1"/>
                    </pic:cNvPicPr>
                  </pic:nvPicPr>
                  <pic:blipFill>
                    <a:blip r:embed="rId82"/>
                    <a:stretch>
                      <a:fillRect/>
                    </a:stretch>
                  </pic:blipFill>
                  <pic:spPr>
                    <a:xfrm>
                      <a:off x="0" y="0"/>
                      <a:ext cx="5268595" cy="1071245"/>
                    </a:xfrm>
                    <a:prstGeom prst="rect">
                      <a:avLst/>
                    </a:prstGeom>
                    <a:noFill/>
                    <a:ln>
                      <a:noFill/>
                    </a:ln>
                  </pic:spPr>
                </pic:pic>
              </a:graphicData>
            </a:graphic>
          </wp:inline>
        </w:drawing>
      </w:r>
    </w:p>
    <w:p w14:paraId="206D2369" w14:textId="77777777" w:rsidR="009E0AF9" w:rsidRPr="009E0AF9" w:rsidRDefault="009E0AF9" w:rsidP="009E0AF9">
      <w:pPr>
        <w:pStyle w:val="figlegend"/>
        <w:rPr>
          <w:lang w:eastAsia="en-US"/>
        </w:rPr>
      </w:pPr>
      <w:bookmarkStart w:id="10" w:name="OLE_LINK11"/>
      <w:r w:rsidRPr="009E0AF9">
        <w:rPr>
          <w:b/>
          <w:bCs/>
          <w:lang w:eastAsia="en-US"/>
        </w:rPr>
        <w:t>Fig</w:t>
      </w:r>
      <w:r w:rsidRPr="009E0AF9">
        <w:rPr>
          <w:rFonts w:hint="eastAsia"/>
          <w:b/>
          <w:bCs/>
          <w:lang w:eastAsia="zh-CN"/>
        </w:rPr>
        <w:t>.</w:t>
      </w:r>
      <w:r w:rsidRPr="009E0AF9">
        <w:rPr>
          <w:b/>
          <w:bCs/>
          <w:lang w:eastAsia="en-US"/>
        </w:rPr>
        <w:t xml:space="preserve"> S</w:t>
      </w:r>
      <w:r w:rsidRPr="009E0AF9">
        <w:rPr>
          <w:rFonts w:hint="eastAsia"/>
          <w:b/>
          <w:bCs/>
          <w:lang w:eastAsia="en-US"/>
        </w:rPr>
        <w:t>5</w:t>
      </w:r>
      <w:r w:rsidRPr="009E0AF9">
        <w:rPr>
          <w:lang w:eastAsia="en-US"/>
        </w:rPr>
        <w:t xml:space="preserve"> Decomposition of adsorbed MB under light irradiation in CNQD/PAM</w:t>
      </w:r>
    </w:p>
    <w:bookmarkEnd w:id="10"/>
    <w:p w14:paraId="49E018CF" w14:textId="77777777" w:rsidR="009E0AF9" w:rsidRPr="009E0AF9" w:rsidRDefault="009E0AF9" w:rsidP="009E0AF9">
      <w:pPr>
        <w:pStyle w:val="url"/>
        <w:rPr>
          <w:lang w:eastAsia="zh-CN"/>
        </w:rPr>
      </w:pPr>
    </w:p>
    <w:sectPr w:rsidR="009E0AF9" w:rsidRPr="009E0AF9">
      <w:headerReference w:type="even" r:id="rId83"/>
      <w:headerReference w:type="default" r:id="rId84"/>
      <w:footerReference w:type="even" r:id="rId85"/>
      <w:footerReference w:type="default" r:id="rId86"/>
      <w:headerReference w:type="first" r:id="rId87"/>
      <w:footerReference w:type="first" r:id="rId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35B84" w14:textId="77777777" w:rsidR="00670A89" w:rsidRDefault="00670A89" w:rsidP="009E0AF9">
      <w:pPr>
        <w:spacing w:line="240" w:lineRule="auto"/>
        <w:ind w:firstLine="480"/>
      </w:pPr>
      <w:r>
        <w:separator/>
      </w:r>
    </w:p>
  </w:endnote>
  <w:endnote w:type="continuationSeparator" w:id="0">
    <w:p w14:paraId="7F45D147" w14:textId="77777777" w:rsidR="00670A89" w:rsidRDefault="00670A89" w:rsidP="009E0AF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Regular">
    <w:altName w:val="Times New Roman"/>
    <w:charset w:val="00"/>
    <w:family w:val="auto"/>
    <w:pitch w:val="default"/>
    <w:sig w:usb0="E0002AEF" w:usb1="C0007841"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1CA0" w14:textId="77777777" w:rsidR="009E0AF9" w:rsidRDefault="009E0AF9">
    <w:pPr>
      <w:pStyle w:val="a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063C5" w14:textId="77777777" w:rsidR="009E0AF9" w:rsidRDefault="009E0AF9">
    <w:pPr>
      <w:pStyle w:val="af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AF98" w14:textId="77777777" w:rsidR="009E0AF9" w:rsidRDefault="009E0AF9">
    <w:pPr>
      <w:pStyle w:val="af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BCB14" w14:textId="77777777" w:rsidR="00670A89" w:rsidRDefault="00670A89" w:rsidP="009E0AF9">
      <w:pPr>
        <w:spacing w:line="240" w:lineRule="auto"/>
        <w:ind w:firstLine="480"/>
      </w:pPr>
      <w:r>
        <w:separator/>
      </w:r>
    </w:p>
  </w:footnote>
  <w:footnote w:type="continuationSeparator" w:id="0">
    <w:p w14:paraId="29B175DF" w14:textId="77777777" w:rsidR="00670A89" w:rsidRDefault="00670A89" w:rsidP="009E0AF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ACDA" w14:textId="77777777" w:rsidR="009E0AF9" w:rsidRDefault="009E0AF9">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A9FCA" w14:textId="77777777" w:rsidR="009E0AF9" w:rsidRDefault="009E0AF9">
    <w:pPr>
      <w:pStyle w:val="af1"/>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9B5F3" w14:textId="77777777" w:rsidR="009E0AF9" w:rsidRDefault="009E0AF9">
    <w:pPr>
      <w:pStyle w:val="af1"/>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77FEC"/>
    <w:multiLevelType w:val="hybridMultilevel"/>
    <w:tmpl w:val="57E2F776"/>
    <w:lvl w:ilvl="0" w:tplc="067E81E4">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4B63889"/>
    <w:multiLevelType w:val="multilevel"/>
    <w:tmpl w:val="5268D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622EF9"/>
    <w:multiLevelType w:val="hybridMultilevel"/>
    <w:tmpl w:val="EEBE7CA6"/>
    <w:lvl w:ilvl="0" w:tplc="6F709CB4">
      <w:start w:val="1"/>
      <w:numFmt w:val="chineseCountingThousand"/>
      <w:lvlText w:val="%1 "/>
      <w:lvlJc w:val="left"/>
      <w:pPr>
        <w:ind w:left="3314" w:hanging="440"/>
      </w:pPr>
      <w:rPr>
        <w:rFonts w:hint="eastAsia"/>
        <w:b/>
        <w:i w:val="0"/>
      </w:rPr>
    </w:lvl>
    <w:lvl w:ilvl="1" w:tplc="04090019" w:tentative="1">
      <w:start w:val="1"/>
      <w:numFmt w:val="lowerLetter"/>
      <w:lvlText w:val="%2)"/>
      <w:lvlJc w:val="left"/>
      <w:pPr>
        <w:ind w:left="3754" w:hanging="440"/>
      </w:pPr>
    </w:lvl>
    <w:lvl w:ilvl="2" w:tplc="0409001B" w:tentative="1">
      <w:start w:val="1"/>
      <w:numFmt w:val="lowerRoman"/>
      <w:lvlText w:val="%3."/>
      <w:lvlJc w:val="right"/>
      <w:pPr>
        <w:ind w:left="4194" w:hanging="440"/>
      </w:pPr>
    </w:lvl>
    <w:lvl w:ilvl="3" w:tplc="0409000F" w:tentative="1">
      <w:start w:val="1"/>
      <w:numFmt w:val="decimal"/>
      <w:lvlText w:val="%4."/>
      <w:lvlJc w:val="left"/>
      <w:pPr>
        <w:ind w:left="4634" w:hanging="440"/>
      </w:pPr>
    </w:lvl>
    <w:lvl w:ilvl="4" w:tplc="04090019" w:tentative="1">
      <w:start w:val="1"/>
      <w:numFmt w:val="lowerLetter"/>
      <w:lvlText w:val="%5)"/>
      <w:lvlJc w:val="left"/>
      <w:pPr>
        <w:ind w:left="5074" w:hanging="440"/>
      </w:pPr>
    </w:lvl>
    <w:lvl w:ilvl="5" w:tplc="0409001B" w:tentative="1">
      <w:start w:val="1"/>
      <w:numFmt w:val="lowerRoman"/>
      <w:lvlText w:val="%6."/>
      <w:lvlJc w:val="right"/>
      <w:pPr>
        <w:ind w:left="5514" w:hanging="440"/>
      </w:pPr>
    </w:lvl>
    <w:lvl w:ilvl="6" w:tplc="0409000F" w:tentative="1">
      <w:start w:val="1"/>
      <w:numFmt w:val="decimal"/>
      <w:lvlText w:val="%7."/>
      <w:lvlJc w:val="left"/>
      <w:pPr>
        <w:ind w:left="5954" w:hanging="440"/>
      </w:pPr>
    </w:lvl>
    <w:lvl w:ilvl="7" w:tplc="04090019" w:tentative="1">
      <w:start w:val="1"/>
      <w:numFmt w:val="lowerLetter"/>
      <w:lvlText w:val="%8)"/>
      <w:lvlJc w:val="left"/>
      <w:pPr>
        <w:ind w:left="6394" w:hanging="440"/>
      </w:pPr>
    </w:lvl>
    <w:lvl w:ilvl="8" w:tplc="0409001B" w:tentative="1">
      <w:start w:val="1"/>
      <w:numFmt w:val="lowerRoman"/>
      <w:lvlText w:val="%9."/>
      <w:lvlJc w:val="right"/>
      <w:pPr>
        <w:ind w:left="6834" w:hanging="440"/>
      </w:pPr>
    </w:lvl>
  </w:abstractNum>
  <w:abstractNum w:abstractNumId="3" w15:restartNumberingAfterBreak="0">
    <w:nsid w:val="21A57E43"/>
    <w:multiLevelType w:val="hybridMultilevel"/>
    <w:tmpl w:val="E4B6D074"/>
    <w:lvl w:ilvl="0" w:tplc="FA0C3482">
      <w:start w:val="1"/>
      <w:numFmt w:val="chineseCountingThousand"/>
      <w:lvlText w:val="第%1章"/>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3F20251"/>
    <w:multiLevelType w:val="hybridMultilevel"/>
    <w:tmpl w:val="92CE8FD8"/>
    <w:lvl w:ilvl="0" w:tplc="91F4BB04">
      <w:start w:val="1"/>
      <w:numFmt w:val="chineseCountingThousand"/>
      <w:lvlText w:val="第%1节"/>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8514715"/>
    <w:multiLevelType w:val="multilevel"/>
    <w:tmpl w:val="5A9A2986"/>
    <w:lvl w:ilvl="0">
      <w:start w:val="1"/>
      <w:numFmt w:val="chineseCountingThousand"/>
      <w:lvlText w:val="第%1章"/>
      <w:lvlJc w:val="left"/>
      <w:pPr>
        <w:ind w:left="2991" w:hanging="2991"/>
      </w:pPr>
      <w:rPr>
        <w:rFonts w:hint="eastAsia"/>
      </w:rPr>
    </w:lvl>
    <w:lvl w:ilvl="1">
      <w:start w:val="1"/>
      <w:numFmt w:val="chineseCountingThousand"/>
      <w:lvlText w:val="第%2节"/>
      <w:lvlJc w:val="left"/>
      <w:pPr>
        <w:ind w:left="1872" w:hanging="1872"/>
      </w:pPr>
      <w:rPr>
        <w:rFonts w:hint="eastAsia"/>
      </w:rPr>
    </w:lvl>
    <w:lvl w:ilvl="2">
      <w:start w:val="1"/>
      <w:numFmt w:val="chineseCountingThousand"/>
      <w:lvlText w:val="%3."/>
      <w:lvlJc w:val="right"/>
      <w:pPr>
        <w:ind w:left="2312" w:hanging="2312"/>
      </w:pPr>
      <w:rPr>
        <w:rFonts w:hint="eastAsia"/>
      </w:rPr>
    </w:lvl>
    <w:lvl w:ilvl="3">
      <w:start w:val="1"/>
      <w:numFmt w:val="chineseCountingThousand"/>
      <w:pStyle w:val="4"/>
      <w:lvlText w:val="（%4）"/>
      <w:lvlJc w:val="left"/>
      <w:pPr>
        <w:ind w:left="2752" w:hanging="2752"/>
      </w:pPr>
      <w:rPr>
        <w:rFonts w:hint="eastAsia"/>
      </w:rPr>
    </w:lvl>
    <w:lvl w:ilvl="4">
      <w:start w:val="1"/>
      <w:numFmt w:val="lowerLetter"/>
      <w:lvlText w:val="%5)"/>
      <w:lvlJc w:val="left"/>
      <w:pPr>
        <w:ind w:left="3192" w:hanging="440"/>
      </w:pPr>
      <w:rPr>
        <w:rFonts w:hint="eastAsia"/>
      </w:rPr>
    </w:lvl>
    <w:lvl w:ilvl="5">
      <w:start w:val="1"/>
      <w:numFmt w:val="lowerRoman"/>
      <w:lvlText w:val="%6."/>
      <w:lvlJc w:val="right"/>
      <w:pPr>
        <w:ind w:left="3632" w:hanging="440"/>
      </w:pPr>
      <w:rPr>
        <w:rFonts w:hint="eastAsia"/>
      </w:rPr>
    </w:lvl>
    <w:lvl w:ilvl="6">
      <w:start w:val="1"/>
      <w:numFmt w:val="decimal"/>
      <w:lvlText w:val="%7."/>
      <w:lvlJc w:val="left"/>
      <w:pPr>
        <w:ind w:left="4072" w:hanging="440"/>
      </w:pPr>
      <w:rPr>
        <w:rFonts w:hint="eastAsia"/>
      </w:rPr>
    </w:lvl>
    <w:lvl w:ilvl="7">
      <w:start w:val="1"/>
      <w:numFmt w:val="lowerLetter"/>
      <w:lvlText w:val="%8)"/>
      <w:lvlJc w:val="left"/>
      <w:pPr>
        <w:ind w:left="4512" w:hanging="440"/>
      </w:pPr>
      <w:rPr>
        <w:rFonts w:hint="eastAsia"/>
      </w:rPr>
    </w:lvl>
    <w:lvl w:ilvl="8">
      <w:start w:val="1"/>
      <w:numFmt w:val="lowerRoman"/>
      <w:lvlText w:val="%9."/>
      <w:lvlJc w:val="right"/>
      <w:pPr>
        <w:ind w:left="4952" w:hanging="440"/>
      </w:pPr>
      <w:rPr>
        <w:rFonts w:hint="eastAsia"/>
      </w:rPr>
    </w:lvl>
  </w:abstractNum>
  <w:abstractNum w:abstractNumId="6" w15:restartNumberingAfterBreak="0">
    <w:nsid w:val="419A03C9"/>
    <w:multiLevelType w:val="multilevel"/>
    <w:tmpl w:val="C2769F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DCB1F06"/>
    <w:multiLevelType w:val="hybridMultilevel"/>
    <w:tmpl w:val="D452F130"/>
    <w:lvl w:ilvl="0" w:tplc="54AA86CC">
      <w:start w:val="1"/>
      <w:numFmt w:val="chineseCountingThousand"/>
      <w:lvlText w:val="第%1节"/>
      <w:lvlJc w:val="left"/>
      <w:pPr>
        <w:ind w:left="1872" w:hanging="440"/>
      </w:pPr>
      <w:rPr>
        <w:rFonts w:hint="eastAsia"/>
      </w:rPr>
    </w:lvl>
    <w:lvl w:ilvl="1" w:tplc="04090019" w:tentative="1">
      <w:start w:val="1"/>
      <w:numFmt w:val="lowerLetter"/>
      <w:lvlText w:val="%2)"/>
      <w:lvlJc w:val="left"/>
      <w:pPr>
        <w:ind w:left="2312" w:hanging="440"/>
      </w:pPr>
    </w:lvl>
    <w:lvl w:ilvl="2" w:tplc="0409001B" w:tentative="1">
      <w:start w:val="1"/>
      <w:numFmt w:val="lowerRoman"/>
      <w:lvlText w:val="%3."/>
      <w:lvlJc w:val="right"/>
      <w:pPr>
        <w:ind w:left="2752" w:hanging="440"/>
      </w:pPr>
    </w:lvl>
    <w:lvl w:ilvl="3" w:tplc="0409000F" w:tentative="1">
      <w:start w:val="1"/>
      <w:numFmt w:val="decimal"/>
      <w:lvlText w:val="%4."/>
      <w:lvlJc w:val="left"/>
      <w:pPr>
        <w:ind w:left="3192" w:hanging="440"/>
      </w:pPr>
    </w:lvl>
    <w:lvl w:ilvl="4" w:tplc="04090019" w:tentative="1">
      <w:start w:val="1"/>
      <w:numFmt w:val="lowerLetter"/>
      <w:lvlText w:val="%5)"/>
      <w:lvlJc w:val="left"/>
      <w:pPr>
        <w:ind w:left="3632" w:hanging="440"/>
      </w:pPr>
    </w:lvl>
    <w:lvl w:ilvl="5" w:tplc="0409001B" w:tentative="1">
      <w:start w:val="1"/>
      <w:numFmt w:val="lowerRoman"/>
      <w:lvlText w:val="%6."/>
      <w:lvlJc w:val="right"/>
      <w:pPr>
        <w:ind w:left="4072" w:hanging="440"/>
      </w:pPr>
    </w:lvl>
    <w:lvl w:ilvl="6" w:tplc="0409000F" w:tentative="1">
      <w:start w:val="1"/>
      <w:numFmt w:val="decimal"/>
      <w:lvlText w:val="%7."/>
      <w:lvlJc w:val="left"/>
      <w:pPr>
        <w:ind w:left="4512" w:hanging="440"/>
      </w:pPr>
    </w:lvl>
    <w:lvl w:ilvl="7" w:tplc="04090019" w:tentative="1">
      <w:start w:val="1"/>
      <w:numFmt w:val="lowerLetter"/>
      <w:lvlText w:val="%8)"/>
      <w:lvlJc w:val="left"/>
      <w:pPr>
        <w:ind w:left="4952" w:hanging="440"/>
      </w:pPr>
    </w:lvl>
    <w:lvl w:ilvl="8" w:tplc="0409001B" w:tentative="1">
      <w:start w:val="1"/>
      <w:numFmt w:val="lowerRoman"/>
      <w:lvlText w:val="%9."/>
      <w:lvlJc w:val="right"/>
      <w:pPr>
        <w:ind w:left="5392" w:hanging="440"/>
      </w:pPr>
    </w:lvl>
  </w:abstractNum>
  <w:abstractNum w:abstractNumId="8" w15:restartNumberingAfterBreak="0">
    <w:nsid w:val="57EC5365"/>
    <w:multiLevelType w:val="multilevel"/>
    <w:tmpl w:val="0409001D"/>
    <w:styleLink w:val="a"/>
    <w:lvl w:ilvl="0">
      <w:start w:val="1"/>
      <w:numFmt w:val="chineseCountingThousand"/>
      <w:pStyle w:val="1"/>
      <w:lvlText w:val="%1"/>
      <w:lvlJc w:val="left"/>
      <w:pPr>
        <w:ind w:left="425" w:hanging="425"/>
      </w:pPr>
      <w:rPr>
        <w:rFonts w:eastAsia="宋体" w:hint="eastAsia"/>
        <w:b/>
        <w:sz w:val="32"/>
      </w:rPr>
    </w:lvl>
    <w:lvl w:ilvl="1">
      <w:start w:val="1"/>
      <w:numFmt w:val="decimal"/>
      <w:pStyle w:val="2"/>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5C236B29"/>
    <w:multiLevelType w:val="hybridMultilevel"/>
    <w:tmpl w:val="6E342AF6"/>
    <w:lvl w:ilvl="0" w:tplc="3C22335A">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7032095C"/>
    <w:multiLevelType w:val="multilevel"/>
    <w:tmpl w:val="B932672E"/>
    <w:lvl w:ilvl="0">
      <w:start w:val="1"/>
      <w:numFmt w:val="chineseCountingThousand"/>
      <w:suff w:val="nothing"/>
      <w:lvlText w:val="第%1章"/>
      <w:lvlJc w:val="center"/>
      <w:pPr>
        <w:ind w:left="0" w:firstLine="288"/>
      </w:pPr>
      <w:rPr>
        <w:rFonts w:hint="eastAsia"/>
      </w:rPr>
    </w:lvl>
    <w:lvl w:ilvl="1">
      <w:start w:val="1"/>
      <w:numFmt w:val="chineseCountingThousand"/>
      <w:suff w:val="nothing"/>
      <w:lvlText w:val="第%2节"/>
      <w:lvlJc w:val="left"/>
      <w:pPr>
        <w:ind w:left="0" w:firstLine="0"/>
      </w:pPr>
      <w:rPr>
        <w:rFonts w:eastAsia="宋体" w:hint="eastAsia"/>
        <w:b/>
        <w:i w:val="0"/>
        <w:sz w:val="30"/>
      </w:rPr>
    </w:lvl>
    <w:lvl w:ilvl="2">
      <w:start w:val="1"/>
      <w:numFmt w:val="chineseCountingThousand"/>
      <w:suff w:val="nothing"/>
      <w:lvlText w:val="%3、"/>
      <w:lvlJc w:val="left"/>
      <w:pPr>
        <w:ind w:left="0" w:firstLine="0"/>
      </w:pPr>
      <w:rPr>
        <w:rFonts w:eastAsia="宋体" w:hint="eastAsia"/>
        <w:b/>
        <w:i w:val="0"/>
        <w:sz w:val="28"/>
      </w:rPr>
    </w:lvl>
    <w:lvl w:ilvl="3">
      <w:start w:val="1"/>
      <w:numFmt w:val="chineseCountingThousand"/>
      <w:suff w:val="nothing"/>
      <w:lvlText w:val="（%4）"/>
      <w:lvlJc w:val="left"/>
      <w:pPr>
        <w:ind w:left="0" w:firstLine="0"/>
      </w:pPr>
      <w:rPr>
        <w:rFonts w:eastAsia="宋体" w:hint="eastAsia"/>
        <w:b/>
        <w:i w:val="0"/>
        <w:sz w:val="24"/>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1" w15:restartNumberingAfterBreak="0">
    <w:nsid w:val="7B013752"/>
    <w:multiLevelType w:val="multilevel"/>
    <w:tmpl w:val="0409001D"/>
    <w:numStyleLink w:val="a"/>
  </w:abstractNum>
  <w:num w:numId="1" w16cid:durableId="1892886981">
    <w:abstractNumId w:val="8"/>
  </w:num>
  <w:num w:numId="2" w16cid:durableId="925769446">
    <w:abstractNumId w:val="10"/>
  </w:num>
  <w:num w:numId="3" w16cid:durableId="1130392752">
    <w:abstractNumId w:val="10"/>
  </w:num>
  <w:num w:numId="4" w16cid:durableId="367335811">
    <w:abstractNumId w:val="10"/>
  </w:num>
  <w:num w:numId="5" w16cid:durableId="33039474">
    <w:abstractNumId w:val="3"/>
  </w:num>
  <w:num w:numId="6" w16cid:durableId="579406561">
    <w:abstractNumId w:val="4"/>
  </w:num>
  <w:num w:numId="7" w16cid:durableId="661661787">
    <w:abstractNumId w:val="0"/>
  </w:num>
  <w:num w:numId="8" w16cid:durableId="1531214249">
    <w:abstractNumId w:val="9"/>
  </w:num>
  <w:num w:numId="9" w16cid:durableId="1031145255">
    <w:abstractNumId w:val="6"/>
  </w:num>
  <w:num w:numId="10" w16cid:durableId="175151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14761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55502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32552825">
    <w:abstractNumId w:val="3"/>
  </w:num>
  <w:num w:numId="14" w16cid:durableId="877087982">
    <w:abstractNumId w:val="4"/>
  </w:num>
  <w:num w:numId="15" w16cid:durableId="1927687640">
    <w:abstractNumId w:val="0"/>
  </w:num>
  <w:num w:numId="16" w16cid:durableId="1326854607">
    <w:abstractNumId w:val="9"/>
  </w:num>
  <w:num w:numId="17" w16cid:durableId="1418600514">
    <w:abstractNumId w:val="3"/>
  </w:num>
  <w:num w:numId="18" w16cid:durableId="1821114619">
    <w:abstractNumId w:val="4"/>
  </w:num>
  <w:num w:numId="19" w16cid:durableId="975917486">
    <w:abstractNumId w:val="0"/>
  </w:num>
  <w:num w:numId="20" w16cid:durableId="260724893">
    <w:abstractNumId w:val="9"/>
  </w:num>
  <w:num w:numId="21" w16cid:durableId="1122649275">
    <w:abstractNumId w:val="7"/>
  </w:num>
  <w:num w:numId="22" w16cid:durableId="739863601">
    <w:abstractNumId w:val="2"/>
  </w:num>
  <w:num w:numId="23" w16cid:durableId="2037582517">
    <w:abstractNumId w:val="5"/>
  </w:num>
  <w:num w:numId="24" w16cid:durableId="932668446">
    <w:abstractNumId w:val="11"/>
  </w:num>
  <w:num w:numId="25" w16cid:durableId="223613804">
    <w:abstractNumId w:val="11"/>
  </w:num>
  <w:num w:numId="26" w16cid:durableId="2047294410">
    <w:abstractNumId w:val="11"/>
  </w:num>
  <w:num w:numId="27" w16cid:durableId="2040930650">
    <w:abstractNumId w:val="11"/>
  </w:num>
  <w:num w:numId="28" w16cid:durableId="792134782">
    <w:abstractNumId w:val="11"/>
  </w:num>
  <w:num w:numId="29" w16cid:durableId="175310914">
    <w:abstractNumId w:val="11"/>
  </w:num>
  <w:num w:numId="30" w16cid:durableId="81997627">
    <w:abstractNumId w:val="11"/>
  </w:num>
  <w:num w:numId="31" w16cid:durableId="297027650">
    <w:abstractNumId w:val="11"/>
  </w:num>
  <w:num w:numId="32" w16cid:durableId="1341934043">
    <w:abstractNumId w:val="11"/>
  </w:num>
  <w:num w:numId="33" w16cid:durableId="1923446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grammar="clean"/>
  <w:attachedTemplate r:id="rId1"/>
  <w:linkStyles/>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826AD"/>
    <w:rsid w:val="00031542"/>
    <w:rsid w:val="00032493"/>
    <w:rsid w:val="00043EA6"/>
    <w:rsid w:val="0005590C"/>
    <w:rsid w:val="000630F8"/>
    <w:rsid w:val="00084A2A"/>
    <w:rsid w:val="000903B5"/>
    <w:rsid w:val="00091ED4"/>
    <w:rsid w:val="00096D04"/>
    <w:rsid w:val="000E52F6"/>
    <w:rsid w:val="00102179"/>
    <w:rsid w:val="00106627"/>
    <w:rsid w:val="00125986"/>
    <w:rsid w:val="001265E6"/>
    <w:rsid w:val="001412E5"/>
    <w:rsid w:val="00156256"/>
    <w:rsid w:val="0016171B"/>
    <w:rsid w:val="001627CB"/>
    <w:rsid w:val="00186F8A"/>
    <w:rsid w:val="0019151A"/>
    <w:rsid w:val="001B7F00"/>
    <w:rsid w:val="001D5453"/>
    <w:rsid w:val="001F08FB"/>
    <w:rsid w:val="001F0C24"/>
    <w:rsid w:val="00202315"/>
    <w:rsid w:val="0020530D"/>
    <w:rsid w:val="00205D2C"/>
    <w:rsid w:val="00224657"/>
    <w:rsid w:val="00234CF2"/>
    <w:rsid w:val="00241495"/>
    <w:rsid w:val="00245D83"/>
    <w:rsid w:val="00245DF5"/>
    <w:rsid w:val="00246205"/>
    <w:rsid w:val="0025082F"/>
    <w:rsid w:val="002519F9"/>
    <w:rsid w:val="002643FC"/>
    <w:rsid w:val="00284AF7"/>
    <w:rsid w:val="002978A9"/>
    <w:rsid w:val="002A6191"/>
    <w:rsid w:val="002B264B"/>
    <w:rsid w:val="002B2F7E"/>
    <w:rsid w:val="002B5B0D"/>
    <w:rsid w:val="002C10A6"/>
    <w:rsid w:val="002D580E"/>
    <w:rsid w:val="002E5990"/>
    <w:rsid w:val="002F68F0"/>
    <w:rsid w:val="0030519B"/>
    <w:rsid w:val="00332874"/>
    <w:rsid w:val="003334FD"/>
    <w:rsid w:val="00343CA1"/>
    <w:rsid w:val="0034497A"/>
    <w:rsid w:val="0034579A"/>
    <w:rsid w:val="00367C11"/>
    <w:rsid w:val="003967E0"/>
    <w:rsid w:val="003B3C9B"/>
    <w:rsid w:val="003B4574"/>
    <w:rsid w:val="003B5A9E"/>
    <w:rsid w:val="003B63B4"/>
    <w:rsid w:val="003C490C"/>
    <w:rsid w:val="003C4BE8"/>
    <w:rsid w:val="003C5564"/>
    <w:rsid w:val="003C5F9B"/>
    <w:rsid w:val="003E1980"/>
    <w:rsid w:val="0040333F"/>
    <w:rsid w:val="00410866"/>
    <w:rsid w:val="00414D12"/>
    <w:rsid w:val="00421C25"/>
    <w:rsid w:val="0042691D"/>
    <w:rsid w:val="00465611"/>
    <w:rsid w:val="00467828"/>
    <w:rsid w:val="0048515D"/>
    <w:rsid w:val="00487297"/>
    <w:rsid w:val="004925EC"/>
    <w:rsid w:val="004A3C14"/>
    <w:rsid w:val="004B44FE"/>
    <w:rsid w:val="004B4B70"/>
    <w:rsid w:val="004C1AEA"/>
    <w:rsid w:val="004E6EC4"/>
    <w:rsid w:val="004F5721"/>
    <w:rsid w:val="004F5ADD"/>
    <w:rsid w:val="004F6045"/>
    <w:rsid w:val="00507934"/>
    <w:rsid w:val="005148AF"/>
    <w:rsid w:val="00515B1C"/>
    <w:rsid w:val="005414DA"/>
    <w:rsid w:val="00542EEC"/>
    <w:rsid w:val="00550C13"/>
    <w:rsid w:val="00557943"/>
    <w:rsid w:val="00563200"/>
    <w:rsid w:val="00563335"/>
    <w:rsid w:val="00567094"/>
    <w:rsid w:val="005707B2"/>
    <w:rsid w:val="005713DC"/>
    <w:rsid w:val="00575235"/>
    <w:rsid w:val="005922F7"/>
    <w:rsid w:val="005A57A5"/>
    <w:rsid w:val="005B0CE3"/>
    <w:rsid w:val="005F13F8"/>
    <w:rsid w:val="006203FE"/>
    <w:rsid w:val="00623091"/>
    <w:rsid w:val="00624076"/>
    <w:rsid w:val="0063637E"/>
    <w:rsid w:val="0064345F"/>
    <w:rsid w:val="00655DB1"/>
    <w:rsid w:val="00657532"/>
    <w:rsid w:val="00670A89"/>
    <w:rsid w:val="00674DF0"/>
    <w:rsid w:val="00675D40"/>
    <w:rsid w:val="006A237E"/>
    <w:rsid w:val="006A6049"/>
    <w:rsid w:val="006A629D"/>
    <w:rsid w:val="006B55A9"/>
    <w:rsid w:val="006C0527"/>
    <w:rsid w:val="006C2557"/>
    <w:rsid w:val="006E3980"/>
    <w:rsid w:val="006F511E"/>
    <w:rsid w:val="007125C5"/>
    <w:rsid w:val="00712B72"/>
    <w:rsid w:val="007826AD"/>
    <w:rsid w:val="00791D9F"/>
    <w:rsid w:val="007A3D61"/>
    <w:rsid w:val="007B2CB4"/>
    <w:rsid w:val="007B34DF"/>
    <w:rsid w:val="007B4F8E"/>
    <w:rsid w:val="007B6773"/>
    <w:rsid w:val="007B73E3"/>
    <w:rsid w:val="007D4A29"/>
    <w:rsid w:val="007E08D0"/>
    <w:rsid w:val="007E4A29"/>
    <w:rsid w:val="007F49FE"/>
    <w:rsid w:val="007F60BA"/>
    <w:rsid w:val="007F7CDE"/>
    <w:rsid w:val="0080071D"/>
    <w:rsid w:val="00802434"/>
    <w:rsid w:val="00807B08"/>
    <w:rsid w:val="008122BF"/>
    <w:rsid w:val="0081372B"/>
    <w:rsid w:val="00823935"/>
    <w:rsid w:val="00837F25"/>
    <w:rsid w:val="00860022"/>
    <w:rsid w:val="00872ABE"/>
    <w:rsid w:val="008777AF"/>
    <w:rsid w:val="0089183A"/>
    <w:rsid w:val="0089435F"/>
    <w:rsid w:val="0089597C"/>
    <w:rsid w:val="00897E01"/>
    <w:rsid w:val="008A30E3"/>
    <w:rsid w:val="008A74FF"/>
    <w:rsid w:val="008C0E88"/>
    <w:rsid w:val="008D1D05"/>
    <w:rsid w:val="008E6E69"/>
    <w:rsid w:val="008F760E"/>
    <w:rsid w:val="00902496"/>
    <w:rsid w:val="00914DED"/>
    <w:rsid w:val="00923DF7"/>
    <w:rsid w:val="0092488C"/>
    <w:rsid w:val="009258A5"/>
    <w:rsid w:val="00925D95"/>
    <w:rsid w:val="00932341"/>
    <w:rsid w:val="00936BC7"/>
    <w:rsid w:val="00945EAD"/>
    <w:rsid w:val="00953FB3"/>
    <w:rsid w:val="00957970"/>
    <w:rsid w:val="00962CC7"/>
    <w:rsid w:val="00966764"/>
    <w:rsid w:val="009737FD"/>
    <w:rsid w:val="00975A8F"/>
    <w:rsid w:val="009944FA"/>
    <w:rsid w:val="009A10EF"/>
    <w:rsid w:val="009A7B11"/>
    <w:rsid w:val="009A7B88"/>
    <w:rsid w:val="009E0983"/>
    <w:rsid w:val="009E0AF9"/>
    <w:rsid w:val="009E3128"/>
    <w:rsid w:val="009F1269"/>
    <w:rsid w:val="00A24983"/>
    <w:rsid w:val="00A27176"/>
    <w:rsid w:val="00A3474A"/>
    <w:rsid w:val="00A352A2"/>
    <w:rsid w:val="00A3615F"/>
    <w:rsid w:val="00A56487"/>
    <w:rsid w:val="00A56512"/>
    <w:rsid w:val="00A566BF"/>
    <w:rsid w:val="00A92F26"/>
    <w:rsid w:val="00A93BF4"/>
    <w:rsid w:val="00A950D2"/>
    <w:rsid w:val="00AA6DA7"/>
    <w:rsid w:val="00AB4405"/>
    <w:rsid w:val="00AB44D5"/>
    <w:rsid w:val="00AB50AE"/>
    <w:rsid w:val="00AB570C"/>
    <w:rsid w:val="00AD481B"/>
    <w:rsid w:val="00AE375A"/>
    <w:rsid w:val="00AF6D96"/>
    <w:rsid w:val="00B015FE"/>
    <w:rsid w:val="00B058F4"/>
    <w:rsid w:val="00B154FE"/>
    <w:rsid w:val="00B21F70"/>
    <w:rsid w:val="00B25945"/>
    <w:rsid w:val="00B37990"/>
    <w:rsid w:val="00B653B0"/>
    <w:rsid w:val="00B6704A"/>
    <w:rsid w:val="00B7369F"/>
    <w:rsid w:val="00B932C2"/>
    <w:rsid w:val="00BA5709"/>
    <w:rsid w:val="00BA5A68"/>
    <w:rsid w:val="00BB2288"/>
    <w:rsid w:val="00BB5A6E"/>
    <w:rsid w:val="00BC5923"/>
    <w:rsid w:val="00BD1FF7"/>
    <w:rsid w:val="00BD77F1"/>
    <w:rsid w:val="00BE553F"/>
    <w:rsid w:val="00BE55B8"/>
    <w:rsid w:val="00C01A49"/>
    <w:rsid w:val="00C02601"/>
    <w:rsid w:val="00C034B0"/>
    <w:rsid w:val="00C53EEF"/>
    <w:rsid w:val="00C60DEB"/>
    <w:rsid w:val="00C65EB3"/>
    <w:rsid w:val="00C76397"/>
    <w:rsid w:val="00C85AC9"/>
    <w:rsid w:val="00CA6154"/>
    <w:rsid w:val="00CB52E0"/>
    <w:rsid w:val="00CD7634"/>
    <w:rsid w:val="00CE06DA"/>
    <w:rsid w:val="00CE6C40"/>
    <w:rsid w:val="00CF5C0F"/>
    <w:rsid w:val="00D0660E"/>
    <w:rsid w:val="00D10146"/>
    <w:rsid w:val="00D10C83"/>
    <w:rsid w:val="00D178DB"/>
    <w:rsid w:val="00D43402"/>
    <w:rsid w:val="00D72EFD"/>
    <w:rsid w:val="00D81A3B"/>
    <w:rsid w:val="00D97350"/>
    <w:rsid w:val="00DA5F57"/>
    <w:rsid w:val="00DB367B"/>
    <w:rsid w:val="00DB3B1A"/>
    <w:rsid w:val="00DE13EA"/>
    <w:rsid w:val="00DE2D35"/>
    <w:rsid w:val="00E00E58"/>
    <w:rsid w:val="00E01C87"/>
    <w:rsid w:val="00E066CE"/>
    <w:rsid w:val="00E27A6D"/>
    <w:rsid w:val="00E55BCA"/>
    <w:rsid w:val="00E66956"/>
    <w:rsid w:val="00E71D49"/>
    <w:rsid w:val="00E74C78"/>
    <w:rsid w:val="00E7537A"/>
    <w:rsid w:val="00E75BAB"/>
    <w:rsid w:val="00EA4F6B"/>
    <w:rsid w:val="00EA5327"/>
    <w:rsid w:val="00EB2A04"/>
    <w:rsid w:val="00EC013B"/>
    <w:rsid w:val="00EC2186"/>
    <w:rsid w:val="00EC4BB1"/>
    <w:rsid w:val="00EE774D"/>
    <w:rsid w:val="00EF2D09"/>
    <w:rsid w:val="00EF658B"/>
    <w:rsid w:val="00F000F5"/>
    <w:rsid w:val="00F14F05"/>
    <w:rsid w:val="00F45ABE"/>
    <w:rsid w:val="00F50A51"/>
    <w:rsid w:val="00F5339B"/>
    <w:rsid w:val="00F625B7"/>
    <w:rsid w:val="00F63B60"/>
    <w:rsid w:val="00F65826"/>
    <w:rsid w:val="00F704E3"/>
    <w:rsid w:val="00F825D9"/>
    <w:rsid w:val="00FB4E1D"/>
    <w:rsid w:val="00FC7865"/>
    <w:rsid w:val="00FC791C"/>
    <w:rsid w:val="00FD13A4"/>
    <w:rsid w:val="00FE7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1644F7"/>
  <w14:defaultImageDpi w14:val="32767"/>
  <w15:chartTrackingRefBased/>
  <w15:docId w15:val="{6C42544D-52E9-4CB7-AD92-736ED4EA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E4A29"/>
    <w:pPr>
      <w:overflowPunct w:val="0"/>
      <w:autoSpaceDE w:val="0"/>
      <w:autoSpaceDN w:val="0"/>
      <w:adjustRightInd w:val="0"/>
      <w:spacing w:line="360" w:lineRule="auto"/>
      <w:textAlignment w:val="baseline"/>
    </w:pPr>
    <w:rPr>
      <w:rFonts w:ascii="Times New Roman" w:hAnsi="Times New Roman" w:cs="Times New Roman"/>
      <w:kern w:val="0"/>
      <w:sz w:val="24"/>
      <w:szCs w:val="20"/>
      <w:lang w:eastAsia="de-DE"/>
      <w14:ligatures w14:val="none"/>
    </w:rPr>
  </w:style>
  <w:style w:type="paragraph" w:styleId="1">
    <w:name w:val="heading 1"/>
    <w:aliases w:val="ly 1"/>
    <w:basedOn w:val="a1"/>
    <w:next w:val="a0"/>
    <w:link w:val="10"/>
    <w:autoRedefine/>
    <w:uiPriority w:val="9"/>
    <w:qFormat/>
    <w:rsid w:val="00245D83"/>
    <w:pPr>
      <w:keepNext/>
      <w:keepLines/>
      <w:numPr>
        <w:numId w:val="32"/>
      </w:numPr>
      <w:spacing w:beforeLines="200" w:before="200" w:afterLines="200" w:after="200"/>
      <w:ind w:firstLineChars="0" w:firstLine="0"/>
      <w:contextualSpacing/>
      <w:jc w:val="center"/>
      <w:outlineLvl w:val="0"/>
    </w:pPr>
    <w:rPr>
      <w:b/>
      <w:bCs/>
      <w:kern w:val="44"/>
      <w:sz w:val="32"/>
      <w:szCs w:val="44"/>
    </w:rPr>
  </w:style>
  <w:style w:type="paragraph" w:styleId="2">
    <w:name w:val="heading 2"/>
    <w:aliases w:val="ly 2"/>
    <w:basedOn w:val="a0"/>
    <w:next w:val="a0"/>
    <w:link w:val="20"/>
    <w:autoRedefine/>
    <w:uiPriority w:val="9"/>
    <w:unhideWhenUsed/>
    <w:qFormat/>
    <w:rsid w:val="00245D83"/>
    <w:pPr>
      <w:keepNext/>
      <w:keepLines/>
      <w:numPr>
        <w:ilvl w:val="1"/>
        <w:numId w:val="32"/>
      </w:numPr>
      <w:spacing w:beforeLines="150" w:before="150" w:afterLines="150" w:after="150"/>
      <w:ind w:firstLine="0"/>
      <w:outlineLvl w:val="1"/>
    </w:pPr>
    <w:rPr>
      <w:rFonts w:asciiTheme="majorHAnsi" w:hAnsiTheme="majorHAnsi" w:cstheme="majorBidi"/>
      <w:b/>
      <w:bCs/>
      <w:sz w:val="30"/>
      <w:szCs w:val="32"/>
    </w:rPr>
  </w:style>
  <w:style w:type="paragraph" w:styleId="3">
    <w:name w:val="heading 3"/>
    <w:aliases w:val="ly 3"/>
    <w:basedOn w:val="a0"/>
    <w:next w:val="a0"/>
    <w:link w:val="30"/>
    <w:autoRedefine/>
    <w:uiPriority w:val="9"/>
    <w:unhideWhenUsed/>
    <w:qFormat/>
    <w:rsid w:val="00245D83"/>
    <w:pPr>
      <w:keepNext/>
      <w:keepLines/>
      <w:numPr>
        <w:ilvl w:val="2"/>
        <w:numId w:val="33"/>
      </w:numPr>
      <w:spacing w:beforeLines="100" w:before="100" w:afterLines="100" w:after="100"/>
      <w:ind w:firstLine="0"/>
      <w:outlineLvl w:val="2"/>
    </w:pPr>
    <w:rPr>
      <w:rFonts w:asciiTheme="minorHAnsi" w:hAnsiTheme="minorHAnsi"/>
      <w:b/>
      <w:bCs/>
      <w:sz w:val="28"/>
      <w:szCs w:val="32"/>
    </w:rPr>
  </w:style>
  <w:style w:type="paragraph" w:styleId="4">
    <w:name w:val="heading 4"/>
    <w:basedOn w:val="a0"/>
    <w:next w:val="a0"/>
    <w:link w:val="40"/>
    <w:autoRedefine/>
    <w:uiPriority w:val="9"/>
    <w:unhideWhenUsed/>
    <w:qFormat/>
    <w:rsid w:val="00A950D2"/>
    <w:pPr>
      <w:keepNext/>
      <w:keepLines/>
      <w:numPr>
        <w:ilvl w:val="3"/>
        <w:numId w:val="23"/>
      </w:numPr>
      <w:outlineLvl w:val="3"/>
    </w:pPr>
    <w:rPr>
      <w:rFonts w:asciiTheme="majorHAnsi" w:hAnsiTheme="majorHAnsi" w:cstheme="majorBidi"/>
      <w:b/>
      <w:bCs/>
      <w:szCs w:val="28"/>
    </w:rPr>
  </w:style>
  <w:style w:type="paragraph" w:styleId="5">
    <w:name w:val="heading 5"/>
    <w:basedOn w:val="a0"/>
    <w:next w:val="a0"/>
    <w:link w:val="50"/>
    <w:uiPriority w:val="9"/>
    <w:semiHidden/>
    <w:unhideWhenUsed/>
    <w:qFormat/>
    <w:rsid w:val="007826AD"/>
    <w:pPr>
      <w:keepNext/>
      <w:keepLines/>
      <w:spacing w:before="80" w:after="40"/>
      <w:outlineLvl w:val="4"/>
    </w:pPr>
    <w:rPr>
      <w:rFonts w:asciiTheme="minorHAnsi" w:hAnsiTheme="minorHAnsi" w:cstheme="majorBidi"/>
      <w:color w:val="0F4761" w:themeColor="accent1" w:themeShade="BF"/>
      <w:szCs w:val="24"/>
    </w:rPr>
  </w:style>
  <w:style w:type="paragraph" w:styleId="6">
    <w:name w:val="heading 6"/>
    <w:basedOn w:val="a0"/>
    <w:next w:val="a0"/>
    <w:link w:val="60"/>
    <w:uiPriority w:val="9"/>
    <w:semiHidden/>
    <w:unhideWhenUsed/>
    <w:qFormat/>
    <w:rsid w:val="007826AD"/>
    <w:pPr>
      <w:keepNext/>
      <w:keepLines/>
      <w:spacing w:before="40"/>
      <w:outlineLvl w:val="5"/>
    </w:pPr>
    <w:rPr>
      <w:rFonts w:asciiTheme="minorHAnsi" w:hAnsiTheme="minorHAnsi" w:cstheme="majorBidi"/>
      <w:b/>
      <w:bCs/>
      <w:color w:val="0F4761" w:themeColor="accent1" w:themeShade="BF"/>
    </w:rPr>
  </w:style>
  <w:style w:type="paragraph" w:styleId="7">
    <w:name w:val="heading 7"/>
    <w:basedOn w:val="a0"/>
    <w:next w:val="a0"/>
    <w:link w:val="70"/>
    <w:uiPriority w:val="9"/>
    <w:semiHidden/>
    <w:unhideWhenUsed/>
    <w:qFormat/>
    <w:rsid w:val="007826AD"/>
    <w:pPr>
      <w:keepNext/>
      <w:keepLines/>
      <w:spacing w:before="40"/>
      <w:outlineLvl w:val="6"/>
    </w:pPr>
    <w:rPr>
      <w:rFonts w:asciiTheme="minorHAnsi" w:hAnsiTheme="minorHAnsi" w:cstheme="majorBidi"/>
      <w:b/>
      <w:bCs/>
      <w:color w:val="595959" w:themeColor="text1" w:themeTint="A6"/>
    </w:rPr>
  </w:style>
  <w:style w:type="paragraph" w:styleId="8">
    <w:name w:val="heading 8"/>
    <w:basedOn w:val="a0"/>
    <w:next w:val="a0"/>
    <w:link w:val="80"/>
    <w:uiPriority w:val="9"/>
    <w:semiHidden/>
    <w:unhideWhenUsed/>
    <w:qFormat/>
    <w:rsid w:val="007826AD"/>
    <w:pPr>
      <w:keepNext/>
      <w:keepLines/>
      <w:outlineLvl w:val="7"/>
    </w:pPr>
    <w:rPr>
      <w:rFonts w:asciiTheme="minorHAnsi" w:hAnsiTheme="minorHAnsi" w:cstheme="majorBidi"/>
      <w:color w:val="595959" w:themeColor="text1" w:themeTint="A6"/>
    </w:rPr>
  </w:style>
  <w:style w:type="paragraph" w:styleId="9">
    <w:name w:val="heading 9"/>
    <w:basedOn w:val="a0"/>
    <w:next w:val="a0"/>
    <w:link w:val="90"/>
    <w:uiPriority w:val="9"/>
    <w:semiHidden/>
    <w:unhideWhenUsed/>
    <w:qFormat/>
    <w:rsid w:val="007826AD"/>
    <w:pPr>
      <w:keepNext/>
      <w:keepLines/>
      <w:outlineLvl w:val="8"/>
    </w:pPr>
    <w:rPr>
      <w:rFonts w:asciiTheme="minorHAnsi" w:eastAsiaTheme="majorEastAsia" w:hAnsiTheme="minorHAnsi" w:cstheme="majorBidi"/>
      <w:color w:val="595959" w:themeColor="text1" w:themeTint="A6"/>
    </w:rPr>
  </w:style>
  <w:style w:type="character" w:default="1" w:styleId="a2">
    <w:name w:val="Default Paragraph Font"/>
    <w:semiHidden/>
    <w:rsid w:val="007E4A2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semiHidden/>
    <w:rsid w:val="007E4A29"/>
  </w:style>
  <w:style w:type="numbering" w:customStyle="1" w:styleId="a">
    <w:name w:val="第一章"/>
    <w:uiPriority w:val="99"/>
    <w:rsid w:val="001265E6"/>
    <w:pPr>
      <w:numPr>
        <w:numId w:val="1"/>
      </w:numPr>
    </w:pPr>
  </w:style>
  <w:style w:type="character" w:customStyle="1" w:styleId="10">
    <w:name w:val="标题 1 字符"/>
    <w:aliases w:val="ly 1 字符"/>
    <w:basedOn w:val="a2"/>
    <w:link w:val="1"/>
    <w:uiPriority w:val="9"/>
    <w:rsid w:val="00245D83"/>
    <w:rPr>
      <w:rFonts w:ascii="Times New Roman" w:eastAsia="宋体" w:hAnsi="Times New Roman"/>
      <w:b/>
      <w:bCs/>
      <w:kern w:val="44"/>
      <w:sz w:val="32"/>
      <w:szCs w:val="44"/>
    </w:rPr>
  </w:style>
  <w:style w:type="character" w:customStyle="1" w:styleId="20">
    <w:name w:val="标题 2 字符"/>
    <w:aliases w:val="ly 2 字符"/>
    <w:basedOn w:val="a2"/>
    <w:link w:val="2"/>
    <w:uiPriority w:val="9"/>
    <w:rsid w:val="00245D83"/>
    <w:rPr>
      <w:rFonts w:asciiTheme="majorHAnsi" w:hAnsiTheme="majorHAnsi" w:cstheme="majorBidi"/>
      <w:b/>
      <w:bCs/>
      <w:sz w:val="30"/>
      <w:szCs w:val="32"/>
    </w:rPr>
  </w:style>
  <w:style w:type="character" w:customStyle="1" w:styleId="30">
    <w:name w:val="标题 3 字符"/>
    <w:aliases w:val="ly 3 字符"/>
    <w:basedOn w:val="a2"/>
    <w:link w:val="3"/>
    <w:uiPriority w:val="9"/>
    <w:rsid w:val="00245D83"/>
    <w:rPr>
      <w:b/>
      <w:bCs/>
      <w:sz w:val="28"/>
      <w:szCs w:val="32"/>
    </w:rPr>
  </w:style>
  <w:style w:type="character" w:customStyle="1" w:styleId="40">
    <w:name w:val="标题 4 字符"/>
    <w:basedOn w:val="a2"/>
    <w:link w:val="4"/>
    <w:uiPriority w:val="9"/>
    <w:rsid w:val="00A950D2"/>
    <w:rPr>
      <w:rFonts w:asciiTheme="majorHAnsi" w:eastAsia="宋体" w:hAnsiTheme="majorHAnsi" w:cstheme="majorBidi"/>
      <w:b/>
      <w:bCs/>
      <w:sz w:val="24"/>
      <w:szCs w:val="28"/>
    </w:rPr>
  </w:style>
  <w:style w:type="table" w:customStyle="1" w:styleId="a5">
    <w:name w:val="三线表"/>
    <w:basedOn w:val="a3"/>
    <w:uiPriority w:val="99"/>
    <w:rsid w:val="0016171B"/>
    <w:rPr>
      <w:rFonts w:ascii="Times New Roman" w:eastAsia="宋体" w:hAnsi="Times New Roman"/>
    </w:rPr>
    <w:tblPr>
      <w:tblBorders>
        <w:top w:val="single" w:sz="12" w:space="0" w:color="auto"/>
        <w:bottom w:val="single" w:sz="12" w:space="0" w:color="auto"/>
      </w:tblBorders>
    </w:tblPr>
    <w:tblStylePr w:type="firstRow">
      <w:pPr>
        <w:wordWrap/>
        <w:spacing w:line="360" w:lineRule="exact"/>
        <w:jc w:val="center"/>
      </w:pPr>
      <w:rPr>
        <w:rFonts w:ascii="Times New Roman" w:eastAsia="宋体"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paragraph" w:styleId="a1">
    <w:name w:val="No Spacing"/>
    <w:uiPriority w:val="1"/>
    <w:qFormat/>
    <w:rsid w:val="00245D83"/>
    <w:pPr>
      <w:widowControl w:val="0"/>
      <w:topLinePunct/>
      <w:ind w:firstLineChars="200" w:firstLine="200"/>
      <w:jc w:val="both"/>
    </w:pPr>
    <w:rPr>
      <w:rFonts w:ascii="Times New Roman" w:eastAsia="宋体" w:hAnsi="Times New Roman"/>
      <w:sz w:val="24"/>
    </w:rPr>
  </w:style>
  <w:style w:type="paragraph" w:customStyle="1" w:styleId="11">
    <w:name w:val="样式1"/>
    <w:basedOn w:val="a0"/>
    <w:qFormat/>
    <w:rsid w:val="00A3615F"/>
    <w:pPr>
      <w:pageBreakBefore/>
      <w:spacing w:beforeLines="50" w:before="50" w:afterLines="50" w:after="50"/>
    </w:pPr>
    <w:rPr>
      <w:b/>
      <w:sz w:val="30"/>
    </w:rPr>
  </w:style>
  <w:style w:type="character" w:customStyle="1" w:styleId="50">
    <w:name w:val="标题 5 字符"/>
    <w:basedOn w:val="a2"/>
    <w:link w:val="5"/>
    <w:uiPriority w:val="9"/>
    <w:semiHidden/>
    <w:rsid w:val="007826AD"/>
    <w:rPr>
      <w:rFonts w:cstheme="majorBidi"/>
      <w:color w:val="0F4761" w:themeColor="accent1" w:themeShade="BF"/>
      <w:sz w:val="24"/>
      <w:szCs w:val="24"/>
    </w:rPr>
  </w:style>
  <w:style w:type="character" w:customStyle="1" w:styleId="60">
    <w:name w:val="标题 6 字符"/>
    <w:basedOn w:val="a2"/>
    <w:link w:val="6"/>
    <w:uiPriority w:val="9"/>
    <w:semiHidden/>
    <w:rsid w:val="007826AD"/>
    <w:rPr>
      <w:rFonts w:cstheme="majorBidi"/>
      <w:b/>
      <w:bCs/>
      <w:color w:val="0F4761" w:themeColor="accent1" w:themeShade="BF"/>
      <w:sz w:val="24"/>
      <w:szCs w:val="21"/>
    </w:rPr>
  </w:style>
  <w:style w:type="character" w:customStyle="1" w:styleId="70">
    <w:name w:val="标题 7 字符"/>
    <w:basedOn w:val="a2"/>
    <w:link w:val="7"/>
    <w:uiPriority w:val="9"/>
    <w:semiHidden/>
    <w:rsid w:val="007826AD"/>
    <w:rPr>
      <w:rFonts w:cstheme="majorBidi"/>
      <w:b/>
      <w:bCs/>
      <w:color w:val="595959" w:themeColor="text1" w:themeTint="A6"/>
      <w:sz w:val="24"/>
      <w:szCs w:val="21"/>
    </w:rPr>
  </w:style>
  <w:style w:type="character" w:customStyle="1" w:styleId="80">
    <w:name w:val="标题 8 字符"/>
    <w:basedOn w:val="a2"/>
    <w:link w:val="8"/>
    <w:uiPriority w:val="9"/>
    <w:semiHidden/>
    <w:rsid w:val="007826AD"/>
    <w:rPr>
      <w:rFonts w:cstheme="majorBidi"/>
      <w:color w:val="595959" w:themeColor="text1" w:themeTint="A6"/>
      <w:sz w:val="24"/>
      <w:szCs w:val="21"/>
    </w:rPr>
  </w:style>
  <w:style w:type="character" w:customStyle="1" w:styleId="90">
    <w:name w:val="标题 9 字符"/>
    <w:basedOn w:val="a2"/>
    <w:link w:val="9"/>
    <w:uiPriority w:val="9"/>
    <w:semiHidden/>
    <w:rsid w:val="007826AD"/>
    <w:rPr>
      <w:rFonts w:eastAsiaTheme="majorEastAsia" w:cstheme="majorBidi"/>
      <w:color w:val="595959" w:themeColor="text1" w:themeTint="A6"/>
      <w:sz w:val="24"/>
      <w:szCs w:val="21"/>
    </w:rPr>
  </w:style>
  <w:style w:type="paragraph" w:styleId="a6">
    <w:name w:val="Title"/>
    <w:basedOn w:val="a0"/>
    <w:next w:val="a0"/>
    <w:link w:val="a7"/>
    <w:uiPriority w:val="10"/>
    <w:qFormat/>
    <w:rsid w:val="007826AD"/>
    <w:pPr>
      <w:spacing w:after="80"/>
      <w:contextualSpacing/>
      <w:jc w:val="center"/>
    </w:pPr>
    <w:rPr>
      <w:rFonts w:asciiTheme="majorHAnsi" w:eastAsiaTheme="majorEastAsia" w:hAnsiTheme="majorHAnsi" w:cstheme="majorBidi"/>
      <w:spacing w:val="-10"/>
      <w:kern w:val="28"/>
      <w:sz w:val="56"/>
      <w:szCs w:val="56"/>
    </w:rPr>
  </w:style>
  <w:style w:type="character" w:customStyle="1" w:styleId="a7">
    <w:name w:val="标题 字符"/>
    <w:basedOn w:val="a2"/>
    <w:link w:val="a6"/>
    <w:uiPriority w:val="10"/>
    <w:rsid w:val="007826AD"/>
    <w:rPr>
      <w:rFonts w:asciiTheme="majorHAnsi" w:eastAsiaTheme="majorEastAsia" w:hAnsiTheme="majorHAnsi" w:cstheme="majorBidi"/>
      <w:spacing w:val="-10"/>
      <w:kern w:val="28"/>
      <w:sz w:val="56"/>
      <w:szCs w:val="56"/>
    </w:rPr>
  </w:style>
  <w:style w:type="paragraph" w:styleId="a8">
    <w:name w:val="Subtitle"/>
    <w:basedOn w:val="a0"/>
    <w:next w:val="a0"/>
    <w:link w:val="a9"/>
    <w:uiPriority w:val="11"/>
    <w:qFormat/>
    <w:rsid w:val="007826AD"/>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9">
    <w:name w:val="副标题 字符"/>
    <w:basedOn w:val="a2"/>
    <w:link w:val="a8"/>
    <w:uiPriority w:val="11"/>
    <w:rsid w:val="007826AD"/>
    <w:rPr>
      <w:rFonts w:asciiTheme="majorHAnsi" w:eastAsiaTheme="majorEastAsia" w:hAnsiTheme="majorHAnsi" w:cstheme="majorBidi"/>
      <w:color w:val="595959" w:themeColor="text1" w:themeTint="A6"/>
      <w:spacing w:val="15"/>
      <w:sz w:val="28"/>
      <w:szCs w:val="28"/>
    </w:rPr>
  </w:style>
  <w:style w:type="paragraph" w:styleId="aa">
    <w:name w:val="Quote"/>
    <w:basedOn w:val="a0"/>
    <w:next w:val="a0"/>
    <w:link w:val="ab"/>
    <w:uiPriority w:val="29"/>
    <w:qFormat/>
    <w:rsid w:val="007826AD"/>
    <w:pPr>
      <w:spacing w:before="160" w:after="160"/>
      <w:jc w:val="center"/>
    </w:pPr>
    <w:rPr>
      <w:i/>
      <w:iCs/>
      <w:color w:val="404040" w:themeColor="text1" w:themeTint="BF"/>
    </w:rPr>
  </w:style>
  <w:style w:type="character" w:customStyle="1" w:styleId="ab">
    <w:name w:val="引用 字符"/>
    <w:basedOn w:val="a2"/>
    <w:link w:val="aa"/>
    <w:uiPriority w:val="29"/>
    <w:rsid w:val="007826AD"/>
    <w:rPr>
      <w:rFonts w:ascii="Times New Roman" w:eastAsia="宋体" w:hAnsi="Times New Roman"/>
      <w:i/>
      <w:iCs/>
      <w:color w:val="404040" w:themeColor="text1" w:themeTint="BF"/>
      <w:sz w:val="24"/>
      <w:szCs w:val="21"/>
    </w:rPr>
  </w:style>
  <w:style w:type="paragraph" w:styleId="ac">
    <w:name w:val="List Paragraph"/>
    <w:basedOn w:val="a0"/>
    <w:uiPriority w:val="34"/>
    <w:qFormat/>
    <w:rsid w:val="007826AD"/>
    <w:pPr>
      <w:ind w:left="720"/>
      <w:contextualSpacing/>
    </w:pPr>
  </w:style>
  <w:style w:type="character" w:styleId="ad">
    <w:name w:val="Intense Emphasis"/>
    <w:basedOn w:val="a2"/>
    <w:uiPriority w:val="21"/>
    <w:qFormat/>
    <w:rsid w:val="007826AD"/>
    <w:rPr>
      <w:i/>
      <w:iCs/>
      <w:color w:val="0F4761" w:themeColor="accent1" w:themeShade="BF"/>
    </w:rPr>
  </w:style>
  <w:style w:type="paragraph" w:styleId="ae">
    <w:name w:val="Intense Quote"/>
    <w:basedOn w:val="a0"/>
    <w:next w:val="a0"/>
    <w:link w:val="af"/>
    <w:uiPriority w:val="30"/>
    <w:qFormat/>
    <w:rsid w:val="007826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
    <w:name w:val="明显引用 字符"/>
    <w:basedOn w:val="a2"/>
    <w:link w:val="ae"/>
    <w:uiPriority w:val="30"/>
    <w:rsid w:val="007826AD"/>
    <w:rPr>
      <w:rFonts w:ascii="Times New Roman" w:eastAsia="宋体" w:hAnsi="Times New Roman"/>
      <w:i/>
      <w:iCs/>
      <w:color w:val="0F4761" w:themeColor="accent1" w:themeShade="BF"/>
      <w:sz w:val="24"/>
      <w:szCs w:val="21"/>
    </w:rPr>
  </w:style>
  <w:style w:type="character" w:styleId="af0">
    <w:name w:val="Intense Reference"/>
    <w:basedOn w:val="a2"/>
    <w:uiPriority w:val="32"/>
    <w:qFormat/>
    <w:rsid w:val="007826AD"/>
    <w:rPr>
      <w:b/>
      <w:bCs/>
      <w:smallCaps/>
      <w:color w:val="0F4761" w:themeColor="accent1" w:themeShade="BF"/>
      <w:spacing w:val="5"/>
    </w:rPr>
  </w:style>
  <w:style w:type="paragraph" w:styleId="af1">
    <w:name w:val="header"/>
    <w:basedOn w:val="a0"/>
    <w:link w:val="af2"/>
    <w:rsid w:val="007E4A29"/>
    <w:pPr>
      <w:tabs>
        <w:tab w:val="center" w:pos="4536"/>
        <w:tab w:val="right" w:pos="9072"/>
      </w:tabs>
    </w:pPr>
  </w:style>
  <w:style w:type="character" w:customStyle="1" w:styleId="af2">
    <w:name w:val="页眉 字符"/>
    <w:basedOn w:val="a2"/>
    <w:link w:val="af1"/>
    <w:rsid w:val="009E0AF9"/>
    <w:rPr>
      <w:rFonts w:ascii="Times New Roman" w:hAnsi="Times New Roman" w:cs="Times New Roman"/>
      <w:kern w:val="0"/>
      <w:sz w:val="24"/>
      <w:szCs w:val="20"/>
      <w:lang w:eastAsia="de-DE"/>
      <w14:ligatures w14:val="none"/>
    </w:rPr>
  </w:style>
  <w:style w:type="paragraph" w:styleId="af3">
    <w:name w:val="footer"/>
    <w:basedOn w:val="a0"/>
    <w:link w:val="af4"/>
    <w:rsid w:val="007E4A29"/>
    <w:pPr>
      <w:tabs>
        <w:tab w:val="center" w:pos="4536"/>
        <w:tab w:val="right" w:pos="9072"/>
      </w:tabs>
    </w:pPr>
  </w:style>
  <w:style w:type="character" w:customStyle="1" w:styleId="af4">
    <w:name w:val="页脚 字符"/>
    <w:basedOn w:val="a2"/>
    <w:link w:val="af3"/>
    <w:rsid w:val="009E0AF9"/>
    <w:rPr>
      <w:rFonts w:ascii="Times New Roman" w:hAnsi="Times New Roman" w:cs="Times New Roman"/>
      <w:kern w:val="0"/>
      <w:sz w:val="24"/>
      <w:szCs w:val="20"/>
      <w:lang w:eastAsia="de-DE"/>
      <w14:ligatures w14:val="none"/>
    </w:rPr>
  </w:style>
  <w:style w:type="character" w:styleId="af5">
    <w:name w:val="page number"/>
    <w:basedOn w:val="a2"/>
    <w:rsid w:val="007E4A29"/>
  </w:style>
  <w:style w:type="paragraph" w:customStyle="1" w:styleId="abbreviations">
    <w:name w:val="abbreviations"/>
    <w:basedOn w:val="abstract"/>
    <w:next w:val="a0"/>
    <w:rsid w:val="007E4A29"/>
    <w:pPr>
      <w:tabs>
        <w:tab w:val="left" w:pos="3402"/>
      </w:tabs>
      <w:ind w:left="3402" w:hanging="3402"/>
    </w:pPr>
  </w:style>
  <w:style w:type="paragraph" w:customStyle="1" w:styleId="12">
    <w:name w:val="标题1"/>
    <w:basedOn w:val="a0"/>
    <w:next w:val="author"/>
    <w:rsid w:val="009E0AF9"/>
    <w:rPr>
      <w:rFonts w:ascii="Arial" w:hAnsi="Arial"/>
      <w:b/>
      <w:sz w:val="36"/>
    </w:rPr>
  </w:style>
  <w:style w:type="paragraph" w:customStyle="1" w:styleId="heading1">
    <w:name w:val="heading1"/>
    <w:basedOn w:val="a0"/>
    <w:next w:val="a0"/>
    <w:rsid w:val="007E4A29"/>
    <w:pPr>
      <w:keepNext/>
      <w:spacing w:before="240" w:after="180"/>
    </w:pPr>
    <w:rPr>
      <w:rFonts w:ascii="Arial" w:hAnsi="Arial"/>
      <w:b/>
      <w:sz w:val="32"/>
    </w:rPr>
  </w:style>
  <w:style w:type="paragraph" w:customStyle="1" w:styleId="heading2">
    <w:name w:val="heading2"/>
    <w:basedOn w:val="a0"/>
    <w:next w:val="a0"/>
    <w:rsid w:val="007E4A29"/>
    <w:pPr>
      <w:keepNext/>
      <w:spacing w:before="240" w:after="180"/>
    </w:pPr>
    <w:rPr>
      <w:rFonts w:ascii="Arial" w:hAnsi="Arial"/>
      <w:b/>
    </w:rPr>
  </w:style>
  <w:style w:type="paragraph" w:customStyle="1" w:styleId="heading3">
    <w:name w:val="heading3"/>
    <w:basedOn w:val="a0"/>
    <w:next w:val="a0"/>
    <w:rsid w:val="007E4A29"/>
    <w:pPr>
      <w:keepNext/>
      <w:spacing w:before="240" w:after="180"/>
    </w:pPr>
    <w:rPr>
      <w:rFonts w:ascii="Arial" w:hAnsi="Arial"/>
      <w:i/>
    </w:rPr>
  </w:style>
  <w:style w:type="paragraph" w:customStyle="1" w:styleId="run-in">
    <w:name w:val="run-in"/>
    <w:basedOn w:val="a0"/>
    <w:next w:val="a0"/>
    <w:rsid w:val="007E4A29"/>
    <w:pPr>
      <w:keepNext/>
      <w:spacing w:before="120"/>
    </w:pPr>
    <w:rPr>
      <w:b/>
    </w:rPr>
  </w:style>
  <w:style w:type="paragraph" w:customStyle="1" w:styleId="figurecitation">
    <w:name w:val="figurecitation"/>
    <w:basedOn w:val="a0"/>
    <w:rsid w:val="007E4A2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acknowledgements">
    <w:name w:val="acknowledgements"/>
    <w:basedOn w:val="abstract"/>
    <w:next w:val="a0"/>
    <w:rsid w:val="007E4A29"/>
    <w:pPr>
      <w:spacing w:before="240"/>
    </w:pPr>
  </w:style>
  <w:style w:type="paragraph" w:customStyle="1" w:styleId="author">
    <w:name w:val="author"/>
    <w:basedOn w:val="a0"/>
    <w:next w:val="affiliation"/>
    <w:rsid w:val="007E4A29"/>
    <w:pPr>
      <w:spacing w:before="120"/>
    </w:pPr>
  </w:style>
  <w:style w:type="paragraph" w:customStyle="1" w:styleId="affiliation">
    <w:name w:val="affiliation"/>
    <w:basedOn w:val="a0"/>
    <w:next w:val="phone"/>
    <w:rsid w:val="007E4A29"/>
    <w:pPr>
      <w:spacing w:before="120" w:line="240" w:lineRule="auto"/>
    </w:pPr>
    <w:rPr>
      <w:i/>
    </w:rPr>
  </w:style>
  <w:style w:type="paragraph" w:customStyle="1" w:styleId="email">
    <w:name w:val="email"/>
    <w:basedOn w:val="a0"/>
    <w:next w:val="url"/>
    <w:rsid w:val="007E4A29"/>
    <w:pPr>
      <w:spacing w:before="120" w:line="240" w:lineRule="auto"/>
    </w:pPr>
    <w:rPr>
      <w:sz w:val="20"/>
    </w:rPr>
  </w:style>
  <w:style w:type="paragraph" w:customStyle="1" w:styleId="phone">
    <w:name w:val="phone"/>
    <w:basedOn w:val="email"/>
    <w:next w:val="fax"/>
    <w:rsid w:val="007E4A29"/>
  </w:style>
  <w:style w:type="paragraph" w:customStyle="1" w:styleId="fax">
    <w:name w:val="fax"/>
    <w:basedOn w:val="email"/>
    <w:next w:val="email"/>
    <w:rsid w:val="007E4A29"/>
  </w:style>
  <w:style w:type="paragraph" w:customStyle="1" w:styleId="abstract">
    <w:name w:val="abstract"/>
    <w:basedOn w:val="a0"/>
    <w:next w:val="keywords"/>
    <w:rsid w:val="007E4A29"/>
    <w:pPr>
      <w:spacing w:before="120"/>
    </w:pPr>
    <w:rPr>
      <w:sz w:val="20"/>
    </w:rPr>
  </w:style>
  <w:style w:type="paragraph" w:customStyle="1" w:styleId="keywords">
    <w:name w:val="keywords"/>
    <w:basedOn w:val="a0"/>
    <w:next w:val="a0"/>
    <w:rsid w:val="007E4A29"/>
    <w:pPr>
      <w:spacing w:before="120"/>
    </w:pPr>
    <w:rPr>
      <w:i/>
    </w:rPr>
  </w:style>
  <w:style w:type="paragraph" w:customStyle="1" w:styleId="extraaddress">
    <w:name w:val="extraaddress"/>
    <w:basedOn w:val="email"/>
    <w:rsid w:val="007E4A29"/>
  </w:style>
  <w:style w:type="paragraph" w:customStyle="1" w:styleId="reference">
    <w:name w:val="reference"/>
    <w:basedOn w:val="a0"/>
    <w:rsid w:val="007E4A29"/>
    <w:rPr>
      <w:sz w:val="20"/>
    </w:rPr>
  </w:style>
  <w:style w:type="paragraph" w:customStyle="1" w:styleId="equation">
    <w:name w:val="equation"/>
    <w:basedOn w:val="a0"/>
    <w:next w:val="a0"/>
    <w:rsid w:val="007E4A29"/>
    <w:pPr>
      <w:spacing w:before="120" w:after="120"/>
      <w:jc w:val="center"/>
    </w:pPr>
    <w:rPr>
      <w:sz w:val="20"/>
    </w:rPr>
  </w:style>
  <w:style w:type="paragraph" w:customStyle="1" w:styleId="articlenote">
    <w:name w:val="articlenote"/>
    <w:basedOn w:val="a0"/>
    <w:next w:val="a0"/>
    <w:rsid w:val="007E4A29"/>
    <w:pPr>
      <w:spacing w:line="240" w:lineRule="auto"/>
    </w:pPr>
    <w:rPr>
      <w:sz w:val="22"/>
    </w:rPr>
  </w:style>
  <w:style w:type="paragraph" w:customStyle="1" w:styleId="figlegend">
    <w:name w:val="figlegend"/>
    <w:basedOn w:val="a0"/>
    <w:next w:val="a0"/>
    <w:rsid w:val="007E4A29"/>
    <w:pPr>
      <w:spacing w:before="120"/>
    </w:pPr>
    <w:rPr>
      <w:sz w:val="20"/>
    </w:rPr>
  </w:style>
  <w:style w:type="paragraph" w:customStyle="1" w:styleId="tablelegend">
    <w:name w:val="tablelegend"/>
    <w:basedOn w:val="a0"/>
    <w:next w:val="a0"/>
    <w:rsid w:val="007E4A29"/>
    <w:pPr>
      <w:spacing w:before="120"/>
    </w:pPr>
    <w:rPr>
      <w:sz w:val="20"/>
    </w:rPr>
  </w:style>
  <w:style w:type="paragraph" w:customStyle="1" w:styleId="url">
    <w:name w:val="url"/>
    <w:basedOn w:val="email"/>
    <w:next w:val="a0"/>
    <w:rsid w:val="007E4A29"/>
  </w:style>
  <w:style w:type="paragraph" w:customStyle="1" w:styleId="BATitle">
    <w:name w:val="BA_Title"/>
    <w:basedOn w:val="a0"/>
    <w:next w:val="a0"/>
    <w:rsid w:val="009E0AF9"/>
    <w:pPr>
      <w:overflowPunct/>
      <w:autoSpaceDE/>
      <w:autoSpaceDN/>
      <w:adjustRightInd/>
      <w:spacing w:before="720" w:after="360" w:line="480" w:lineRule="auto"/>
      <w:jc w:val="center"/>
      <w:textAlignment w:val="auto"/>
    </w:pPr>
    <w:rPr>
      <w:sz w:val="44"/>
      <w:lang w:eastAsia="en-US"/>
    </w:rPr>
  </w:style>
  <w:style w:type="paragraph" w:customStyle="1" w:styleId="BBAuthorName">
    <w:name w:val="BB_Author_Name"/>
    <w:basedOn w:val="a0"/>
    <w:next w:val="a0"/>
    <w:rsid w:val="009E0AF9"/>
    <w:pPr>
      <w:overflowPunct/>
      <w:autoSpaceDE/>
      <w:autoSpaceDN/>
      <w:adjustRightInd/>
      <w:spacing w:after="240" w:line="480" w:lineRule="auto"/>
      <w:jc w:val="center"/>
      <w:textAlignment w:val="auto"/>
    </w:pPr>
    <w:rPr>
      <w:rFonts w:ascii="Times" w:hAnsi="Times"/>
      <w:i/>
      <w:lang w:eastAsia="en-US"/>
    </w:rPr>
  </w:style>
  <w:style w:type="character" w:styleId="af6">
    <w:name w:val="Hyperlink"/>
    <w:basedOn w:val="a2"/>
    <w:uiPriority w:val="99"/>
    <w:unhideWhenUsed/>
    <w:rsid w:val="009E0AF9"/>
    <w:rPr>
      <w:color w:val="467886" w:themeColor="hyperlink"/>
      <w:u w:val="single"/>
    </w:rPr>
  </w:style>
  <w:style w:type="paragraph" w:customStyle="1" w:styleId="AIReceivedDate">
    <w:name w:val="AI_Received_Date"/>
    <w:basedOn w:val="a0"/>
    <w:next w:val="a0"/>
    <w:rsid w:val="009E0AF9"/>
    <w:pPr>
      <w:overflowPunct/>
      <w:autoSpaceDE/>
      <w:autoSpaceDN/>
      <w:adjustRightInd/>
      <w:spacing w:after="240" w:line="480" w:lineRule="auto"/>
      <w:jc w:val="both"/>
      <w:textAlignment w:val="auto"/>
    </w:pPr>
    <w:rPr>
      <w:rFonts w:ascii="Times" w:hAnsi="Times"/>
      <w:b/>
      <w:lang w:eastAsia="en-US"/>
    </w:rPr>
  </w:style>
  <w:style w:type="paragraph" w:customStyle="1" w:styleId="TESupportingInformation">
    <w:name w:val="TE_Supporting_Information"/>
    <w:basedOn w:val="a0"/>
    <w:next w:val="a0"/>
    <w:rsid w:val="007E4A29"/>
    <w:pPr>
      <w:overflowPunct/>
      <w:autoSpaceDE/>
      <w:autoSpaceDN/>
      <w:adjustRightInd/>
      <w:spacing w:after="200" w:line="480" w:lineRule="auto"/>
      <w:ind w:firstLine="187"/>
      <w:jc w:val="both"/>
      <w:textAlignment w:val="auto"/>
    </w:pPr>
    <w:rPr>
      <w:rFonts w:ascii="Times" w:eastAsia="Times New Roman" w:hAnsi="Times"/>
      <w:sz w:val="20"/>
      <w:lang w:eastAsia="en-US"/>
    </w:rPr>
  </w:style>
  <w:style w:type="paragraph" w:customStyle="1" w:styleId="VAFigureCaption">
    <w:name w:val="VA_Figure_Caption"/>
    <w:basedOn w:val="a0"/>
    <w:next w:val="a0"/>
    <w:rsid w:val="009E0AF9"/>
    <w:pPr>
      <w:overflowPunct/>
      <w:autoSpaceDE/>
      <w:autoSpaceDN/>
      <w:adjustRightInd/>
      <w:spacing w:after="200" w:line="480" w:lineRule="auto"/>
      <w:jc w:val="both"/>
      <w:textAlignment w:val="auto"/>
    </w:pPr>
    <w:rPr>
      <w:rFonts w:ascii="Times" w:hAnsi="Times"/>
      <w:lang w:eastAsia="en-US"/>
    </w:rPr>
  </w:style>
  <w:style w:type="paragraph" w:customStyle="1" w:styleId="VDTableTitle">
    <w:name w:val="VD_Table_Title"/>
    <w:basedOn w:val="a0"/>
    <w:next w:val="a0"/>
    <w:rsid w:val="009E0AF9"/>
    <w:pPr>
      <w:overflowPunct/>
      <w:autoSpaceDE/>
      <w:autoSpaceDN/>
      <w:adjustRightInd/>
      <w:spacing w:after="200" w:line="480" w:lineRule="auto"/>
      <w:jc w:val="both"/>
      <w:textAlignment w:val="auto"/>
    </w:pPr>
    <w:rPr>
      <w:rFonts w:ascii="Times" w:hAnsi="Times"/>
      <w:lang w:eastAsia="en-US"/>
    </w:rPr>
  </w:style>
  <w:style w:type="table" w:customStyle="1" w:styleId="13">
    <w:name w:val="三线表1"/>
    <w:basedOn w:val="a3"/>
    <w:uiPriority w:val="99"/>
    <w:rsid w:val="009E0AF9"/>
    <w:rPr>
      <w:rFonts w:ascii="Times New Roman" w:eastAsia="宋体" w:hAnsi="Times New Roman" w:cs="Times New Roman"/>
      <w:kern w:val="0"/>
      <w:sz w:val="20"/>
      <w:szCs w:val="20"/>
    </w:rPr>
    <w:tblPr>
      <w:tblBorders>
        <w:top w:val="single" w:sz="12" w:space="0" w:color="auto"/>
        <w:bottom w:val="single" w:sz="12" w:space="0" w:color="auto"/>
      </w:tblBorders>
    </w:tblPr>
    <w:tblStylePr w:type="firstRow">
      <w:pPr>
        <w:wordWrap/>
        <w:spacing w:line="360" w:lineRule="exact"/>
        <w:jc w:val="center"/>
      </w:pPr>
      <w:rPr>
        <w:rFonts w:ascii="Times New Roman" w:eastAsia="宋体"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paragraph" w:customStyle="1" w:styleId="title">
    <w:name w:val="title"/>
    <w:basedOn w:val="a0"/>
    <w:next w:val="author"/>
    <w:rsid w:val="007E4A29"/>
    <w:rPr>
      <w:rFonts w:ascii="Arial" w:hAnsi="Arial"/>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9.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32.bin"/><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2.wmf"/><Relationship Id="rId58" Type="http://schemas.openxmlformats.org/officeDocument/2006/relationships/oleObject" Target="embeddings/oleObject27.bin"/><Relationship Id="rId74" Type="http://schemas.openxmlformats.org/officeDocument/2006/relationships/oleObject" Target="embeddings/oleObject36.bin"/><Relationship Id="rId79" Type="http://schemas.openxmlformats.org/officeDocument/2006/relationships/image" Target="media/image35.sv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0.wmf"/><Relationship Id="rId77"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6.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oleObject" Target="embeddings/oleObject37.bin"/><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oleObject" Target="embeddings/oleObject35.bin"/><Relationship Id="rId78" Type="http://schemas.openxmlformats.org/officeDocument/2006/relationships/image" Target="media/image34.png"/><Relationship Id="rId81" Type="http://schemas.openxmlformats.org/officeDocument/2006/relationships/image" Target="media/image37.tiff"/><Relationship Id="rId8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7.bin"/><Relationship Id="rId34" Type="http://schemas.openxmlformats.org/officeDocument/2006/relationships/image" Target="media/image14.wmf"/><Relationship Id="rId50" Type="http://schemas.openxmlformats.org/officeDocument/2006/relationships/oleObject" Target="embeddings/oleObject23.bin"/><Relationship Id="rId55" Type="http://schemas.openxmlformats.org/officeDocument/2006/relationships/image" Target="media/image23.wmf"/><Relationship Id="rId76" Type="http://schemas.openxmlformats.org/officeDocument/2006/relationships/image" Target="media/image32.png"/><Relationship Id="rId7" Type="http://schemas.openxmlformats.org/officeDocument/2006/relationships/hyperlink" Target="mailto:fwjlf2227@163.com" TargetMode="External"/><Relationship Id="rId71"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6.wmf"/><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header" Target="header3.xml"/><Relationship Id="rId61" Type="http://schemas.openxmlformats.org/officeDocument/2006/relationships/image" Target="media/image26.wmf"/><Relationship Id="rId82" Type="http://schemas.openxmlformats.org/officeDocument/2006/relationships/image" Target="media/image38.png"/><Relationship Id="rId19"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even\AppData\Roaming\Microsoft\Templates\sv-jour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sv-journ</Template>
  <TotalTime>7</TotalTime>
  <Pages>13</Pages>
  <Words>1200</Words>
  <Characters>6843</Characters>
  <Application>Microsoft Office Word</Application>
  <DocSecurity>0</DocSecurity>
  <Lines>57</Lines>
  <Paragraphs>16</Paragraphs>
  <ScaleCrop>false</ScaleCrop>
  <Company/>
  <LinksUpToDate>false</LinksUpToDate>
  <CharactersWithSpaces>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淇 崔</dc:creator>
  <cp:keywords/>
  <dc:description/>
  <cp:lastModifiedBy>淇 崔</cp:lastModifiedBy>
  <cp:revision>3</cp:revision>
  <dcterms:created xsi:type="dcterms:W3CDTF">2025-12-22T06:06:00Z</dcterms:created>
  <dcterms:modified xsi:type="dcterms:W3CDTF">2025-12-22T06:26:00Z</dcterms:modified>
</cp:coreProperties>
</file>