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AB93" w14:textId="77777777" w:rsidR="00606B9A" w:rsidRDefault="00606B9A" w:rsidP="00606B9A">
      <w:pPr>
        <w:pStyle w:val="Tableformat"/>
      </w:pPr>
    </w:p>
    <w:p w14:paraId="07B9E845" w14:textId="1910D2B8" w:rsidR="00606B9A" w:rsidRPr="003A1FBD" w:rsidRDefault="00606B9A" w:rsidP="00606B9A">
      <w:pPr>
        <w:pStyle w:val="Tableformat"/>
      </w:pPr>
      <w:r>
        <w:t>Table</w:t>
      </w:r>
      <w:r>
        <w:rPr>
          <w:lang w:val="vi-VN"/>
        </w:rPr>
        <w:t xml:space="preserve"> 7</w:t>
      </w:r>
      <w:r w:rsidRPr="003A1FBD">
        <w:t>. Factors related to treatment failure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single" w:sz="1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1942"/>
        <w:gridCol w:w="1936"/>
        <w:gridCol w:w="1498"/>
      </w:tblGrid>
      <w:tr w:rsidR="00606B9A" w:rsidRPr="00943E15" w14:paraId="087E8CA5" w14:textId="77777777" w:rsidTr="00BB65B5">
        <w:tc>
          <w:tcPr>
            <w:tcW w:w="3984" w:type="dxa"/>
            <w:tcBorders>
              <w:bottom w:val="single" w:sz="18" w:space="0" w:color="000000" w:themeColor="text1"/>
            </w:tcBorders>
          </w:tcPr>
          <w:p w14:paraId="02104595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Factors</w:t>
            </w:r>
          </w:p>
        </w:tc>
        <w:tc>
          <w:tcPr>
            <w:tcW w:w="1942" w:type="dxa"/>
            <w:tcBorders>
              <w:bottom w:val="single" w:sz="18" w:space="0" w:color="000000" w:themeColor="text1"/>
            </w:tcBorders>
          </w:tcPr>
          <w:p w14:paraId="454A268B" w14:textId="77777777" w:rsidR="00606B9A" w:rsidRPr="00943E15" w:rsidRDefault="00606B9A" w:rsidP="00BB65B5">
            <w:pPr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i/>
                <w:iCs/>
                <w:szCs w:val="24"/>
              </w:rPr>
              <w:t xml:space="preserve">p </w:t>
            </w:r>
            <w:r w:rsidRPr="00943E15">
              <w:rPr>
                <w:rFonts w:cs="Times New Roman"/>
                <w:b/>
                <w:bCs/>
                <w:szCs w:val="24"/>
              </w:rPr>
              <w:t>Value</w:t>
            </w:r>
          </w:p>
        </w:tc>
        <w:tc>
          <w:tcPr>
            <w:tcW w:w="1936" w:type="dxa"/>
            <w:tcBorders>
              <w:bottom w:val="single" w:sz="18" w:space="0" w:color="000000" w:themeColor="text1"/>
            </w:tcBorders>
          </w:tcPr>
          <w:p w14:paraId="48B56BEE" w14:textId="77777777" w:rsidR="00606B9A" w:rsidRPr="00943E15" w:rsidRDefault="00606B9A" w:rsidP="00BB65B5">
            <w:pPr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498" w:type="dxa"/>
            <w:tcBorders>
              <w:bottom w:val="single" w:sz="18" w:space="0" w:color="000000" w:themeColor="text1"/>
            </w:tcBorders>
          </w:tcPr>
          <w:p w14:paraId="72FA543D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95% CI</w:t>
            </w:r>
          </w:p>
        </w:tc>
      </w:tr>
      <w:tr w:rsidR="00606B9A" w:rsidRPr="00943E15" w14:paraId="2D4C4317" w14:textId="77777777" w:rsidTr="00BB65B5">
        <w:tc>
          <w:tcPr>
            <w:tcW w:w="3984" w:type="dxa"/>
            <w:tcBorders>
              <w:bottom w:val="nil"/>
            </w:tcBorders>
          </w:tcPr>
          <w:p w14:paraId="79E63961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Age</w:t>
            </w:r>
          </w:p>
        </w:tc>
        <w:tc>
          <w:tcPr>
            <w:tcW w:w="1942" w:type="dxa"/>
            <w:tcBorders>
              <w:bottom w:val="nil"/>
            </w:tcBorders>
            <w:vAlign w:val="center"/>
          </w:tcPr>
          <w:p w14:paraId="10343B39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0.092</w:t>
            </w:r>
          </w:p>
        </w:tc>
        <w:tc>
          <w:tcPr>
            <w:tcW w:w="1936" w:type="dxa"/>
            <w:tcBorders>
              <w:bottom w:val="nil"/>
            </w:tcBorders>
            <w:vAlign w:val="center"/>
          </w:tcPr>
          <w:p w14:paraId="3ED0AC49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1.024</w:t>
            </w: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14:paraId="666E374C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0.996-1.054</w:t>
            </w:r>
          </w:p>
        </w:tc>
      </w:tr>
      <w:tr w:rsidR="00606B9A" w:rsidRPr="00943E15" w14:paraId="0043C830" w14:textId="77777777" w:rsidTr="00BB65B5">
        <w:tc>
          <w:tcPr>
            <w:tcW w:w="3984" w:type="dxa"/>
            <w:tcBorders>
              <w:top w:val="nil"/>
              <w:bottom w:val="nil"/>
            </w:tcBorders>
          </w:tcPr>
          <w:p w14:paraId="61B69315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CCI score</w:t>
            </w:r>
          </w:p>
        </w:tc>
        <w:tc>
          <w:tcPr>
            <w:tcW w:w="1942" w:type="dxa"/>
            <w:tcBorders>
              <w:top w:val="nil"/>
              <w:bottom w:val="nil"/>
            </w:tcBorders>
            <w:vAlign w:val="center"/>
          </w:tcPr>
          <w:p w14:paraId="343582A4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&lt; 0.001</w:t>
            </w:r>
          </w:p>
        </w:tc>
        <w:tc>
          <w:tcPr>
            <w:tcW w:w="1936" w:type="dxa"/>
            <w:tcBorders>
              <w:top w:val="nil"/>
              <w:bottom w:val="nil"/>
            </w:tcBorders>
            <w:vAlign w:val="center"/>
          </w:tcPr>
          <w:p w14:paraId="03E1AAA5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1.426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035C1FFC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1.171-1.737</w:t>
            </w:r>
          </w:p>
        </w:tc>
      </w:tr>
      <w:tr w:rsidR="00606B9A" w:rsidRPr="00943E15" w14:paraId="770E64E2" w14:textId="77777777" w:rsidTr="00BB65B5">
        <w:tc>
          <w:tcPr>
            <w:tcW w:w="3984" w:type="dxa"/>
            <w:tcBorders>
              <w:top w:val="nil"/>
              <w:bottom w:val="nil"/>
            </w:tcBorders>
          </w:tcPr>
          <w:p w14:paraId="43639169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Respiratory infection</w:t>
            </w:r>
          </w:p>
        </w:tc>
        <w:tc>
          <w:tcPr>
            <w:tcW w:w="1942" w:type="dxa"/>
            <w:tcBorders>
              <w:top w:val="nil"/>
              <w:bottom w:val="nil"/>
            </w:tcBorders>
            <w:vAlign w:val="center"/>
          </w:tcPr>
          <w:p w14:paraId="5DCE36EC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0.027</w:t>
            </w:r>
          </w:p>
        </w:tc>
        <w:tc>
          <w:tcPr>
            <w:tcW w:w="1936" w:type="dxa"/>
            <w:tcBorders>
              <w:top w:val="nil"/>
              <w:bottom w:val="nil"/>
            </w:tcBorders>
            <w:vAlign w:val="center"/>
          </w:tcPr>
          <w:p w14:paraId="4B1DD26D" w14:textId="77777777" w:rsidR="00606B9A" w:rsidRPr="00943E15" w:rsidRDefault="00606B9A" w:rsidP="00BB65B5">
            <w:pPr>
              <w:spacing w:before="60" w:after="100" w:afterAutospacing="1"/>
              <w:rPr>
                <w:szCs w:val="24"/>
              </w:rPr>
            </w:pPr>
            <w:r w:rsidRPr="00943E15">
              <w:rPr>
                <w:szCs w:val="24"/>
              </w:rPr>
              <w:t>2.786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521E7F81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1.122-6.916</w:t>
            </w:r>
          </w:p>
        </w:tc>
      </w:tr>
      <w:tr w:rsidR="00606B9A" w:rsidRPr="00943E15" w14:paraId="3117BB24" w14:textId="77777777" w:rsidTr="00BB65B5">
        <w:tc>
          <w:tcPr>
            <w:tcW w:w="3984" w:type="dxa"/>
            <w:tcBorders>
              <w:top w:val="nil"/>
              <w:bottom w:val="nil"/>
            </w:tcBorders>
          </w:tcPr>
          <w:p w14:paraId="7E4116F4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Bloodstream infection</w:t>
            </w:r>
          </w:p>
        </w:tc>
        <w:tc>
          <w:tcPr>
            <w:tcW w:w="1942" w:type="dxa"/>
            <w:tcBorders>
              <w:top w:val="nil"/>
              <w:bottom w:val="nil"/>
            </w:tcBorders>
            <w:vAlign w:val="center"/>
          </w:tcPr>
          <w:p w14:paraId="221A7B5D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0.007</w:t>
            </w:r>
          </w:p>
        </w:tc>
        <w:tc>
          <w:tcPr>
            <w:tcW w:w="1936" w:type="dxa"/>
            <w:tcBorders>
              <w:top w:val="nil"/>
              <w:bottom w:val="nil"/>
            </w:tcBorders>
            <w:vAlign w:val="center"/>
          </w:tcPr>
          <w:p w14:paraId="6CFB67D6" w14:textId="77777777" w:rsidR="00606B9A" w:rsidRPr="00943E15" w:rsidRDefault="00606B9A" w:rsidP="00BB65B5">
            <w:pPr>
              <w:spacing w:before="60" w:after="100" w:afterAutospacing="1"/>
              <w:rPr>
                <w:szCs w:val="24"/>
              </w:rPr>
            </w:pPr>
            <w:r w:rsidRPr="00943E15">
              <w:rPr>
                <w:szCs w:val="24"/>
              </w:rPr>
              <w:t>3.408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14:paraId="03CB80C5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1.389-8.360</w:t>
            </w:r>
          </w:p>
        </w:tc>
      </w:tr>
      <w:tr w:rsidR="00606B9A" w:rsidRPr="00943E15" w14:paraId="26261376" w14:textId="77777777" w:rsidTr="00BB65B5">
        <w:tc>
          <w:tcPr>
            <w:tcW w:w="3984" w:type="dxa"/>
            <w:tcBorders>
              <w:top w:val="nil"/>
              <w:bottom w:val="single" w:sz="18" w:space="0" w:color="000000" w:themeColor="text1"/>
            </w:tcBorders>
          </w:tcPr>
          <w:p w14:paraId="7673290B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rFonts w:cs="Times New Roman"/>
                <w:szCs w:val="24"/>
              </w:rPr>
              <w:t>Central nervous infection</w:t>
            </w:r>
          </w:p>
        </w:tc>
        <w:tc>
          <w:tcPr>
            <w:tcW w:w="1942" w:type="dxa"/>
            <w:tcBorders>
              <w:top w:val="nil"/>
              <w:bottom w:val="single" w:sz="18" w:space="0" w:color="000000" w:themeColor="text1"/>
            </w:tcBorders>
            <w:vAlign w:val="center"/>
          </w:tcPr>
          <w:p w14:paraId="3AFA8A73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943E15">
              <w:rPr>
                <w:rFonts w:cs="Times New Roman"/>
                <w:b/>
                <w:bCs/>
                <w:szCs w:val="24"/>
              </w:rPr>
              <w:t>0.039</w:t>
            </w:r>
          </w:p>
        </w:tc>
        <w:tc>
          <w:tcPr>
            <w:tcW w:w="1936" w:type="dxa"/>
            <w:tcBorders>
              <w:top w:val="nil"/>
              <w:bottom w:val="single" w:sz="18" w:space="0" w:color="000000" w:themeColor="text1"/>
            </w:tcBorders>
            <w:vAlign w:val="center"/>
          </w:tcPr>
          <w:p w14:paraId="389E3691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8.639</w:t>
            </w:r>
          </w:p>
        </w:tc>
        <w:tc>
          <w:tcPr>
            <w:tcW w:w="1498" w:type="dxa"/>
            <w:tcBorders>
              <w:top w:val="nil"/>
              <w:bottom w:val="single" w:sz="18" w:space="0" w:color="000000" w:themeColor="text1"/>
            </w:tcBorders>
            <w:vAlign w:val="center"/>
          </w:tcPr>
          <w:p w14:paraId="28A03BE2" w14:textId="77777777" w:rsidR="00606B9A" w:rsidRPr="00943E15" w:rsidRDefault="00606B9A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943E15">
              <w:rPr>
                <w:szCs w:val="24"/>
              </w:rPr>
              <w:t>1.113-67.087</w:t>
            </w:r>
          </w:p>
        </w:tc>
      </w:tr>
      <w:tr w:rsidR="00606B9A" w:rsidRPr="00943E15" w14:paraId="37D48186" w14:textId="77777777" w:rsidTr="00BB65B5">
        <w:tc>
          <w:tcPr>
            <w:tcW w:w="9360" w:type="dxa"/>
            <w:gridSpan w:val="4"/>
            <w:tcBorders>
              <w:bottom w:val="nil"/>
            </w:tcBorders>
          </w:tcPr>
          <w:p w14:paraId="1DC55EDA" w14:textId="77777777" w:rsidR="00606B9A" w:rsidRPr="00943E15" w:rsidRDefault="00606B9A" w:rsidP="00BB65B5">
            <w:pPr>
              <w:keepNext/>
              <w:spacing w:before="60" w:after="100" w:afterAutospacing="1"/>
              <w:rPr>
                <w:rFonts w:cs="Times New Roman"/>
                <w:sz w:val="20"/>
                <w:szCs w:val="20"/>
              </w:rPr>
            </w:pPr>
            <w:r w:rsidRPr="00943E15">
              <w:rPr>
                <w:rFonts w:cs="Times New Roman"/>
                <w:sz w:val="20"/>
                <w:szCs w:val="20"/>
              </w:rPr>
              <w:t>Abbreviations: CI, confidence interval; OR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943E15">
              <w:rPr>
                <w:rFonts w:cs="Times New Roman"/>
                <w:sz w:val="20"/>
                <w:szCs w:val="20"/>
              </w:rPr>
              <w:t xml:space="preserve"> odds ratio; CCI, </w:t>
            </w:r>
            <w:proofErr w:type="spellStart"/>
            <w:r w:rsidRPr="00943E15">
              <w:rPr>
                <w:rFonts w:cs="Times New Roman"/>
                <w:sz w:val="20"/>
                <w:szCs w:val="20"/>
              </w:rPr>
              <w:t>Charlson</w:t>
            </w:r>
            <w:proofErr w:type="spellEnd"/>
            <w:r w:rsidRPr="00943E15">
              <w:rPr>
                <w:rFonts w:cs="Times New Roman"/>
                <w:sz w:val="20"/>
                <w:szCs w:val="20"/>
              </w:rPr>
              <w:t xml:space="preserve"> comorbidity index</w:t>
            </w:r>
          </w:p>
        </w:tc>
      </w:tr>
    </w:tbl>
    <w:p w14:paraId="7B3BB2A1" w14:textId="77777777" w:rsidR="003F3C76" w:rsidRPr="00606B9A" w:rsidRDefault="003F3C76" w:rsidP="00606B9A"/>
    <w:sectPr w:rsidR="003F3C76" w:rsidRPr="00606B9A" w:rsidSect="00E832B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3"/>
    <w:rsid w:val="0001364D"/>
    <w:rsid w:val="00154815"/>
    <w:rsid w:val="00333FC6"/>
    <w:rsid w:val="003F3C76"/>
    <w:rsid w:val="004D7645"/>
    <w:rsid w:val="00606B9A"/>
    <w:rsid w:val="0068407C"/>
    <w:rsid w:val="0099462D"/>
    <w:rsid w:val="00D67AEF"/>
    <w:rsid w:val="00E832B3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5D92F"/>
  <w15:chartTrackingRefBased/>
  <w15:docId w15:val="{67F9F5DF-6815-1844-A05F-07EC7A5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B3"/>
    <w:pPr>
      <w:spacing w:before="120" w:after="0" w:line="276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832B3"/>
    <w:pPr>
      <w:spacing w:after="120" w:line="240" w:lineRule="auto"/>
      <w:jc w:val="center"/>
    </w:pPr>
    <w:rPr>
      <w:b/>
      <w:iCs/>
      <w:color w:val="0E2841" w:themeColor="text2"/>
      <w:szCs w:val="18"/>
    </w:rPr>
  </w:style>
  <w:style w:type="paragraph" w:customStyle="1" w:styleId="Tableformat">
    <w:name w:val="Table format"/>
    <w:basedOn w:val="Caption"/>
    <w:link w:val="TableformatChar"/>
    <w:qFormat/>
    <w:rsid w:val="00E832B3"/>
    <w:pPr>
      <w:keepNext/>
      <w:spacing w:before="0" w:after="200"/>
      <w:jc w:val="left"/>
    </w:pPr>
    <w:rPr>
      <w:rFonts w:eastAsiaTheme="minorEastAsia"/>
      <w:bCs/>
      <w:color w:val="auto"/>
      <w:kern w:val="0"/>
      <w:szCs w:val="24"/>
      <w14:ligatures w14:val="none"/>
    </w:rPr>
  </w:style>
  <w:style w:type="character" w:customStyle="1" w:styleId="TableformatChar">
    <w:name w:val="Table format Char"/>
    <w:basedOn w:val="DefaultParagraphFont"/>
    <w:link w:val="Tableformat"/>
    <w:rsid w:val="00E832B3"/>
    <w:rPr>
      <w:rFonts w:ascii="Times New Roman" w:eastAsiaTheme="minorEastAsia" w:hAnsi="Times New Roman"/>
      <w:b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Huong Quynh</dc:creator>
  <cp:keywords/>
  <dc:description/>
  <cp:lastModifiedBy>DR THONG</cp:lastModifiedBy>
  <cp:revision>2</cp:revision>
  <dcterms:created xsi:type="dcterms:W3CDTF">2025-04-13T09:04:00Z</dcterms:created>
  <dcterms:modified xsi:type="dcterms:W3CDTF">2025-04-13T09:04:00Z</dcterms:modified>
</cp:coreProperties>
</file>