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A4B0" w14:textId="37FBA785" w:rsidR="002B456D" w:rsidRPr="00234B3E" w:rsidRDefault="00AC6229" w:rsidP="00234B3E">
      <w:pPr>
        <w:pStyle w:val="Heading-Secondary"/>
        <w:ind w:left="0"/>
        <w:rPr>
          <w:b/>
          <w:bCs w:val="0"/>
        </w:rPr>
      </w:pPr>
      <w:r>
        <w:rPr>
          <w:b/>
          <w:bCs w:val="0"/>
        </w:rPr>
        <w:t xml:space="preserve">1 </w:t>
      </w:r>
      <w:r w:rsidR="002B456D" w:rsidRPr="00234B3E">
        <w:rPr>
          <w:b/>
          <w:bCs w:val="0"/>
        </w:rPr>
        <w:t>Supplementary</w:t>
      </w:r>
      <w:r>
        <w:rPr>
          <w:b/>
          <w:bCs w:val="0"/>
        </w:rPr>
        <w:t xml:space="preserve"> Figures</w:t>
      </w:r>
    </w:p>
    <w:p w14:paraId="499116C7" w14:textId="7B1F514E" w:rsidR="00264531" w:rsidRDefault="003B0D55" w:rsidP="003B0D55">
      <w:pPr>
        <w:pStyle w:val="Heading-Secondary"/>
        <w:ind w:left="0"/>
        <w:jc w:val="center"/>
      </w:pPr>
      <w:r>
        <w:rPr>
          <w:noProof/>
        </w:rPr>
        <w:drawing>
          <wp:inline distT="0" distB="0" distL="0" distR="0" wp14:anchorId="7B7F1824" wp14:editId="604D5A75">
            <wp:extent cx="5943600" cy="216154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14:paraId="5901B7DC" w14:textId="1CD80DAC" w:rsidR="0006217B" w:rsidRPr="00222998" w:rsidRDefault="00264531" w:rsidP="00234B3E">
      <w:pPr>
        <w:pStyle w:val="Caption"/>
        <w:rPr>
          <w:b/>
          <w:bCs/>
        </w:rPr>
      </w:pPr>
      <w:r w:rsidRPr="00AF7059">
        <w:t xml:space="preserve">Figure </w:t>
      </w:r>
      <w:r w:rsidR="006A45B9">
        <w:t>S</w:t>
      </w:r>
      <w:r w:rsidR="00202492">
        <w:fldChar w:fldCharType="begin"/>
      </w:r>
      <w:r w:rsidR="00202492">
        <w:instrText xml:space="preserve"> SEQ Figure \* ARABIC </w:instrText>
      </w:r>
      <w:r w:rsidR="00202492">
        <w:fldChar w:fldCharType="separate"/>
      </w:r>
      <w:r w:rsidR="00752C6E">
        <w:rPr>
          <w:noProof/>
        </w:rPr>
        <w:t>1</w:t>
      </w:r>
      <w:r w:rsidR="00202492">
        <w:rPr>
          <w:noProof/>
        </w:rPr>
        <w:fldChar w:fldCharType="end"/>
      </w:r>
      <w:r>
        <w:t xml:space="preserve">: </w:t>
      </w:r>
      <w:r w:rsidR="00DF5D94">
        <w:t xml:space="preserve">(a) </w:t>
      </w:r>
      <w:r>
        <w:t xml:space="preserve">Map of southwest Greenland study area showing the location of Rio Behar </w:t>
      </w:r>
      <w:r w:rsidR="003B0D55">
        <w:t xml:space="preserve">(RB) </w:t>
      </w:r>
      <w:r>
        <w:t xml:space="preserve">catchment </w:t>
      </w:r>
      <w:r w:rsidR="00392AAB">
        <w:t>(black star</w:t>
      </w:r>
      <w:r w:rsidR="0006217B">
        <w:t xml:space="preserve"> indicates discharge gage site location, outline is catchment boundary</w:t>
      </w:r>
      <w:r w:rsidR="00392AAB">
        <w:t xml:space="preserve">) </w:t>
      </w:r>
      <w:r>
        <w:t>(67.05</w:t>
      </w:r>
      <w:r w:rsidRPr="00264531">
        <w:rPr>
          <w:vertAlign w:val="superscript"/>
        </w:rPr>
        <w:t>o</w:t>
      </w:r>
      <w:r>
        <w:t>N, -49.02</w:t>
      </w:r>
      <w:r w:rsidRPr="00264531">
        <w:rPr>
          <w:vertAlign w:val="superscript"/>
        </w:rPr>
        <w:t>o</w:t>
      </w:r>
      <w:r>
        <w:t xml:space="preserve">W; 1215 m. a.s.l.) in relation </w:t>
      </w:r>
      <w:r w:rsidR="00C40A86">
        <w:t xml:space="preserve">to automatic weather stations </w:t>
      </w:r>
      <w:r w:rsidR="00DF5D94">
        <w:t xml:space="preserve">KAN_M and KAN_L, discharge gage sites on the </w:t>
      </w:r>
      <w:r w:rsidR="00DF5D94" w:rsidRPr="00044A0E">
        <w:t>Akuliarusiarsuup</w:t>
      </w:r>
      <w:r w:rsidR="00DF5D94">
        <w:t xml:space="preserve"> Kuua River’s northern tributary (AK4)</w:t>
      </w:r>
      <w:r w:rsidR="0070450D">
        <w:t xml:space="preserve"> and</w:t>
      </w:r>
      <w:r w:rsidR="00DF5D94">
        <w:t xml:space="preserve"> the Leverett Glacier’s (LG) outlet</w:t>
      </w:r>
      <w:r w:rsidR="00C40A86">
        <w:t>, and two supraglacial lakes with satellite lake volume (SLV) estimates</w:t>
      </w:r>
      <w:r w:rsidR="0070450D">
        <w:t>.</w:t>
      </w:r>
      <w:r w:rsidR="00DF5D94">
        <w:t xml:space="preserve"> </w:t>
      </w:r>
      <w:r w:rsidR="0070450D">
        <w:t>(b)</w:t>
      </w:r>
      <w:r w:rsidR="00CF0EAB">
        <w:rPr>
          <w:b/>
          <w:bCs/>
        </w:rPr>
        <w:t xml:space="preserve"> </w:t>
      </w:r>
      <w:r w:rsidR="0070450D" w:rsidRPr="00C8359A">
        <w:rPr>
          <w:noProof/>
        </w:rPr>
        <w:t>The 60.</w:t>
      </w:r>
      <w:r w:rsidR="00C606CC">
        <w:rPr>
          <w:noProof/>
        </w:rPr>
        <w:t>1</w:t>
      </w:r>
      <w:r w:rsidR="0070450D" w:rsidRPr="00C8359A">
        <w:rPr>
          <w:noProof/>
        </w:rPr>
        <w:t xml:space="preserve"> km</w:t>
      </w:r>
      <w:r w:rsidR="0070450D" w:rsidRPr="00C8359A">
        <w:rPr>
          <w:noProof/>
          <w:vertAlign w:val="superscript"/>
        </w:rPr>
        <w:t>2</w:t>
      </w:r>
      <w:r w:rsidR="0070450D" w:rsidRPr="00C8359A">
        <w:rPr>
          <w:noProof/>
        </w:rPr>
        <w:t xml:space="preserve"> Rio Behar catchment was surveyed with an uncrewed aerial vehicle carrying an RGB camera during the </w:t>
      </w:r>
      <w:r w:rsidR="0070450D">
        <w:rPr>
          <w:noProof/>
        </w:rPr>
        <w:t xml:space="preserve">20–23 July 2015 and </w:t>
      </w:r>
      <w:r w:rsidR="0070450D" w:rsidRPr="00C8359A">
        <w:rPr>
          <w:noProof/>
        </w:rPr>
        <w:t>6–13 July 2016 field experiment</w:t>
      </w:r>
      <w:r w:rsidR="0070450D">
        <w:rPr>
          <w:noProof/>
        </w:rPr>
        <w:t>s</w:t>
      </w:r>
      <w:r w:rsidR="004F7A81">
        <w:rPr>
          <w:noProof/>
        </w:rPr>
        <w:fldChar w:fldCharType="begin"/>
      </w:r>
      <w:r w:rsidR="006379E3">
        <w:rPr>
          <w:noProof/>
        </w:rPr>
        <w:instrText xml:space="preserve"> ADDIN ZOTERO_ITEM CSL_CITATION {"citationID":"YhytEN6d","properties":{"formattedCitation":"\\super 1\\nosupersub{}","plainCitation":"1","noteIndex":0},"citationItems":[{"id":1843,"uris":["http://zotero.org/users/1282866/items/37EVERVV"],"uri":["http://zotero.org/users/1282866/items/37EVERVV"],"itemData":{"id":1843,"type":"article-journal","abstract":"Meltwater runoff from the Greenland ice sheet surface influences surface mass balance (SMB), ice dynamics, and global sea level rise, but is estimated with climate models and thus difficult to validate. We present a way to measure ice surface runoff directly, from hourly in situ supraglacial river discharge measurements and simultaneous high-resolution satellite/drone remote sensing of upstream fluvial catchment area. A first 72-h trial for a 63.1-km2 moulin-terminating internally drained catchment (IDC) on Greenland’s midelevation (1,207–1,381 m above sea level) ablation zone is compared with melt and runoff simulations from HIRHAM5, MAR3.6, RACMO2.3, MERRA-2, and SEB climate/SMB models. Current models cannot reproduce peak discharges or timing of runoff entering moulins but are improved using synthetic unit hydrograph (SUH) theory. Retroactive SUH applications to two older field studies reproduce their findings, signifying that remotely sensed IDC area, shape, and supraglacial river length are useful for predicting delays in peak runoff delivery to moulins. Applying SUH to HIRHAM5, MAR3.6, and RACMO2.3 gridded melt products for 799 surrounding IDCs suggests their terminal moulins receive lower peak discharges, less diurnal variability, and asynchronous runoff timing relative to climate/SMB model output alone. Conversely, large IDCs produce high moulin discharges, even at high elevations where melt rates are low. During this particular field experiment, models overestimated runoff by +21 to +58%, linked to overestimated surface ablation and possible meltwater retention in bare, porous, low-density ice. Direct measurements of ice surface runoff will improve climate/SMB models, and incorporating remotely sensed IDCs will aid coupling of SMB with ice dynamics and subglacial systems.","container-title":"Proceedings of the National Academy of Sciences","DOI":"10.1073/pnas.1707743114","ISSN":"0027-8424, 1091-6490","issue":"50","journalAbbreviation":"PNAS","language":"en","note":"PMID: 29208716","page":"E10622-E10631","source":"www.pnas.org","title":"Direct measurements of meltwater runoff on the Greenland ice sheet surface","volume":"114","author":[{"family":"Smith","given":"Laurence C."},{"family":"Yang","given":"Kang"},{"family":"Pitcher","given":"Lincoln H."},{"family":"Overstreet","given":"Brandon T."},{"family":"Chu","given":"Vena W."},{"family":"Rennermalm","given":"Åsa K."},{"family":"Ryan","given":"Jonathan C."},{"family":"Cooper","given":"Matthew G."},{"family":"Gleason","given":"Colin J."},{"family":"Tedesco","given":"Marco"},{"family":"Jeyaratnam","given":"Jeyavinoth"},{"family":"As","given":"Dirk","dropping-particle":"van"},{"family":"Broeke","given":"Michiel R.","dropping-particle":"van den"},{"family":"Berg","given":"Willem Jan","dropping-particle":"van de"},{"family":"Noël","given":"Brice"},{"family":"Langen","given":"Peter L."},{"family":"Cullather","given":"Richard I."},{"family":"Zhao","given":"Bin"},{"family":"Willis","given":"Michael J."},{"family":"Hubbard","given":"Alun"},{"family":"Box","given":"Jason E."},{"family":"Jenner","given":"Brittany A."},{"family":"Behar","given":"Alberto E."}],"issued":{"date-parts":[["2017",12,12]]}}}],"schema":"https://github.com/citation-style-language/schema/raw/master/csl-citation.json"} </w:instrText>
      </w:r>
      <w:r w:rsidR="004F7A81">
        <w:rPr>
          <w:noProof/>
        </w:rPr>
        <w:fldChar w:fldCharType="separate"/>
      </w:r>
      <w:r w:rsidR="006379E3" w:rsidRPr="006379E3">
        <w:rPr>
          <w:color w:val="000000"/>
          <w:vertAlign w:val="superscript"/>
        </w:rPr>
        <w:t>1</w:t>
      </w:r>
      <w:r w:rsidR="004F7A81">
        <w:rPr>
          <w:noProof/>
        </w:rPr>
        <w:fldChar w:fldCharType="end"/>
      </w:r>
      <w:r w:rsidR="004D1ACA">
        <w:rPr>
          <w:noProof/>
        </w:rPr>
        <w:t xml:space="preserve"> (2016 values are shown here)</w:t>
      </w:r>
      <w:r w:rsidR="0070450D" w:rsidRPr="00C8359A">
        <w:rPr>
          <w:noProof/>
        </w:rPr>
        <w:t xml:space="preserve">. </w:t>
      </w:r>
      <w:r w:rsidR="0070450D">
        <w:rPr>
          <w:noProof/>
        </w:rPr>
        <w:t xml:space="preserve">These images </w:t>
      </w:r>
      <w:r w:rsidR="006B5D5F">
        <w:rPr>
          <w:noProof/>
        </w:rPr>
        <w:t>we</w:t>
      </w:r>
      <w:r w:rsidR="0070450D">
        <w:rPr>
          <w:noProof/>
        </w:rPr>
        <w:t>re georefrenced</w:t>
      </w:r>
      <w:r w:rsidR="004D1ACA">
        <w:rPr>
          <w:noProof/>
        </w:rPr>
        <w:t xml:space="preserve">, </w:t>
      </w:r>
      <w:r w:rsidR="0070450D">
        <w:rPr>
          <w:noProof/>
        </w:rPr>
        <w:t>mosaic</w:t>
      </w:r>
      <w:r w:rsidR="004D1ACA">
        <w:rPr>
          <w:noProof/>
        </w:rPr>
        <w:t>ed, and georectified</w:t>
      </w:r>
      <w:r w:rsidR="0070450D">
        <w:rPr>
          <w:noProof/>
        </w:rPr>
        <w:t xml:space="preserve"> using </w:t>
      </w:r>
      <w:r w:rsidR="0070450D" w:rsidRPr="00C8359A">
        <w:t>Agisoft PhotoScan Pro stereophotogrammetry software</w:t>
      </w:r>
      <w:r w:rsidR="0070450D">
        <w:t>. C</w:t>
      </w:r>
      <w:r w:rsidR="0070450D" w:rsidRPr="00C8359A">
        <w:t>atchment surface classifi</w:t>
      </w:r>
      <w:r w:rsidR="0070450D">
        <w:t>cation by</w:t>
      </w:r>
      <w:r w:rsidR="0070450D" w:rsidRPr="00C8359A">
        <w:t xml:space="preserve"> </w:t>
      </w:r>
      <w:r w:rsidR="0070450D">
        <w:t xml:space="preserve">a </w:t>
      </w:r>
      <w:r w:rsidR="0070450D" w:rsidRPr="00C8359A">
        <w:t xml:space="preserve">k-Nearest Neighbors </w:t>
      </w:r>
      <w:r w:rsidR="0070450D">
        <w:t>algorithms yield</w:t>
      </w:r>
      <w:r w:rsidR="006B5D5F">
        <w:t>ed</w:t>
      </w:r>
      <w:r w:rsidR="0070450D">
        <w:t xml:space="preserve"> </w:t>
      </w:r>
      <w:r w:rsidR="0070450D" w:rsidRPr="00C8359A">
        <w:t>3.1% snow cover, 1.2% water, and 95.7% bare ice during the 6–13 July 2016 field experiment (snow cover was 6.5% for the 2015 experiment)</w:t>
      </w:r>
      <w:r w:rsidR="0070450D" w:rsidRPr="00C8359A">
        <w:fldChar w:fldCharType="begin"/>
      </w:r>
      <w:r w:rsidR="006379E3">
        <w:instrText xml:space="preserve"> ADDIN ZOTERO_ITEM CSL_CITATION {"citationID":"a18fclv8qk2","properties":{"formattedCitation":"\\super 1\\nosupersub{}","plainCitation":"1","noteIndex":0},"citationItems":[{"id":1843,"uris":["http://zotero.org/users/1282866/items/37EVERVV"],"uri":["http://zotero.org/users/1282866/items/37EVERVV"],"itemData":{"id":1843,"type":"article-journal","abstract":"Meltwater runoff from the Greenland ice sheet surface influences surface mass balance (SMB), ice dynamics, and global sea level rise, but is estimated with climate models and thus difficult to validate. We present a way to measure ice surface runoff directly, from hourly in situ supraglacial river discharge measurements and simultaneous high-resolution satellite/drone remote sensing of upstream fluvial catchment area. A first 72-h trial for a 63.1-km2 moulin-terminating internally drained catchment (IDC) on Greenland’s midelevation (1,207–1,381 m above sea level) ablation zone is compared with melt and runoff simulations from HIRHAM5, MAR3.6, RACMO2.3, MERRA-2, and SEB climate/SMB models. Current models cannot reproduce peak discharges or timing of runoff entering moulins but are improved using synthetic unit hydrograph (SUH) theory. Retroactive SUH applications to two older field studies reproduce their findings, signifying that remotely sensed IDC area, shape, and supraglacial river length are useful for predicting delays in peak runoff delivery to moulins. Applying SUH to HIRHAM5, MAR3.6, and RACMO2.3 gridded melt products for 799 surrounding IDCs suggests their terminal moulins receive lower peak discharges, less diurnal variability, and asynchronous runoff timing relative to climate/SMB model output alone. Conversely, large IDCs produce high moulin discharges, even at high elevations where melt rates are low. During this particular field experiment, models overestimated runoff by +21 to +58%, linked to overestimated surface ablation and possible meltwater retention in bare, porous, low-density ice. Direct measurements of ice surface runoff will improve climate/SMB models, and incorporating remotely sensed IDCs will aid coupling of SMB with ice dynamics and subglacial systems.","container-title":"Proceedings of the National Academy of Sciences","DOI":"10.1073/pnas.1707743114","ISSN":"0027-8424, 1091-6490","issue":"50","journalAbbreviation":"PNAS","language":"en","note":"PMID: 29208716","page":"E10622-E10631","source":"www.pnas.org","title":"Direct measurements of meltwater runoff on the Greenland ice sheet surface","volume":"114","author":[{"family":"Smith","given":"Laurence C."},{"family":"Yang","given":"Kang"},{"family":"Pitcher","given":"Lincoln H."},{"family":"Overstreet","given":"Brandon T."},{"family":"Chu","given":"Vena W."},{"family":"Rennermalm","given":"Åsa K."},{"family":"Ryan","given":"Jonathan C."},{"family":"Cooper","given":"Matthew G."},{"family":"Gleason","given":"Colin J."},{"family":"Tedesco","given":"Marco"},{"family":"Jeyaratnam","given":"Jeyavinoth"},{"family":"As","given":"Dirk","dropping-particle":"van"},{"family":"Broeke","given":"Michiel R.","dropping-particle":"van den"},{"family":"Berg","given":"Willem Jan","dropping-particle":"van de"},{"family":"Noël","given":"Brice"},{"family":"Langen","given":"Peter L."},{"family":"Cullather","given":"Richard I."},{"family":"Zhao","given":"Bin"},{"family":"Willis","given":"Michael J."},{"family":"Hubbard","given":"Alun"},{"family":"Box","given":"Jason E."},{"family":"Jenner","given":"Brittany A."},{"family":"Behar","given":"Alberto E."}],"issued":{"date-parts":[["2017",12,12]]}}}],"schema":"https://github.com/citation-style-language/schema/raw/master/csl-citation.json"} </w:instrText>
      </w:r>
      <w:r w:rsidR="0070450D" w:rsidRPr="00C8359A">
        <w:fldChar w:fldCharType="separate"/>
      </w:r>
      <w:r w:rsidR="006379E3" w:rsidRPr="006379E3">
        <w:rPr>
          <w:color w:val="000000"/>
          <w:vertAlign w:val="superscript"/>
        </w:rPr>
        <w:t>1</w:t>
      </w:r>
      <w:r w:rsidR="0070450D" w:rsidRPr="00C8359A">
        <w:fldChar w:fldCharType="end"/>
      </w:r>
      <w:r w:rsidR="0070450D" w:rsidRPr="00C8359A">
        <w:t>.</w:t>
      </w:r>
      <w:r w:rsidR="006B5D5F">
        <w:t xml:space="preserve"> Catchment delineations were obtained from WorldView-1 and WorldView-2 satellite </w:t>
      </w:r>
      <w:r w:rsidR="006B5D5F" w:rsidRPr="004A12DB">
        <w:t>imagery and associated high resolution stereo</w:t>
      </w:r>
      <w:r w:rsidR="006B5D5F" w:rsidRPr="004A12DB">
        <w:noBreakHyphen/>
        <w:t>photogrammetric digital elevation models</w:t>
      </w:r>
      <w:r w:rsidR="006B5D5F">
        <w:t xml:space="preserve"> following reference</w:t>
      </w:r>
      <w:r w:rsidR="006B5D5F" w:rsidRPr="004A12DB">
        <w:fldChar w:fldCharType="begin"/>
      </w:r>
      <w:r w:rsidR="006B5D5F">
        <w:instrText xml:space="preserve"> ADDIN ZOTERO_ITEM CSL_CITATION {"citationID":"66fOieUn","properties":{"formattedCitation":"\\super 2\\nosupersub{}","plainCitation":"2","noteIndex":0},"citationItems":[{"id":1953,"uris":["http://zotero.org/users/1282866/items/RX6JRKAB"],"uri":["http://zotero.org/users/1282866/items/RX6JRKAB"],"itemData":{"id":1953,"type":"article-journal","abstract":"Digital elevation models (DEMs) of ice surface topography are often used for hydrologic analysis of the Greenland ice sheet (GrIS), but their suitability for this purpose has received little quantitative assessment. We compare remotely sensed maps of supraglacial lakes, rivers, and moulins with their DEM-modeled counterparts, using two moderate-resolution DEMs (SPIRIT DEM and ASTER GDEM) for a area of the southwestern GrIS. We find that modeled hydrological features are critically sensitive to selection of a depression area threshold (a user-specified parameter used to fill noise and/or true topographic depressions in the ice surface DEM), with small depression area thresholds over-predicting observed supraglacial lake abundance and large thresholds under-predicting lake abundance. Few remotely sensed moulins are identified in either DEM, even if a small depression area threshold is used. A standard practice of filling all DEM depressions yields modeled surface flow paths that broadly match remotely sensed supraglacial river networks, but are far less fragmented than reality (owing to moulin capture), raising into question the realism of this standard practice. In sum, moderate-resolution DEMs do hold value for simulating broad-scale hydrography of the GrIS surface, but are critically sensitive to choice of the filling threshold, and insensitive to moulins which also influence supraglacial drainage pattern. Our preliminary analysis suggests using a depression area threshold of for lakes, advises against using DEMs to predict moulin locations, and urges caution when using 100% DEM filling to model flow paths of supraglacial rivers.","container-title":"IEEE Journal of Selected Topics in Applied Earth Observations and Remote Sensing","DOI":"10.1109/JSTARS.2015.2483483","ISSN":"1939-1404","issue":"11","page":"1-13","source":"IEEE Xplore","title":"A Caution on the Use of Surface Digital Elevation Models to Simulate Supraglacial Hydrology of the Greenland Ice Sheet","volume":"8","author":[{"family":"Yang","given":"K."},{"family":"Smith","given":"L.C."},{"family":"Chu","given":"V.W."},{"family":"Gleason","given":"C.J."},{"family":"Li","given":"M."}],"issued":{"date-parts":[["2015"]]}}}],"schema":"https://github.com/citation-style-language/schema/raw/master/csl-citation.json"} </w:instrText>
      </w:r>
      <w:r w:rsidR="006B5D5F" w:rsidRPr="004A12DB">
        <w:fldChar w:fldCharType="separate"/>
      </w:r>
      <w:r w:rsidR="006B5D5F" w:rsidRPr="006B5D5F">
        <w:rPr>
          <w:color w:val="000000"/>
          <w:vertAlign w:val="superscript"/>
        </w:rPr>
        <w:t>2</w:t>
      </w:r>
      <w:r w:rsidR="006B5D5F" w:rsidRPr="004A12DB">
        <w:fldChar w:fldCharType="end"/>
      </w:r>
      <w:r w:rsidR="006B5D5F">
        <w:t xml:space="preserve"> (see Methods). The lower (dotted line), upper (dashed line) and “best guess” (solid line) catchment boundaries are shown here</w:t>
      </w:r>
      <w:r w:rsidR="00C606CC">
        <w:t>, with corresponding catchment surface areas of 51.2 km</w:t>
      </w:r>
      <w:r w:rsidR="00C606CC" w:rsidRPr="00C606CC">
        <w:rPr>
          <w:vertAlign w:val="superscript"/>
        </w:rPr>
        <w:t>2</w:t>
      </w:r>
      <w:r w:rsidR="00C606CC">
        <w:t>, 71.3 km</w:t>
      </w:r>
      <w:r w:rsidR="00C606CC" w:rsidRPr="00C606CC">
        <w:rPr>
          <w:vertAlign w:val="superscript"/>
        </w:rPr>
        <w:t>2</w:t>
      </w:r>
      <w:r w:rsidR="00C606CC">
        <w:t>, 60.1 km</w:t>
      </w:r>
      <w:r w:rsidR="00C606CC" w:rsidRPr="00C606CC">
        <w:rPr>
          <w:vertAlign w:val="superscript"/>
        </w:rPr>
        <w:t>2</w:t>
      </w:r>
      <w:r w:rsidR="00C606CC">
        <w:t>, respectively.</w:t>
      </w:r>
      <w:r w:rsidR="006B5D5F">
        <w:t xml:space="preserve"> </w:t>
      </w:r>
    </w:p>
    <w:p w14:paraId="5BA3BFA5" w14:textId="314231C9" w:rsidR="00532B6A" w:rsidRDefault="00532B6A">
      <w:pPr>
        <w:spacing w:before="0"/>
        <w:rPr>
          <w:iCs/>
          <w:color w:val="000000" w:themeColor="text1"/>
          <w:sz w:val="22"/>
          <w:szCs w:val="18"/>
        </w:rPr>
      </w:pPr>
      <w:r>
        <w:br w:type="page"/>
      </w:r>
    </w:p>
    <w:p w14:paraId="33FBFB21" w14:textId="77777777" w:rsidR="00532B6A" w:rsidRDefault="00532B6A" w:rsidP="00532B6A">
      <w:r w:rsidRPr="00C8359A">
        <w:rPr>
          <w:noProof/>
        </w:rPr>
        <w:lastRenderedPageBreak/>
        <w:drawing>
          <wp:inline distT="0" distB="0" distL="0" distR="0" wp14:anchorId="2F06F591" wp14:editId="39077945">
            <wp:extent cx="5943600" cy="2498725"/>
            <wp:effectExtent l="0" t="0" r="0" b="3175"/>
            <wp:docPr id="9" name="Picture 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on a po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98725"/>
                    </a:xfrm>
                    <a:prstGeom prst="rect">
                      <a:avLst/>
                    </a:prstGeom>
                  </pic:spPr>
                </pic:pic>
              </a:graphicData>
            </a:graphic>
          </wp:inline>
        </w:drawing>
      </w:r>
    </w:p>
    <w:p w14:paraId="64DDE0D3" w14:textId="0BC5B0F4" w:rsidR="00532B6A" w:rsidRDefault="00532B6A" w:rsidP="00532B6A">
      <w:pPr>
        <w:pStyle w:val="Caption"/>
      </w:pPr>
      <w:r w:rsidRPr="00AF7059">
        <w:t xml:space="preserve">Figure </w:t>
      </w:r>
      <w:r>
        <w:t>S</w:t>
      </w:r>
      <w:r w:rsidR="00202492">
        <w:fldChar w:fldCharType="begin"/>
      </w:r>
      <w:r w:rsidR="00202492">
        <w:instrText xml:space="preserve"> SEQ Figure \* ARABIC </w:instrText>
      </w:r>
      <w:r w:rsidR="00202492">
        <w:fldChar w:fldCharType="separate"/>
      </w:r>
      <w:r w:rsidR="00752C6E">
        <w:rPr>
          <w:noProof/>
        </w:rPr>
        <w:t>2</w:t>
      </w:r>
      <w:r w:rsidR="00202492">
        <w:rPr>
          <w:noProof/>
        </w:rPr>
        <w:fldChar w:fldCharType="end"/>
      </w:r>
      <w:r>
        <w:rPr>
          <w:noProof/>
        </w:rPr>
        <w:t>:</w:t>
      </w:r>
      <w:r w:rsidRPr="003B1350">
        <w:rPr>
          <w:noProof/>
        </w:rPr>
        <w:t xml:space="preserve"> </w:t>
      </w:r>
      <w:r w:rsidRPr="00C8359A">
        <w:rPr>
          <w:noProof/>
        </w:rPr>
        <w:t xml:space="preserve">A network of twelve bamboo ablation stakes were randomly distributed </w:t>
      </w:r>
      <w:r>
        <w:rPr>
          <w:noProof/>
        </w:rPr>
        <w:t>within</w:t>
      </w:r>
      <w:r w:rsidRPr="00C8359A">
        <w:rPr>
          <w:noProof/>
        </w:rPr>
        <w:t xml:space="preserve"> a ~0.5 km</w:t>
      </w:r>
      <w:r w:rsidRPr="00C8359A">
        <w:rPr>
          <w:noProof/>
          <w:vertAlign w:val="superscript"/>
        </w:rPr>
        <w:t>2</w:t>
      </w:r>
      <w:r w:rsidRPr="00C8359A">
        <w:rPr>
          <w:noProof/>
        </w:rPr>
        <w:t xml:space="preserve"> area within the study catchment. The distance from </w:t>
      </w:r>
      <w:r w:rsidR="0091647C">
        <w:rPr>
          <w:noProof/>
        </w:rPr>
        <w:t xml:space="preserve">an </w:t>
      </w:r>
      <w:r w:rsidR="0091647C" w:rsidRPr="00C8359A">
        <w:rPr>
          <w:noProof/>
        </w:rPr>
        <w:t>8</w:t>
      </w:r>
      <w:r w:rsidR="006B5D5F">
        <w:rPr>
          <w:noProof/>
        </w:rPr>
        <w:t>-</w:t>
      </w:r>
      <w:r w:rsidR="0091647C" w:rsidRPr="00C8359A">
        <w:rPr>
          <w:noProof/>
        </w:rPr>
        <w:t xml:space="preserve">inch </w:t>
      </w:r>
      <w:r w:rsidR="006B5D5F">
        <w:rPr>
          <w:noProof/>
        </w:rPr>
        <w:t xml:space="preserve">square </w:t>
      </w:r>
      <w:r w:rsidR="0091647C" w:rsidRPr="00C8359A">
        <w:rPr>
          <w:noProof/>
        </w:rPr>
        <w:t xml:space="preserve">wooden </w:t>
      </w:r>
      <w:r w:rsidR="0091647C">
        <w:rPr>
          <w:noProof/>
        </w:rPr>
        <w:t xml:space="preserve">‘ablation board’ </w:t>
      </w:r>
      <w:r w:rsidR="0091647C" w:rsidRPr="00C8359A">
        <w:rPr>
          <w:noProof/>
        </w:rPr>
        <w:t xml:space="preserve">datum </w:t>
      </w:r>
      <w:r w:rsidRPr="00C8359A">
        <w:rPr>
          <w:noProof/>
        </w:rPr>
        <w:t xml:space="preserve">to the top of each stake was measured on a three-hourly schedule from </w:t>
      </w:r>
      <w:r w:rsidRPr="00C8359A">
        <w:t xml:space="preserve">12:00 </w:t>
      </w:r>
      <w:r w:rsidR="006B5D5F">
        <w:t xml:space="preserve">on </w:t>
      </w:r>
      <w:r w:rsidRPr="00C8359A">
        <w:t xml:space="preserve">6 July 2016 to 21:00 </w:t>
      </w:r>
      <w:r w:rsidR="006B5D5F">
        <w:t xml:space="preserve">on </w:t>
      </w:r>
      <w:r w:rsidRPr="00C8359A">
        <w:t>12 July 2016.</w:t>
      </w:r>
      <w:r w:rsidRPr="00C8359A">
        <w:rPr>
          <w:noProof/>
        </w:rPr>
        <w:t xml:space="preserve"> The board was oriented </w:t>
      </w:r>
      <w:r>
        <w:rPr>
          <w:noProof/>
        </w:rPr>
        <w:t xml:space="preserve">to </w:t>
      </w:r>
      <w:r w:rsidRPr="00C8359A">
        <w:rPr>
          <w:noProof/>
        </w:rPr>
        <w:t>true north and 2–4 measurements were made from a line printed on the board to the top of each stake to minimize local ablation rate variability</w:t>
      </w:r>
      <w:r w:rsidR="0091647C">
        <w:rPr>
          <w:noProof/>
        </w:rPr>
        <w:t xml:space="preserve"> in the vicinity of each stake</w:t>
      </w:r>
      <w:r w:rsidRPr="00C8359A">
        <w:rPr>
          <w:noProof/>
        </w:rPr>
        <w:t xml:space="preserve">. These distances </w:t>
      </w:r>
      <w:r w:rsidR="006B5D5F">
        <w:rPr>
          <w:noProof/>
        </w:rPr>
        <w:t>we</w:t>
      </w:r>
      <w:r w:rsidRPr="00C8359A">
        <w:rPr>
          <w:noProof/>
        </w:rPr>
        <w:t xml:space="preserve">re </w:t>
      </w:r>
      <w:r w:rsidRPr="00AC4F43">
        <w:t>converted</w:t>
      </w:r>
      <w:r w:rsidRPr="00C8359A">
        <w:rPr>
          <w:noProof/>
        </w:rPr>
        <w:t xml:space="preserve"> to cumulative surface lowering for comparison with </w:t>
      </w:r>
      <w:r w:rsidRPr="00AC4F43">
        <w:t>simulated</w:t>
      </w:r>
      <w:r w:rsidRPr="00C8359A">
        <w:rPr>
          <w:noProof/>
        </w:rPr>
        <w:t xml:space="preserve"> </w:t>
      </w:r>
      <w:r w:rsidRPr="00AC4F43">
        <w:t>melt</w:t>
      </w:r>
      <w:r w:rsidRPr="00C8359A">
        <w:rPr>
          <w:noProof/>
        </w:rPr>
        <w:t xml:space="preserve"> rates. Bright</w:t>
      </w:r>
      <w:r w:rsidR="0091647C">
        <w:rPr>
          <w:noProof/>
        </w:rPr>
        <w:t xml:space="preserve"> </w:t>
      </w:r>
      <w:r w:rsidRPr="00C8359A">
        <w:rPr>
          <w:noProof/>
        </w:rPr>
        <w:t>white ice (center image) contrasts with dark ice (right image). White boxes show stake locations visible in image background.</w:t>
      </w:r>
    </w:p>
    <w:p w14:paraId="2A182470" w14:textId="4936F00B" w:rsidR="00ED34EB" w:rsidRDefault="00ED34EB" w:rsidP="006A3CE2">
      <w:pPr>
        <w:pStyle w:val="Caption"/>
      </w:pPr>
      <w:r>
        <w:br w:type="page"/>
      </w:r>
    </w:p>
    <w:p w14:paraId="13BEAA25" w14:textId="77777777" w:rsidR="00ED34EB" w:rsidRDefault="00ED34EB" w:rsidP="00234B3E">
      <w:pPr>
        <w:rPr>
          <w:rFonts w:eastAsia="Times New Roman"/>
          <w:kern w:val="28"/>
        </w:rPr>
      </w:pPr>
    </w:p>
    <w:p w14:paraId="601A74B5" w14:textId="77777777" w:rsidR="00F377EA" w:rsidRDefault="00F377EA" w:rsidP="00234B3E">
      <w:pPr>
        <w:pStyle w:val="Text"/>
        <w:ind w:firstLine="0"/>
        <w:jc w:val="both"/>
      </w:pPr>
      <w:r>
        <w:rPr>
          <w:noProof/>
        </w:rPr>
        <w:drawing>
          <wp:inline distT="0" distB="0" distL="0" distR="0" wp14:anchorId="71331470" wp14:editId="4FA405FF">
            <wp:extent cx="5943600" cy="1974850"/>
            <wp:effectExtent l="0" t="0" r="0"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74850"/>
                    </a:xfrm>
                    <a:prstGeom prst="rect">
                      <a:avLst/>
                    </a:prstGeom>
                  </pic:spPr>
                </pic:pic>
              </a:graphicData>
            </a:graphic>
          </wp:inline>
        </w:drawing>
      </w:r>
    </w:p>
    <w:p w14:paraId="7B6BF181" w14:textId="280BF9E7" w:rsidR="00C2625F" w:rsidRPr="00433C95" w:rsidRDefault="00F377EA" w:rsidP="00433C95">
      <w:pPr>
        <w:pStyle w:val="Caption"/>
        <w:rPr>
          <w:b/>
          <w:bCs/>
        </w:rPr>
      </w:pPr>
      <w:r w:rsidRPr="00AF7059">
        <w:t xml:space="preserve">Figure </w:t>
      </w:r>
      <w:r w:rsidR="00F515D4">
        <w:t>S</w:t>
      </w:r>
      <w:r w:rsidR="00202492">
        <w:fldChar w:fldCharType="begin"/>
      </w:r>
      <w:r w:rsidR="00202492">
        <w:instrText xml:space="preserve"> SEQ Figure \* ARABIC </w:instrText>
      </w:r>
      <w:r w:rsidR="00202492">
        <w:fldChar w:fldCharType="separate"/>
      </w:r>
      <w:r w:rsidR="00752C6E">
        <w:rPr>
          <w:noProof/>
        </w:rPr>
        <w:t>3</w:t>
      </w:r>
      <w:r w:rsidR="00202492">
        <w:rPr>
          <w:noProof/>
        </w:rPr>
        <w:fldChar w:fldCharType="end"/>
      </w:r>
      <w:r>
        <w:t>: Example of processing stream applied to climate model output used in this study</w:t>
      </w:r>
      <w:r w:rsidR="009346B6">
        <w:t xml:space="preserve"> (RACMO2.3 data are shown here)</w:t>
      </w:r>
      <w:r>
        <w:t xml:space="preserve">. </w:t>
      </w:r>
      <w:r w:rsidR="00F515D4">
        <w:t xml:space="preserve">(a) </w:t>
      </w:r>
      <w:r>
        <w:t xml:space="preserve">The native </w:t>
      </w:r>
      <w:r w:rsidR="00F515D4">
        <w:t>climate model output is provided at ~</w:t>
      </w:r>
      <w:r>
        <w:t>7.5 km grid spacing</w:t>
      </w:r>
      <w:r w:rsidR="00F515D4">
        <w:t xml:space="preserve">. (b) </w:t>
      </w:r>
      <w:r w:rsidR="006A3CE2">
        <w:t>T</w:t>
      </w:r>
      <w:r w:rsidR="00F515D4">
        <w:t>he catchment boundary contains areas drained by crevasse fields</w:t>
      </w:r>
      <w:r w:rsidR="000505F5">
        <w:t xml:space="preserve"> and internal moulins that are subtracted from the catchment contributing area</w:t>
      </w:r>
      <w:r w:rsidR="00F515D4">
        <w:t xml:space="preserve">. </w:t>
      </w:r>
      <w:r w:rsidR="006A3CE2" w:rsidRPr="00C8359A">
        <w:t xml:space="preserve">(c) </w:t>
      </w:r>
      <w:r w:rsidR="000505F5">
        <w:t xml:space="preserve">The native climate model grid is projected onto </w:t>
      </w:r>
      <w:r w:rsidR="000505F5" w:rsidRPr="00C8359A">
        <w:t>the National Snow and Ice Data Center Equal-Area Scalable Earth (EASE)</w:t>
      </w:r>
      <w:r w:rsidR="000505F5">
        <w:t xml:space="preserve"> grid</w:t>
      </w:r>
      <w:r w:rsidR="000505F5" w:rsidRPr="00C8359A">
        <w:t xml:space="preserve"> </w:t>
      </w:r>
      <w:r w:rsidR="003735BD">
        <w:t>version 2.0</w:t>
      </w:r>
      <w:r w:rsidR="003735BD">
        <w:fldChar w:fldCharType="begin"/>
      </w:r>
      <w:r w:rsidR="006B5D5F">
        <w:instrText xml:space="preserve"> ADDIN ZOTERO_ITEM CSL_CITATION {"citationID":"uAgH8T1m","properties":{"formattedCitation":"\\super 3\\nosupersub{}","plainCitation":"3","noteIndex":0},"citationItems":[{"id":2541,"uris":["http://zotero.org/users/1282866/items/Y8LDUKVC"],"uri":["http://zotero.org/users/1282866/items/Y8LDUKVC"],"itemData":{"id":2541,"type":"article-journal","container-title":"ISPRS International Journal of Geo-Information","DOI":"10.3390/ijgi1010032","ISSN":"2220-9964","issue":"1","journalAbbreviation":"IJGI","language":"en","page":"32-45","source":"DOI.org (Crossref)","title":"EASE-Grid 2.0: Incremental but Significant Improvements for Earth-Gridded Data Sets","title-short":"EASE-Grid 2.0","volume":"1","author":[{"family":"Brodzik","given":"Mary J."},{"family":"Billingsley","given":"Brendan"},{"family":"Haran","given":"Terry"},{"family":"Raup","given":"Bruce"},{"family":"Savoie","given":"Matthew H."}],"issued":{"date-parts":[["2012",3,13]]}}}],"schema":"https://github.com/citation-style-language/schema/raw/master/csl-citation.json"} </w:instrText>
      </w:r>
      <w:r w:rsidR="003735BD">
        <w:fldChar w:fldCharType="separate"/>
      </w:r>
      <w:r w:rsidR="006B5D5F" w:rsidRPr="006B5D5F">
        <w:rPr>
          <w:color w:val="000000"/>
          <w:vertAlign w:val="superscript"/>
        </w:rPr>
        <w:t>3</w:t>
      </w:r>
      <w:r w:rsidR="003735BD">
        <w:fldChar w:fldCharType="end"/>
      </w:r>
      <w:r w:rsidR="003735BD">
        <w:t xml:space="preserve"> </w:t>
      </w:r>
      <w:r w:rsidR="000505F5" w:rsidRPr="00C8359A">
        <w:t>and the climate model data is resampled at 100 m horizontal grid spacing using Delaunay triangulation and nearest neighbor interpolation.</w:t>
      </w:r>
      <w:r w:rsidR="000505F5">
        <w:t xml:space="preserve"> </w:t>
      </w:r>
      <w:r w:rsidR="006A3CE2" w:rsidRPr="00C8359A">
        <w:t>These 100 m gridded values are then intersected with the catchment boundar</w:t>
      </w:r>
      <w:r w:rsidR="00294603">
        <w:t>y</w:t>
      </w:r>
      <w:r w:rsidR="006A3CE2" w:rsidRPr="00C8359A">
        <w:t xml:space="preserve"> and converted to volumetric quantities using the catchment-scale area weighted average of the 100 m grid cells </w:t>
      </w:r>
      <w:r w:rsidR="00761298">
        <w:t xml:space="preserve">shown </w:t>
      </w:r>
      <w:r w:rsidR="006A3CE2" w:rsidRPr="00C8359A">
        <w:t>at right</w:t>
      </w:r>
      <w:r w:rsidR="00F515D4">
        <w:t>.</w:t>
      </w:r>
      <w:r w:rsidR="000505F5">
        <w:rPr>
          <w:b/>
          <w:bCs/>
        </w:rPr>
        <w:t xml:space="preserve"> </w:t>
      </w:r>
    </w:p>
    <w:p w14:paraId="3960BE74" w14:textId="33D2EBDB" w:rsidR="007E39D1" w:rsidRDefault="007E39D1">
      <w:pPr>
        <w:spacing w:before="0"/>
      </w:pPr>
      <w:r>
        <w:br w:type="page"/>
      </w:r>
    </w:p>
    <w:p w14:paraId="2EA39AEA" w14:textId="256B5EF5" w:rsidR="007E39D1" w:rsidRDefault="007E39D1" w:rsidP="00234B3E">
      <w:r>
        <w:rPr>
          <w:noProof/>
        </w:rPr>
        <w:lastRenderedPageBreak/>
        <w:drawing>
          <wp:inline distT="0" distB="0" distL="0" distR="0" wp14:anchorId="23269B1F" wp14:editId="5483A2CB">
            <wp:extent cx="5943600" cy="4889500"/>
            <wp:effectExtent l="0" t="0" r="0" b="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889500"/>
                    </a:xfrm>
                    <a:prstGeom prst="rect">
                      <a:avLst/>
                    </a:prstGeom>
                  </pic:spPr>
                </pic:pic>
              </a:graphicData>
            </a:graphic>
          </wp:inline>
        </w:drawing>
      </w:r>
    </w:p>
    <w:p w14:paraId="7C857B60" w14:textId="72F0A51E" w:rsidR="00AB6CCC" w:rsidRDefault="007E39D1" w:rsidP="00AC6229">
      <w:pPr>
        <w:pStyle w:val="Caption"/>
      </w:pPr>
      <w:r w:rsidRPr="00AF7059">
        <w:t xml:space="preserve">Figure </w:t>
      </w:r>
      <w:r>
        <w:t>S</w:t>
      </w:r>
      <w:r w:rsidR="00202492">
        <w:fldChar w:fldCharType="begin"/>
      </w:r>
      <w:r w:rsidR="00202492">
        <w:instrText xml:space="preserve"> SEQ Figure \* ARABIC </w:instrText>
      </w:r>
      <w:r w:rsidR="00202492">
        <w:fldChar w:fldCharType="separate"/>
      </w:r>
      <w:r w:rsidR="00752C6E">
        <w:rPr>
          <w:noProof/>
        </w:rPr>
        <w:t>4</w:t>
      </w:r>
      <w:r w:rsidR="00202492">
        <w:rPr>
          <w:noProof/>
        </w:rPr>
        <w:fldChar w:fldCharType="end"/>
      </w:r>
      <w:r>
        <w:t xml:space="preserve">: Hourly values of (a) reflected shortwave radiation, (b) incoming longwave radiation, (c) net turbulent heat flux, and (d) net radiation from MERRA-2, RACMO2.3, </w:t>
      </w:r>
      <w:r w:rsidR="003E6FC9">
        <w:t>MAR3.10</w:t>
      </w:r>
      <w:r>
        <w:t xml:space="preserve">, and </w:t>
      </w:r>
      <w:r w:rsidR="000C04A1">
        <w:t>an independent offline surface energy balance</w:t>
      </w:r>
      <w:r>
        <w:t xml:space="preserve"> </w:t>
      </w:r>
      <w:r w:rsidR="000C04A1">
        <w:t>(</w:t>
      </w:r>
      <w:r>
        <w:t>SEB</w:t>
      </w:r>
      <w:r w:rsidR="000C04A1">
        <w:t>)</w:t>
      </w:r>
      <w:r>
        <w:t xml:space="preserve"> model</w:t>
      </w:r>
      <w:r w:rsidR="005015EC">
        <w:fldChar w:fldCharType="begin"/>
      </w:r>
      <w:r w:rsidR="005015EC">
        <w:instrText xml:space="preserve"> ADDIN ZOTERO_ITEM CSL_CITATION {"citationID":"EBxhVvI9","properties":{"formattedCitation":"\\super 4\\nosupersub{}","plainCitation":"4","noteIndex":0},"citationItems":[{"id":2354,"uris":["http://zotero.org/users/1282866/items/7UH4ZDXQ"],"uri":["http://zotero.org/users/1282866/items/7UH4ZDXQ"],"itemData":{"id":2354,"type":"article-journal","abstract":"The glaciers in the Melville Bay region of northwest Greenland have shown a mean retreat since the earliest observations at the beginning of the 20th century. The largest, Steenstrup Gletscher, has retreated </w:instrText>
      </w:r>
      <w:r w:rsidR="005015EC">
        <w:rPr>
          <w:rFonts w:ascii="Cambria Math" w:hAnsi="Cambria Math" w:cs="Cambria Math"/>
        </w:rPr>
        <w:instrText>∼</w:instrText>
      </w:r>
      <w:r w:rsidR="005015EC">
        <w:instrText xml:space="preserve">20 km, partly during the period of atmospheric cooling 1940–80. Melville Bay air-temperature observations starting in 1981 indicate a regional change of +0.20°C a−1. This exceeds the warming on the east coast of Greenland, confirming the west coast to be a region of relatively large change, also in a global perspective. The largest temperature increase is observed in the winter months (0.3–0.4°C a−1). Results from a 4 year (2004–08) net ablation record obtained by an automatic weather station (AWS) near the calving front of Steenstrup Gletscher show an ablation rate that is relatively low for a low-elevation position on the Greenland ice sheet (2.4 m ice equivalent per year). A first-order estimate from positive degree-day totals suggests that net ablation has roughly doubled since the 1980s. A surface energy and mass-balance model is applied to the Steenstrup AWS data to quantify the energy flux contributions to surface melt. Solar radiation is the main source for melt energy, but, due to shortwave radiation penetration into the ice, only one-third of the melt takes place at the glacier surface; nearly two-thirds occurs within the upper ice layers.","container-title":"Journal of Glaciology","DOI":"10.3189/002214311796405898","ISSN":"0022-1430, 1727-5652","issue":"202","language":"en","page":"208-220","source":"Cambridge Core","title":"Warming, glacier melt and surface energy budget from weather station observations in the Melville Bay region of northwest Greenland","volume":"57","author":[{"family":"As","given":"Dirk","non-dropping-particle":"van"}],"issued":{"date-parts":[["2011"]],"season":"ed"}}}],"schema":"https://github.com/citation-style-language/schema/raw/master/csl-citation.json"} </w:instrText>
      </w:r>
      <w:r w:rsidR="005015EC">
        <w:fldChar w:fldCharType="separate"/>
      </w:r>
      <w:r w:rsidR="005015EC" w:rsidRPr="005015EC">
        <w:rPr>
          <w:color w:val="000000"/>
          <w:vertAlign w:val="superscript"/>
        </w:rPr>
        <w:t>4</w:t>
      </w:r>
      <w:r w:rsidR="005015EC">
        <w:fldChar w:fldCharType="end"/>
      </w:r>
      <w:r w:rsidR="00B278A2">
        <w:t xml:space="preserve"> </w:t>
      </w:r>
      <w:r w:rsidR="00D705FF">
        <w:t xml:space="preserve">forced with weather station observations </w:t>
      </w:r>
      <w:r w:rsidR="00B278A2">
        <w:t>during the 6–13 July 2016 field campaign.</w:t>
      </w:r>
      <w:r>
        <w:t xml:space="preserve"> </w:t>
      </w:r>
      <w:r w:rsidR="0083202E">
        <w:t>A</w:t>
      </w:r>
      <w:r>
        <w:t xml:space="preserve">mong these models, RACMO2.3 most closely reproduces </w:t>
      </w:r>
      <w:r w:rsidR="00235F88">
        <w:t xml:space="preserve">observed </w:t>
      </w:r>
      <w:r>
        <w:t xml:space="preserve">net radiation and </w:t>
      </w:r>
      <w:r w:rsidR="00D705FF">
        <w:t>SEB-</w:t>
      </w:r>
      <w:r w:rsidR="00235F88">
        <w:t xml:space="preserve">modeled </w:t>
      </w:r>
      <w:r>
        <w:t>turbulent energy fluxes but overestimates meltwater runoff</w:t>
      </w:r>
      <w:r w:rsidR="006379E3">
        <w:t xml:space="preserve">, </w:t>
      </w:r>
      <w:r w:rsidR="00485B42">
        <w:t>c</w:t>
      </w:r>
      <w:r w:rsidR="006379E3">
        <w:t>onsistent with the July 2015 field experiment</w:t>
      </w:r>
      <w:r w:rsidR="006379E3">
        <w:fldChar w:fldCharType="begin"/>
      </w:r>
      <w:r w:rsidR="006379E3">
        <w:instrText xml:space="preserve"> ADDIN ZOTERO_ITEM CSL_CITATION {"citationID":"YQ8L2M6r","properties":{"formattedCitation":"\\super 1\\nosupersub{}","plainCitation":"1","noteIndex":0},"citationItems":[{"id":1843,"uris":["http://zotero.org/users/1282866/items/37EVERVV"],"uri":["http://zotero.org/users/1282866/items/37EVERVV"],"itemData":{"id":1843,"type":"article-journal","abstract":"Meltwater runoff from the Greenland ice sheet surface influences surface mass balance (SMB), ice dynamics, and global sea level rise, but is estimated with climate models and thus difficult to validate. We present a way to measure ice surface runoff directly, from hourly in situ supraglacial river discharge measurements and simultaneous high-resolution satellite/drone remote sensing of upstream fluvial catchment area. A first 72-h trial for a 63.1-km2 moulin-terminating internally drained catchment (IDC) on Greenland’s midelevation (1,207–1,381 m above sea level) ablation zone is compared with melt and runoff simulations from HIRHAM5, MAR3.6, RACMO2.3, MERRA-2, and SEB climate/SMB models. Current models cannot reproduce peak discharges or timing of runoff entering moulins but are improved using synthetic unit hydrograph (SUH) theory. Retroactive SUH applications to two older field studies reproduce their findings, signifying that remotely sensed IDC area, shape, and supraglacial river length are useful for predicting delays in peak runoff delivery to moulins. Applying SUH to HIRHAM5, MAR3.6, and RACMO2.3 gridded melt products for 799 surrounding IDCs suggests their terminal moulins receive lower peak discharges, less diurnal variability, and asynchronous runoff timing relative to climate/SMB model output alone. Conversely, large IDCs produce high moulin discharges, even at high elevations where melt rates are low. During this particular field experiment, models overestimated runoff by +21 to +58%, linked to overestimated surface ablation and possible meltwater retention in bare, porous, low-density ice. Direct measurements of ice surface runoff will improve climate/SMB models, and incorporating remotely sensed IDCs will aid coupling of SMB with ice dynamics and subglacial systems.","container-title":"Proceedings of the National Academy of Sciences","DOI":"10.1073/pnas.1707743114","ISSN":"0027-8424, 1091-6490","issue":"50","journalAbbreviation":"PNAS","language":"en","note":"PMID: 29208716","page":"E10622-E10631","source":"www.pnas.org","title":"Direct measurements of meltwater runoff on the Greenland ice sheet surface","volume":"114","author":[{"family":"Smith","given":"Laurence C."},{"family":"Yang","given":"Kang"},{"family":"Pitcher","given":"Lincoln H."},{"family":"Overstreet","given":"Brandon T."},{"family":"Chu","given":"Vena W."},{"family":"Rennermalm","given":"Åsa K."},{"family":"Ryan","given":"Jonathan C."},{"family":"Cooper","given":"Matthew G."},{"family":"Gleason","given":"Colin J."},{"family":"Tedesco","given":"Marco"},{"family":"Jeyaratnam","given":"Jeyavinoth"},{"family":"As","given":"Dirk","dropping-particle":"van"},{"family":"Broeke","given":"Michiel R.","dropping-particle":"van den"},{"family":"Berg","given":"Willem Jan","dropping-particle":"van de"},{"family":"Noël","given":"Brice"},{"family":"Langen","given":"Peter L."},{"family":"Cullather","given":"Richard I."},{"family":"Zhao","given":"Bin"},{"family":"Willis","given":"Michael J."},{"family":"Hubbard","given":"Alun"},{"family":"Box","given":"Jason E."},{"family":"Jenner","given":"Brittany A."},{"family":"Behar","given":"Alberto E."}],"issued":{"date-parts":[["2017",12,12]]}}}],"schema":"https://github.com/citation-style-language/schema/raw/master/csl-citation.json"} </w:instrText>
      </w:r>
      <w:r w:rsidR="006379E3">
        <w:fldChar w:fldCharType="separate"/>
      </w:r>
      <w:r w:rsidR="006379E3" w:rsidRPr="006379E3">
        <w:rPr>
          <w:color w:val="000000"/>
          <w:vertAlign w:val="superscript"/>
        </w:rPr>
        <w:t>1</w:t>
      </w:r>
      <w:r w:rsidR="006379E3">
        <w:fldChar w:fldCharType="end"/>
      </w:r>
      <w:r w:rsidR="00C40ABB">
        <w:t xml:space="preserve"> (</w:t>
      </w:r>
      <w:r w:rsidR="002944BE">
        <w:t xml:space="preserve">see </w:t>
      </w:r>
      <w:r w:rsidR="00E70D79">
        <w:t xml:space="preserve">also </w:t>
      </w:r>
      <w:r w:rsidR="00C40ABB">
        <w:t>Figure S5)</w:t>
      </w:r>
      <w:r>
        <w:t>.</w:t>
      </w:r>
    </w:p>
    <w:p w14:paraId="1723DF8A" w14:textId="77777777" w:rsidR="00AB6CCC" w:rsidRDefault="00AB6CCC">
      <w:pPr>
        <w:spacing w:before="0"/>
        <w:rPr>
          <w:iCs/>
          <w:color w:val="000000" w:themeColor="text1"/>
          <w:sz w:val="22"/>
          <w:szCs w:val="18"/>
        </w:rPr>
      </w:pPr>
      <w:r>
        <w:br w:type="page"/>
      </w:r>
    </w:p>
    <w:p w14:paraId="56437385" w14:textId="77777777" w:rsidR="00AB6CCC" w:rsidRPr="00C2625F" w:rsidRDefault="00AB6CCC" w:rsidP="00AB6CCC">
      <w:pPr>
        <w:jc w:val="center"/>
      </w:pPr>
      <w:r>
        <w:rPr>
          <w:noProof/>
        </w:rPr>
        <w:lastRenderedPageBreak/>
        <w:drawing>
          <wp:inline distT="0" distB="0" distL="0" distR="0" wp14:anchorId="2726079A" wp14:editId="78FE6AFF">
            <wp:extent cx="5943600" cy="4891405"/>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91405"/>
                    </a:xfrm>
                    <a:prstGeom prst="rect">
                      <a:avLst/>
                    </a:prstGeom>
                  </pic:spPr>
                </pic:pic>
              </a:graphicData>
            </a:graphic>
          </wp:inline>
        </w:drawing>
      </w:r>
    </w:p>
    <w:p w14:paraId="74B38C9B" w14:textId="75BCC9A5" w:rsidR="00AB6CCC" w:rsidRDefault="00AB6CCC" w:rsidP="00AB6CCC">
      <w:pPr>
        <w:pStyle w:val="Caption"/>
      </w:pPr>
      <w:r w:rsidRPr="00AF7059">
        <w:t xml:space="preserve">Figure </w:t>
      </w:r>
      <w:r>
        <w:t>S</w:t>
      </w:r>
      <w:r w:rsidR="00202492">
        <w:fldChar w:fldCharType="begin"/>
      </w:r>
      <w:r w:rsidR="00202492">
        <w:instrText xml:space="preserve"> SEQ Figure \* ARABIC </w:instrText>
      </w:r>
      <w:r w:rsidR="00202492">
        <w:fldChar w:fldCharType="separate"/>
      </w:r>
      <w:r w:rsidR="00752C6E">
        <w:rPr>
          <w:noProof/>
        </w:rPr>
        <w:t>5</w:t>
      </w:r>
      <w:r w:rsidR="00202492">
        <w:rPr>
          <w:noProof/>
        </w:rPr>
        <w:fldChar w:fldCharType="end"/>
      </w:r>
      <w:r>
        <w:t xml:space="preserve">: Hourly values of (a) reflected shortwave radiation, (b) incoming longwave radiation, (c) net turbulent heat flux, and (d) net radiation from MERRA-2, RACMO2.3, </w:t>
      </w:r>
      <w:r w:rsidR="003E6FC9">
        <w:t>MAR3.10</w:t>
      </w:r>
      <w:r>
        <w:t>, and the SEB model forced with KAN-M automatic weather station observations during the 20–23 July 2015 field campaign. Among these models, RACMO2.3 most closely reproduces net radiation and turbulent energy fluxes but overestimates meltwater runoff.</w:t>
      </w:r>
    </w:p>
    <w:p w14:paraId="361F4004" w14:textId="27DAFCE0" w:rsidR="00D2173B" w:rsidRDefault="00D2173B" w:rsidP="00AC6229">
      <w:pPr>
        <w:pStyle w:val="Caption"/>
        <w:rPr>
          <w:rFonts w:eastAsia="Times New Roman"/>
          <w:kern w:val="28"/>
        </w:rPr>
      </w:pPr>
      <w:r>
        <w:br w:type="page"/>
      </w:r>
    </w:p>
    <w:p w14:paraId="4A2A7826" w14:textId="655BCECA" w:rsidR="00634501" w:rsidRPr="00634501" w:rsidRDefault="002F5673" w:rsidP="00234B3E">
      <w:pPr>
        <w:pStyle w:val="Heading-Secondary"/>
        <w:ind w:left="0"/>
      </w:pPr>
      <w:r>
        <w:rPr>
          <w:noProof/>
        </w:rPr>
        <w:lastRenderedPageBreak/>
        <w:drawing>
          <wp:inline distT="0" distB="0" distL="0" distR="0" wp14:anchorId="0E1911C6" wp14:editId="2664B890">
            <wp:extent cx="5943600" cy="4160520"/>
            <wp:effectExtent l="0" t="0" r="0" b="508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4CC0FA92" w14:textId="7FE42216" w:rsidR="003B1350" w:rsidRDefault="002F5673" w:rsidP="00234B3E">
      <w:pPr>
        <w:pStyle w:val="Caption"/>
      </w:pPr>
      <w:r w:rsidRPr="00AF7059">
        <w:t xml:space="preserve">Figure </w:t>
      </w:r>
      <w:r w:rsidR="005B0A29">
        <w:t>S</w:t>
      </w:r>
      <w:r w:rsidR="00202492">
        <w:fldChar w:fldCharType="begin"/>
      </w:r>
      <w:r w:rsidR="00202492">
        <w:instrText xml:space="preserve"> SEQ Figure \* ARABIC </w:instrText>
      </w:r>
      <w:r w:rsidR="00202492">
        <w:fldChar w:fldCharType="separate"/>
      </w:r>
      <w:r w:rsidR="00752C6E">
        <w:rPr>
          <w:noProof/>
        </w:rPr>
        <w:t>6</w:t>
      </w:r>
      <w:r w:rsidR="00202492">
        <w:rPr>
          <w:noProof/>
        </w:rPr>
        <w:fldChar w:fldCharType="end"/>
      </w:r>
      <w:r>
        <w:t xml:space="preserve">: </w:t>
      </w:r>
      <w:r w:rsidR="00E82F1E">
        <w:t>Model simulations of ice sheet surface meltwater runoff</w:t>
      </w:r>
      <w:r w:rsidR="003B1350">
        <w:t xml:space="preserve"> </w:t>
      </w:r>
      <w:r w:rsidR="00E82F1E">
        <w:t xml:space="preserve">compared with direct </w:t>
      </w:r>
      <w:r w:rsidR="00DB1014">
        <w:t xml:space="preserve">discharge </w:t>
      </w:r>
      <w:r w:rsidR="00E82F1E">
        <w:t>measurements collected during a 20–23 July 2015 field</w:t>
      </w:r>
      <w:r w:rsidR="006A3CE2">
        <w:t xml:space="preserve"> experiment</w:t>
      </w:r>
      <w:r w:rsidR="00E82F1E">
        <w:fldChar w:fldCharType="begin"/>
      </w:r>
      <w:r w:rsidR="006379E3">
        <w:instrText xml:space="preserve"> ADDIN ZOTERO_ITEM CSL_CITATION {"citationID":"XbDDjijd","properties":{"formattedCitation":"\\super 1\\nosupersub{}","plainCitation":"1","noteIndex":0},"citationItems":[{"id":1843,"uris":["http://zotero.org/users/1282866/items/37EVERVV"],"uri":["http://zotero.org/users/1282866/items/37EVERVV"],"itemData":{"id":1843,"type":"article-journal","abstract":"Meltwater runoff from the Greenland ice sheet surface influences surface mass balance (SMB), ice dynamics, and global sea level rise, but is estimated with climate models and thus difficult to validate. We present a way to measure ice surface runoff directly, from hourly in situ supraglacial river discharge measurements and simultaneous high-resolution satellite/drone remote sensing of upstream fluvial catchment area. A first 72-h trial for a 63.1-km2 moulin-terminating internally drained catchment (IDC) on Greenland’s midelevation (1,207–1,381 m above sea level) ablation zone is compared with melt and runoff simulations from HIRHAM5, MAR3.6, RACMO2.3, MERRA-2, and SEB climate/SMB models. Current models cannot reproduce peak discharges or timing of runoff entering moulins but are improved using synthetic unit hydrograph (SUH) theory. Retroactive SUH applications to two older field studies reproduce their findings, signifying that remotely sensed IDC area, shape, and supraglacial river length are useful for predicting delays in peak runoff delivery to moulins. Applying SUH to HIRHAM5, MAR3.6, and RACMO2.3 gridded melt products for 799 surrounding IDCs suggests their terminal moulins receive lower peak discharges, less diurnal variability, and asynchronous runoff timing relative to climate/SMB model output alone. Conversely, large IDCs produce high moulin discharges, even at high elevations where melt rates are low. During this particular field experiment, models overestimated runoff by +21 to +58%, linked to overestimated surface ablation and possible meltwater retention in bare, porous, low-density ice. Direct measurements of ice surface runoff will improve climate/SMB models, and incorporating remotely sensed IDCs will aid coupling of SMB with ice dynamics and subglacial systems.","container-title":"Proceedings of the National Academy of Sciences","DOI":"10.1073/pnas.1707743114","ISSN":"0027-8424, 1091-6490","issue":"50","journalAbbreviation":"PNAS","language":"en","note":"PMID: 29208716","page":"E10622-E10631","source":"www.pnas.org","title":"Direct measurements of meltwater runoff on the Greenland ice sheet surface","volume":"114","author":[{"family":"Smith","given":"Laurence C."},{"family":"Yang","given":"Kang"},{"family":"Pitcher","given":"Lincoln H."},{"family":"Overstreet","given":"Brandon T."},{"family":"Chu","given":"Vena W."},{"family":"Rennermalm","given":"Åsa K."},{"family":"Ryan","given":"Jonathan C."},{"family":"Cooper","given":"Matthew G."},{"family":"Gleason","given":"Colin J."},{"family":"Tedesco","given":"Marco"},{"family":"Jeyaratnam","given":"Jeyavinoth"},{"family":"As","given":"Dirk","dropping-particle":"van"},{"family":"Broeke","given":"Michiel R.","dropping-particle":"van den"},{"family":"Berg","given":"Willem Jan","dropping-particle":"van de"},{"family":"Noël","given":"Brice"},{"family":"Langen","given":"Peter L."},{"family":"Cullather","given":"Richard I."},{"family":"Zhao","given":"Bin"},{"family":"Willis","given":"Michael J."},{"family":"Hubbard","given":"Alun"},{"family":"Box","given":"Jason E."},{"family":"Jenner","given":"Brittany A."},{"family":"Behar","given":"Alberto E."}],"issued":{"date-parts":[["2017",12,12]]}},"suppress-author":true}],"schema":"https://github.com/citation-style-language/schema/raw/master/csl-citation.json"} </w:instrText>
      </w:r>
      <w:r w:rsidR="00E82F1E">
        <w:fldChar w:fldCharType="separate"/>
      </w:r>
      <w:r w:rsidR="006379E3" w:rsidRPr="006379E3">
        <w:rPr>
          <w:color w:val="000000"/>
          <w:vertAlign w:val="superscript"/>
        </w:rPr>
        <w:t>1</w:t>
      </w:r>
      <w:r w:rsidR="00E82F1E">
        <w:fldChar w:fldCharType="end"/>
      </w:r>
      <w:r w:rsidR="00E82F1E">
        <w:t xml:space="preserve">. During this field experiment, heavy cloud cover was present during the final ~24 h. The radiative effect of cloud cover contributes to enhanced spread between </w:t>
      </w:r>
      <w:r w:rsidR="003B1350">
        <w:t xml:space="preserve">climate model simulations and </w:t>
      </w:r>
      <w:r w:rsidR="00E82F1E">
        <w:t xml:space="preserve">the climate model emulator “SkinModel” which is forced with hourly meteorological variables recorded at the KAN-M automatic weather station. </w:t>
      </w:r>
      <w:r w:rsidR="0019451E">
        <w:t>Apart from</w:t>
      </w:r>
      <w:r w:rsidR="00E82F1E">
        <w:t xml:space="preserve"> these discrepancies,</w:t>
      </w:r>
      <w:r w:rsidR="00DB1014">
        <w:t xml:space="preserve"> the climate-model emulator “SkinModel” closely reproduces climate model runoff, but overpredicts measured </w:t>
      </w:r>
      <w:r w:rsidR="0065027D">
        <w:t>discharge</w:t>
      </w:r>
      <w:r w:rsidR="00DB1014">
        <w:t xml:space="preserve"> when forced with weather station albedo measurements. In contrast,</w:t>
      </w:r>
      <w:r w:rsidR="00E82F1E">
        <w:t xml:space="preserve"> the </w:t>
      </w:r>
      <w:r w:rsidR="001D7DEA">
        <w:t xml:space="preserve">one-dimensional </w:t>
      </w:r>
      <w:r w:rsidR="00E82F1E">
        <w:t>ice column model IceModel</w:t>
      </w:r>
      <w:r w:rsidR="0065027D">
        <w:t xml:space="preserve"> </w:t>
      </w:r>
      <w:r w:rsidR="00E82F1E">
        <w:t>reproduces observed discharge</w:t>
      </w:r>
      <w:r w:rsidR="00F277F7">
        <w:t xml:space="preserve"> </w:t>
      </w:r>
      <w:r w:rsidR="001D7DEA">
        <w:t>to within 1% cumulative</w:t>
      </w:r>
      <w:r w:rsidR="0065027D">
        <w:t>, whereas t</w:t>
      </w:r>
      <w:r w:rsidR="00F277F7">
        <w:t>wo of three climate models overestimate runoff for this time and location.</w:t>
      </w:r>
      <w:r w:rsidR="003B5BBB">
        <w:t xml:space="preserve"> </w:t>
      </w:r>
      <w:r w:rsidR="007A59B7">
        <w:t xml:space="preserve">Consistent </w:t>
      </w:r>
      <w:r w:rsidR="003B5BBB">
        <w:t xml:space="preserve">with our 2016 </w:t>
      </w:r>
      <w:r w:rsidR="003B1350">
        <w:t>experimental findings</w:t>
      </w:r>
      <w:r w:rsidR="003B5BBB">
        <w:t xml:space="preserve">, </w:t>
      </w:r>
      <w:r w:rsidR="003B1350">
        <w:t xml:space="preserve">MERRA-2 simulates </w:t>
      </w:r>
      <w:r w:rsidR="003B5BBB">
        <w:t xml:space="preserve">lower runoff due to its </w:t>
      </w:r>
      <w:r w:rsidR="0019451E">
        <w:t>high</w:t>
      </w:r>
      <w:r w:rsidR="003B5BBB">
        <w:t xml:space="preserve"> albedo </w:t>
      </w:r>
      <w:r w:rsidR="0019451E">
        <w:t>bias (Figure S</w:t>
      </w:r>
      <w:r w:rsidR="00583FA5">
        <w:t>7</w:t>
      </w:r>
      <w:r w:rsidR="0019451E">
        <w:t>) and corresponding underestimation of net radiation (Figure S</w:t>
      </w:r>
      <w:r w:rsidR="00426771">
        <w:t>4</w:t>
      </w:r>
      <w:r w:rsidR="0019451E">
        <w:t xml:space="preserve"> and Figure S</w:t>
      </w:r>
      <w:r w:rsidR="00426771">
        <w:t>5</w:t>
      </w:r>
      <w:r w:rsidR="0019451E">
        <w:t>)</w:t>
      </w:r>
      <w:r w:rsidR="003B5BBB">
        <w:t>.</w:t>
      </w:r>
    </w:p>
    <w:p w14:paraId="1686745A" w14:textId="3F2A6747" w:rsidR="00433C95" w:rsidRDefault="00433C95">
      <w:pPr>
        <w:spacing w:before="0"/>
      </w:pPr>
      <w:r>
        <w:br w:type="page"/>
      </w:r>
    </w:p>
    <w:p w14:paraId="2F2C998B" w14:textId="77777777" w:rsidR="00433C95" w:rsidRDefault="00433C95" w:rsidP="00433C95">
      <w:pPr>
        <w:pStyle w:val="Heading-Secondary"/>
        <w:ind w:left="0"/>
        <w:jc w:val="center"/>
      </w:pPr>
      <w:r>
        <w:rPr>
          <w:noProof/>
        </w:rPr>
        <w:lastRenderedPageBreak/>
        <w:drawing>
          <wp:inline distT="0" distB="0" distL="0" distR="0" wp14:anchorId="0F7741B8" wp14:editId="6D20D6E1">
            <wp:extent cx="5091599" cy="4069471"/>
            <wp:effectExtent l="0" t="0" r="1270" b="0"/>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1774" cy="4085596"/>
                    </a:xfrm>
                    <a:prstGeom prst="rect">
                      <a:avLst/>
                    </a:prstGeom>
                  </pic:spPr>
                </pic:pic>
              </a:graphicData>
            </a:graphic>
          </wp:inline>
        </w:drawing>
      </w:r>
    </w:p>
    <w:p w14:paraId="58C8ECAD" w14:textId="6D2A4601" w:rsidR="00433C95" w:rsidRPr="00433C95" w:rsidRDefault="00433C95" w:rsidP="00433C95">
      <w:pPr>
        <w:pStyle w:val="Caption"/>
      </w:pPr>
      <w:r w:rsidRPr="00AF7059">
        <w:t xml:space="preserve">Figure </w:t>
      </w:r>
      <w:r>
        <w:t>S</w:t>
      </w:r>
      <w:r w:rsidR="00202492">
        <w:fldChar w:fldCharType="begin"/>
      </w:r>
      <w:r w:rsidR="00202492">
        <w:instrText xml:space="preserve"> SEQ Figure \* ARABIC </w:instrText>
      </w:r>
      <w:r w:rsidR="00202492">
        <w:fldChar w:fldCharType="separate"/>
      </w:r>
      <w:r w:rsidR="00752C6E">
        <w:rPr>
          <w:noProof/>
        </w:rPr>
        <w:t>7</w:t>
      </w:r>
      <w:r w:rsidR="00202492">
        <w:rPr>
          <w:noProof/>
        </w:rPr>
        <w:fldChar w:fldCharType="end"/>
      </w:r>
      <w:r>
        <w:t>: Comparison of observed hourly albedo from the KAN</w:t>
      </w:r>
      <w:r w:rsidR="002F6660">
        <w:t>_</w:t>
      </w:r>
      <w:r>
        <w:t>M automatic weather station with albedo output from the offline ice surface energy balance model (SEB), two regional climate models (RACMO2.3 and MAR3.1</w:t>
      </w:r>
      <w:r w:rsidR="008225D9">
        <w:t>0</w:t>
      </w:r>
      <w:r>
        <w:t>), one global climate model (MERRA-2), and daily albedo from the MODIS satellite during the (a) 6–13 July 2016 field experiment, and (b) 20–23 July 2015 field experiment. Among the climate models examined, RACMO2.3 most closely reproduces observed albedo values. Consequently, RACMO2.3 most closely reproduces energy available for meltwater production, but overestimates meltwater runoff. The MODIS satellite time of overflight at this location is 10:30 for Terra and 13:30 for Aqua. Note that model simulations presented in this study labeled ‘AWS Observations’, and also the SEB model, are forced with KAN-M albedo observations.</w:t>
      </w:r>
    </w:p>
    <w:p w14:paraId="167CF0EA" w14:textId="5233035B" w:rsidR="00741B89" w:rsidRDefault="00741B89">
      <w:pPr>
        <w:spacing w:before="0"/>
      </w:pPr>
      <w:r>
        <w:br w:type="page"/>
      </w:r>
    </w:p>
    <w:p w14:paraId="299AB147" w14:textId="161C9F1F" w:rsidR="00741B89" w:rsidRDefault="00050087" w:rsidP="004B46B0">
      <w:pPr>
        <w:spacing w:before="0"/>
        <w:jc w:val="center"/>
      </w:pPr>
      <w:r>
        <w:rPr>
          <w:noProof/>
        </w:rPr>
        <w:lastRenderedPageBreak/>
        <w:drawing>
          <wp:inline distT="0" distB="0" distL="0" distR="0" wp14:anchorId="63111F55" wp14:editId="2FBD60B6">
            <wp:extent cx="5943600" cy="3822065"/>
            <wp:effectExtent l="0" t="0" r="0" b="635"/>
            <wp:docPr id="6" name="Picture 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22065"/>
                    </a:xfrm>
                    <a:prstGeom prst="rect">
                      <a:avLst/>
                    </a:prstGeom>
                  </pic:spPr>
                </pic:pic>
              </a:graphicData>
            </a:graphic>
          </wp:inline>
        </w:drawing>
      </w:r>
    </w:p>
    <w:p w14:paraId="3607FDF4" w14:textId="5F1D6AEB" w:rsidR="00AC6229" w:rsidRPr="0071449B" w:rsidRDefault="00741B89" w:rsidP="0071449B">
      <w:pPr>
        <w:pStyle w:val="Caption"/>
      </w:pPr>
      <w:r w:rsidRPr="00AF7059">
        <w:t xml:space="preserve">Figure </w:t>
      </w:r>
      <w:r>
        <w:t>S</w:t>
      </w:r>
      <w:fldSimple w:instr=" SEQ Figure \* ARABIC ">
        <w:r w:rsidR="00752C6E">
          <w:rPr>
            <w:noProof/>
          </w:rPr>
          <w:t>8</w:t>
        </w:r>
      </w:fldSimple>
      <w:r>
        <w:t xml:space="preserve">: (a) </w:t>
      </w:r>
      <w:r w:rsidR="004B46B0">
        <w:t xml:space="preserve">Model simulations of </w:t>
      </w:r>
      <w:r w:rsidR="007F462B">
        <w:t xml:space="preserve">cumulative </w:t>
      </w:r>
      <w:r w:rsidR="004B46B0">
        <w:t xml:space="preserve">ice sheet surface meltwater runoff compared with </w:t>
      </w:r>
      <w:r w:rsidR="000E75DB">
        <w:t xml:space="preserve">supraglacial </w:t>
      </w:r>
      <w:r w:rsidR="004B46B0">
        <w:t>discharge</w:t>
      </w:r>
      <w:r w:rsidR="007F462B">
        <w:t xml:space="preserve"> </w:t>
      </w:r>
      <w:r w:rsidR="00A7713A">
        <w:t xml:space="preserve">measured </w:t>
      </w:r>
      <w:r w:rsidR="004B46B0">
        <w:t>over two months</w:t>
      </w:r>
      <w:r w:rsidR="00A7713A">
        <w:fldChar w:fldCharType="begin"/>
      </w:r>
      <w:r w:rsidR="00A7713A">
        <w:instrText xml:space="preserve"> ADDIN ZOTERO_ITEM CSL_CITATION {"citationID":"6V0nzbsD","properties":{"formattedCitation":"\\super 5\\nosupersub{}","plainCitation":"5","noteIndex":0},"citationItems":[{"id":8855,"uris":["http://zotero.org/users/1282866/items/K5VUKBBB"],"uri":["http://zotero.org/users/1282866/items/K5VUKBBB"],"itemData":{"id":8855,"type":"article-journal","abstract":"&lt;p&gt;&lt;strong class=\"journal-contentHeaderColor\"&gt;Abstract.&lt;/strong&gt; Greenland ice sheet surface runoff is evacuated through supraglacial stream networks, which influence surface mass balance as well as ice dynamics. However, in-situ observations of meltwater discharge through these stream networks are rare. In this study, we present 46 discharge measurements and continuous water level measurements for 62 days spanning 13 June to 13 August 2016 for a 0.6&amp;thinsp;km&lt;sup&gt;2&lt;/sup&gt; supraglacial stream catchment in southwest Greenland. The result is an unprecedented long record of supraglacial discharge capturing both diurnal and seasonal variability. By comparing in situ hydraulic geometry parameters with previous studies, we find that significant heterogeneity exists such that estimating stream discharge using these parameters over ungauged supraglacial catchments could lead to substantial errors. A comparison of surface energy fluxes to stream discharge reveals shortwave radiation as the primary driver of melting (78&amp;thinsp;% of melt energy). However, during high melt episodes, the shortwave only contributes to 50&amp;thinsp;% of melt energy. Instead, the relative contribution of longwave radiation, sensible and latent heat fluxes to overall melt increases by 16.5&amp;thinsp;%, 4&amp;thinsp;%, and 7&amp;thinsp;% respectively. Our data also show a seasonal variation in the timing of daily maximum discharge during clear sky days, shifting from 16:00 local time (i.e., 2.75 hours after solar noon) in late June to 14:00 in late July, then rapidly returns to 16:00 in early August coincident with an abrupt drop in air temperature. These changes in peak daily flow timing can be attributed to a changing effective catchment area, resulting in a smaller stream network supplying water to the outlet at the end of the season throughout the melt season. Further work is needed to uncover how widespread rapid shift in the timing of peak discharge is across Greenland supraglacial streams, and thus their potential impact on meltwater delivery to the subglacial system and ice dynamics.&lt;/p&gt;","container-title":"The Cryosphere Discussions","DOI":"10.5194/tc-2020-314","ISSN":"1994-0416","language":"English","note":"publisher: Copernicus GmbH","page":"1-28","source":"tc.copernicus.org","title":"Seasonal Variability in In-situ Supraglacial Streamflow and Drivers in Southwest Greenland in 2016","author":[{"family":"Muthyala","given":"Rohi"},{"family":"Rennermalm","given":"Asa K."},{"family":"Leidman","given":"Sasha Z."},{"family":"Cooper","given":"Matthew G."},{"family":"Cooley","given":"Sarah W."},{"family":"Smith","given":"Laurence C."},{"family":"As","given":"Dirk","non-dropping-particle":"van"}],"issued":{"date-parts":[["2020",11,27]]}}}],"schema":"https://github.com/citation-style-language/schema/raw/master/csl-citation.json"} </w:instrText>
      </w:r>
      <w:r w:rsidR="00A7713A">
        <w:fldChar w:fldCharType="separate"/>
      </w:r>
      <w:r w:rsidR="00A7713A" w:rsidRPr="004B46B0">
        <w:rPr>
          <w:color w:val="000000"/>
          <w:vertAlign w:val="superscript"/>
        </w:rPr>
        <w:t>5</w:t>
      </w:r>
      <w:r w:rsidR="00A7713A">
        <w:fldChar w:fldCharType="end"/>
      </w:r>
      <w:r w:rsidR="004B46B0">
        <w:t xml:space="preserve"> in 2016 at a supraglacial catchment contained within the A</w:t>
      </w:r>
      <w:r w:rsidR="004B46B0" w:rsidRPr="00044A0E">
        <w:t>kuliarusiarsuup</w:t>
      </w:r>
      <w:r w:rsidR="004B46B0">
        <w:t xml:space="preserve"> Kuua River’s northern tributary (AK4) catchment. IceModel forced </w:t>
      </w:r>
      <w:r w:rsidR="007F462B">
        <w:t>with meteorological observations from the nearby KAN-L automatic weather station (AWS)</w:t>
      </w:r>
      <w:r w:rsidR="004B46B0">
        <w:t xml:space="preserve"> closely reproduces observed </w:t>
      </w:r>
      <w:r w:rsidR="007F462B">
        <w:t xml:space="preserve">supraglacial </w:t>
      </w:r>
      <w:r w:rsidR="004B46B0">
        <w:t xml:space="preserve">discharge (compare solid blue line </w:t>
      </w:r>
      <w:r w:rsidR="00A7713A">
        <w:t>to</w:t>
      </w:r>
      <w:r w:rsidR="004B46B0">
        <w:t xml:space="preserve"> red error bars</w:t>
      </w:r>
      <w:r w:rsidR="007F462B">
        <w:t xml:space="preserve"> proportional to </w:t>
      </w:r>
      <m:oMath>
        <m:r>
          <w:rPr>
            <w:rFonts w:ascii="Cambria Math" w:hAnsi="Cambria Math"/>
          </w:rPr>
          <m:t>±</m:t>
        </m:r>
      </m:oMath>
      <w:r w:rsidR="007F462B">
        <w:t xml:space="preserve">25% estimated </w:t>
      </w:r>
      <w:r w:rsidR="000E75DB">
        <w:t>discharge</w:t>
      </w:r>
      <w:r w:rsidR="007F462B">
        <w:t xml:space="preserve"> uncertainty</w:t>
      </w:r>
      <w:r w:rsidR="000E75DB">
        <w:t xml:space="preserve"> at </w:t>
      </w:r>
      <w:r w:rsidR="00A7713A">
        <w:t xml:space="preserve">the </w:t>
      </w:r>
      <w:r w:rsidR="000E75DB">
        <w:t>95% confidence level</w:t>
      </w:r>
      <w:r w:rsidR="007F462B">
        <w:fldChar w:fldCharType="begin"/>
      </w:r>
      <w:r w:rsidR="007F462B">
        <w:instrText xml:space="preserve"> ADDIN ZOTERO_ITEM CSL_CITATION {"citationID":"6V0nzbsD","properties":{"formattedCitation":"\\super 5\\nosupersub{}","plainCitation":"5","noteIndex":0},"citationItems":[{"id":8855,"uris":["http://zotero.org/users/1282866/items/K5VUKBBB"],"uri":["http://zotero.org/users/1282866/items/K5VUKBBB"],"itemData":{"id":8855,"type":"article-journal","abstract":"&lt;p&gt;&lt;strong class=\"journal-contentHeaderColor\"&gt;Abstract.&lt;/strong&gt; Greenland ice sheet surface runoff is evacuated through supraglacial stream networks, which influence surface mass balance as well as ice dynamics. However, in-situ observations of meltwater discharge through these stream networks are rare. In this study, we present 46 discharge measurements and continuous water level measurements for 62 days spanning 13 June to 13 August 2016 for a 0.6&amp;thinsp;km&lt;sup&gt;2&lt;/sup&gt; supraglacial stream catchment in southwest Greenland. The result is an unprecedented long record of supraglacial discharge capturing both diurnal and seasonal variability. By comparing in situ hydraulic geometry parameters with previous studies, we find that significant heterogeneity exists such that estimating stream discharge using these parameters over ungauged supraglacial catchments could lead to substantial errors. A comparison of surface energy fluxes to stream discharge reveals shortwave radiation as the primary driver of melting (78&amp;thinsp;% of melt energy). However, during high melt episodes, the shortwave only contributes to 50&amp;thinsp;% of melt energy. Instead, the relative contribution of longwave radiation, sensible and latent heat fluxes to overall melt increases by 16.5&amp;thinsp;%, 4&amp;thinsp;%, and 7&amp;thinsp;% respectively. Our data also show a seasonal variation in the timing of daily maximum discharge during clear sky days, shifting from 16:00 local time (i.e., 2.75 hours after solar noon) in late June to 14:00 in late July, then rapidly returns to 16:00 in early August coincident with an abrupt drop in air temperature. These changes in peak daily flow timing can be attributed to a changing effective catchment area, resulting in a smaller stream network supplying water to the outlet at the end of the season throughout the melt season. Further work is needed to uncover how widespread rapid shift in the timing of peak discharge is across Greenland supraglacial streams, and thus their potential impact on meltwater delivery to the subglacial system and ice dynamics.&lt;/p&gt;","container-title":"The Cryosphere Discussions","DOI":"10.5194/tc-2020-314","ISSN":"1994-0416","language":"English","note":"publisher: Copernicus GmbH","page":"1-28","source":"tc.copernicus.org","title":"Seasonal Variability in In-situ Supraglacial Streamflow and Drivers in Southwest Greenland in 2016","author":[{"family":"Muthyala","given":"Rohi"},{"family":"Rennermalm","given":"Asa K."},{"family":"Leidman","given":"Sasha Z."},{"family":"Cooper","given":"Matthew G."},{"family":"Cooley","given":"Sarah W."},{"family":"Smith","given":"Laurence C."},{"family":"As","given":"Dirk","non-dropping-particle":"van"}],"issued":{"date-parts":[["2020",11,27]]}}}],"schema":"https://github.com/citation-style-language/schema/raw/master/csl-citation.json"} </w:instrText>
      </w:r>
      <w:r w:rsidR="007F462B">
        <w:fldChar w:fldCharType="separate"/>
      </w:r>
      <w:r w:rsidR="007F462B" w:rsidRPr="004B46B0">
        <w:rPr>
          <w:color w:val="000000"/>
          <w:vertAlign w:val="superscript"/>
        </w:rPr>
        <w:t>5</w:t>
      </w:r>
      <w:r w:rsidR="007F462B">
        <w:fldChar w:fldCharType="end"/>
      </w:r>
      <w:r w:rsidR="004B46B0">
        <w:t>)</w:t>
      </w:r>
      <w:r w:rsidR="007F462B">
        <w:t>. In contrast, all other models</w:t>
      </w:r>
      <w:r w:rsidR="004B46B0">
        <w:t xml:space="preserve"> </w:t>
      </w:r>
      <w:r w:rsidR="007F462B">
        <w:t xml:space="preserve">overestimate observed discharge. </w:t>
      </w:r>
      <w:r w:rsidR="00FA14C7">
        <w:t xml:space="preserve">The supraglacial catchment contributing area was determined by direct mapping of topographic divides in the field </w:t>
      </w:r>
      <w:r w:rsidR="00B20AEF">
        <w:t>which</w:t>
      </w:r>
      <w:r w:rsidR="00FA14C7">
        <w:t xml:space="preserve"> provid</w:t>
      </w:r>
      <w:r w:rsidR="00B20AEF">
        <w:t>es</w:t>
      </w:r>
      <w:r w:rsidR="00FA14C7">
        <w:t xml:space="preserve"> a field-validated constraint on meltwater runoff in this catchment. Modeled runoff uncertainty (shaded envelopes) is proportional to estimated </w:t>
      </w:r>
      <m:oMath>
        <m:r>
          <w:rPr>
            <w:rFonts w:ascii="Cambria Math" w:hAnsi="Cambria Math"/>
          </w:rPr>
          <m:t>±</m:t>
        </m:r>
      </m:oMath>
      <w:r w:rsidR="00FA14C7">
        <w:t>5% catchment area uncertainty</w:t>
      </w:r>
      <w:r w:rsidR="00FA14C7">
        <w:fldChar w:fldCharType="begin"/>
      </w:r>
      <w:r w:rsidR="00FA14C7">
        <w:instrText xml:space="preserve"> ADDIN ZOTERO_ITEM CSL_CITATION {"citationID":"6V0nzbsD","properties":{"formattedCitation":"\\super 5\\nosupersub{}","plainCitation":"5","noteIndex":0},"citationItems":[{"id":8855,"uris":["http://zotero.org/users/1282866/items/K5VUKBBB"],"uri":["http://zotero.org/users/1282866/items/K5VUKBBB"],"itemData":{"id":8855,"type":"article-journal","abstract":"&lt;p&gt;&lt;strong class=\"journal-contentHeaderColor\"&gt;Abstract.&lt;/strong&gt; Greenland ice sheet surface runoff is evacuated through supraglacial stream networks, which influence surface mass balance as well as ice dynamics. However, in-situ observations of meltwater discharge through these stream networks are rare. In this study, we present 46 discharge measurements and continuous water level measurements for 62 days spanning 13 June to 13 August 2016 for a 0.6&amp;thinsp;km&lt;sup&gt;2&lt;/sup&gt; supraglacial stream catchment in southwest Greenland. The result is an unprecedented long record of supraglacial discharge capturing both diurnal and seasonal variability. By comparing in situ hydraulic geometry parameters with previous studies, we find that significant heterogeneity exists such that estimating stream discharge using these parameters over ungauged supraglacial catchments could lead to substantial errors. A comparison of surface energy fluxes to stream discharge reveals shortwave radiation as the primary driver of melting (78&amp;thinsp;% of melt energy). However, during high melt episodes, the shortwave only contributes to 50&amp;thinsp;% of melt energy. Instead, the relative contribution of longwave radiation, sensible and latent heat fluxes to overall melt increases by 16.5&amp;thinsp;%, 4&amp;thinsp;%, and 7&amp;thinsp;% respectively. Our data also show a seasonal variation in the timing of daily maximum discharge during clear sky days, shifting from 16:00 local time (i.e., 2.75 hours after solar noon) in late June to 14:00 in late July, then rapidly returns to 16:00 in early August coincident with an abrupt drop in air temperature. These changes in peak daily flow timing can be attributed to a changing effective catchment area, resulting in a smaller stream network supplying water to the outlet at the end of the season throughout the melt season. Further work is needed to uncover how widespread rapid shift in the timing of peak discharge is across Greenland supraglacial streams, and thus their potential impact on meltwater delivery to the subglacial system and ice dynamics.&lt;/p&gt;","container-title":"The Cryosphere Discussions","DOI":"10.5194/tc-2020-314","ISSN":"1994-0416","language":"English","note":"publisher: Copernicus GmbH","page":"1-28","source":"tc.copernicus.org","title":"Seasonal Variability in In-situ Supraglacial Streamflow and Drivers in Southwest Greenland in 2016","author":[{"family":"Muthyala","given":"Rohi"},{"family":"Rennermalm","given":"Asa K."},{"family":"Leidman","given":"Sasha Z."},{"family":"Cooper","given":"Matthew G."},{"family":"Cooley","given":"Sarah W."},{"family":"Smith","given":"Laurence C."},{"family":"As","given":"Dirk","non-dropping-particle":"van"}],"issued":{"date-parts":[["2020",11,27]]}}}],"schema":"https://github.com/citation-style-language/schema/raw/master/csl-citation.json"} </w:instrText>
      </w:r>
      <w:r w:rsidR="00FA14C7">
        <w:fldChar w:fldCharType="separate"/>
      </w:r>
      <w:r w:rsidR="00FA14C7" w:rsidRPr="004B46B0">
        <w:rPr>
          <w:color w:val="000000"/>
          <w:vertAlign w:val="superscript"/>
        </w:rPr>
        <w:t>5</w:t>
      </w:r>
      <w:r w:rsidR="00FA14C7">
        <w:fldChar w:fldCharType="end"/>
      </w:r>
      <w:r w:rsidR="00B20AEF">
        <w:t xml:space="preserve">. </w:t>
      </w:r>
      <w:r w:rsidR="007F462B">
        <w:t xml:space="preserve">(b-c) Same as (a) but for </w:t>
      </w:r>
      <w:r>
        <w:t xml:space="preserve">seven years (2009–2015) of cumulative </w:t>
      </w:r>
      <w:r w:rsidR="007F462B">
        <w:t xml:space="preserve">proglacial </w:t>
      </w:r>
      <w:r>
        <w:t xml:space="preserve">discharge measured in the </w:t>
      </w:r>
      <w:r w:rsidRPr="00044A0E">
        <w:t>Akuliarusiarsuup</w:t>
      </w:r>
      <w:r>
        <w:t xml:space="preserve"> Kuua River’s northern tributary (AK4)</w:t>
      </w:r>
      <w:r>
        <w:fldChar w:fldCharType="begin"/>
      </w:r>
      <w:r w:rsidR="004B46B0">
        <w:instrText xml:space="preserve"> ADDIN ZOTERO_ITEM CSL_CITATION {"citationID":"2Fw6yPQc","properties":{"formattedCitation":"\\super 6\\nosupersub{}","plainCitation":"6","noteIndex":0},"citationItems":[{"id":2642,"uris":["http://zotero.org/users/1282866/items/N3VL7GT9"],"uri":["http://zotero.org/users/1282866/items/N3VL7GT9"],"itemData":{"id":2642,"type":"article","abstract":"The dataset contains measurements of river stage and discharge for one sites along the Akuliarusiarsuup Kuua River's northern tributary, with 30 minute temporal resolution between June 2008 and December 2016. This river is a tributary to the Watson River discharging into Kangerlussuaq Fjord by the town of Kangerlussuaq, Southwest Greenland. Additional data of water temperature is also provided.","language":"en","note":"dimensions: 1086494 data points\nmedium: text/tab-separated-values\npage: 1086494 data points\ntype: dataset\nDOI: 10.1594/PANGAEA.876357","publisher":"PANGAEA - Data Publisher for Earth &amp; Environmental Science","source":"DOI.org (Datacite)","title":"River discharge at station AK-004-001, 2008 - 2016, version 3.0","URL":"https://doi.pangaea.de/10.1594/PANGAEA.876357","author":[{"family":"Rennermalm","given":"Åsa K."},{"family":"Smith","given":"Laurence C."},{"family":"Hammann","given":"Arno C."},{"family":"Leidman","given":"Sasha Z."},{"family":"Cooper","given":"Matthew G."},{"family":"Cooley","given":"Sarah W."},{"family":"Pitcher","given":"Lincoln"}],"accessed":{"date-parts":[["2020",7,2]]},"issued":{"date-parts":[["2017"]]}}}],"schema":"https://github.com/citation-style-language/schema/raw/master/csl-citation.json"} </w:instrText>
      </w:r>
      <w:r>
        <w:fldChar w:fldCharType="separate"/>
      </w:r>
      <w:r w:rsidR="004B46B0" w:rsidRPr="004B46B0">
        <w:rPr>
          <w:color w:val="000000"/>
          <w:vertAlign w:val="superscript"/>
        </w:rPr>
        <w:t>6</w:t>
      </w:r>
      <w:r>
        <w:fldChar w:fldCharType="end"/>
      </w:r>
      <w:r>
        <w:t xml:space="preserve">. </w:t>
      </w:r>
      <w:r w:rsidR="000E75DB">
        <w:t xml:space="preserve">Runoff </w:t>
      </w:r>
      <w:r>
        <w:t xml:space="preserve">uncertainty </w:t>
      </w:r>
      <w:r w:rsidR="000E75DB">
        <w:t>(shaded envelopes)</w:t>
      </w:r>
      <w:r>
        <w:t xml:space="preserve"> </w:t>
      </w:r>
      <w:r w:rsidR="000E75DB">
        <w:t>and central estimates (solid/dashed lines) are derived from</w:t>
      </w:r>
      <w:r>
        <w:t xml:space="preserve"> catchment contributing area boundaries corresponding to upper</w:t>
      </w:r>
      <w:r w:rsidR="000E75DB">
        <w:t xml:space="preserve">, middle, </w:t>
      </w:r>
      <w:r>
        <w:t>and lower</w:t>
      </w:r>
      <w:r w:rsidR="000E75DB">
        <w:t xml:space="preserve"> </w:t>
      </w:r>
      <w:r>
        <w:t xml:space="preserve">prescribed values of the flotation factor </w:t>
      </w:r>
      <m:oMath>
        <m:r>
          <w:rPr>
            <w:rFonts w:ascii="Cambria Math" w:hAnsi="Cambria Math"/>
          </w:rPr>
          <m:t>k</m:t>
        </m:r>
      </m:oMath>
      <w:r>
        <w:t xml:space="preserve">, which accounts for evolving subglacial </w:t>
      </w:r>
      <w:r w:rsidR="00A205A3">
        <w:t xml:space="preserve">water pressure and </w:t>
      </w:r>
      <w:r>
        <w:t>hydraulic routing throughout the summer melt season</w:t>
      </w:r>
      <w:r>
        <w:fldChar w:fldCharType="begin"/>
      </w:r>
      <w:r w:rsidR="004B46B0">
        <w:instrText xml:space="preserve"> ADDIN ZOTERO_ITEM CSL_CITATION {"citationID":"WwKcPY1k","properties":{"formattedCitation":"\\super 7\\nosupersub{}","plainCitation":"7","noteIndex":0},"citationItems":[{"id":7878,"uris":["http://zotero.org/users/1282866/items/JH5EZSMN"],"uri":["http://zotero.org/users/1282866/items/JH5EZSMN"],"itemData":{"id":7878,"type":"article-journal","abstract":"&lt;p&gt;&lt;strong class=\"journal-contentHeaderColor\"&gt;Abstract.&lt;/strong&gt; Greenland runoff, from ice mass loss and increasing rainfall, is increasing. That runoff, as discharge, impacts the physical, chemical, and biological properties of the adjacent fjords. However, where and when the discharge occurs is not readily available in an open database. Here we provide data sets of high-resolution Greenland hydrologic outlets, basins, and streams, as well as a daily 1958 through 2019 time series of Greenland liquid water discharge for each outlet. The data include 24&amp;thinsp;507 ice marginal outlets and upstream basins and 29&amp;thinsp;635 land coast outlets and upstream basins, derived from the 100&amp;thinsp;m ArcticDEM and 150&amp;thinsp;m BedMachine. At each outlet there are daily discharge data for 22&amp;thinsp;645&amp;thinsp;d – ice sheet runoff routed subglacially to ice margin outlets and land runoff routed to coast outlets – from two regional climate models (RCMs; MAR and RACMO). Our sensitivity study of how outlet location changes for every inland cell based on subglacial routing assumptions shows that most inland cells where runoff occurs are not highly sensitive to those routing assumptions, and outflow location does not move far. We compare RCM results with 10 gauges from streams with discharge rates spanning 4 orders of magnitude. Results show that for daily discharge at the individual basin scale the 5&amp;thinsp;% to 95&amp;thinsp;% prediction interval between modeled discharge and observations generally falls within plus or minus a factor of 5 (half an order of magnitude, or &lt;span class=\"inline-formula\"&gt;+500&lt;/span&gt;&amp;thinsp;%&lt;span class=\"inline-formula\"&gt;&lt;math xmlns=\"http://www.w3.org/1998/Math/MathML\" id=\"M2\" display=\"inline\" overflow=\"scroll\" dspmath=\"mathml\"&gt;&lt;mrow&gt;&lt;mo&gt;/&lt;/mo&gt;&lt;mo&gt;-&lt;/mo&gt;&lt;mn mathvariant=\"normal\"&gt;80&lt;/mn&gt;&lt;/mrow&gt;&lt;/math&gt;&lt;span&gt;&lt;svg:svg xmlns:svg=\"http://www.w3.org/2000/svg\" width=\"32pt\" height=\"14pt\" class=\"svg-formula\" dspmath=\"mathimg\" md5hash=\"6ffec3eb5fe5b4a83b6d76b6e5dff91a\"&gt;&lt;svg:image xmlns:xlink=\"http://www.w3.org/1999/xlink\" xlink:href=\"essd-12-2811-2020-ie00001.svg\" width=\"32pt\" height=\"14pt\" src=\"essd-12-2811-2020-ie00001.png\"/&gt;&lt;/svg:svg&gt;&lt;/span&gt;&lt;/span&gt;&amp;thinsp;%). Results from this study are available at &lt;a href=\"https://doi.org/10.22008/promice/freshwater\"&gt;https://doi.org/10.22008/promice/freshwater&lt;/a&gt; &lt;span class=\"cit\" id=\"xref_paren.1\"&gt;(&lt;a href=\"#bib1.bibx55\"&gt;Mankoff&lt;/a&gt;, &lt;a href=\"#bib1.bibx55\"&gt;2020&lt;/a&gt;&lt;a href=\"#bib1.bibx55\"&gt;a&lt;/a&gt;)&lt;/span&gt; and code is available at &lt;span class=\"uri\"&gt;http://github.com/mankoff/freshwater&lt;/span&gt; (last access: 6 November 2020) &lt;span class=\"cit\" id=\"xref_paren.2\"&gt;(&lt;a href=\"#bib1.bibx56\"&gt;Mankoff&lt;/a&gt;, &lt;a href=\"#bib1.bibx56\"&gt;2020&lt;/a&gt;&lt;a href=\"#bib1.bibx56\"&gt;b&lt;/a&gt;)&lt;/span&gt;.&lt;/p&gt;","container-title":"Earth System Science Data","DOI":"10.5194/essd-12-2811-2020","ISSN":"1866-3508","issue":"4","language":"English","note":"publisher: Copernicus GmbH","page":"2811-2841","source":"essd.copernicus.org","title":"Greenland liquid water discharge from 1958 through 2019","volume":"12","author":[{"family":"Mankoff","given":"Kenneth D."},{"family":"Noël","given":"Brice"},{"family":"Fettweis","given":"Xavier"},{"family":"Ahlstrøm","given":"Andreas P."},{"family":"Colgan","given":"William"},{"family":"Kondo","given":"Ken"},{"family":"Langley","given":"Kirsty"},{"family":"Sugiyama","given":"Shin"},{"family":"As","given":"Dirk","non-dropping-particle":"van"},{"family":"Fausto","given":"Robert S."}],"issued":{"date-parts":[["2020",11,14]]}}}],"schema":"https://github.com/citation-style-language/schema/raw/master/csl-citation.json"} </w:instrText>
      </w:r>
      <w:r>
        <w:fldChar w:fldCharType="separate"/>
      </w:r>
      <w:r w:rsidR="004B46B0" w:rsidRPr="004B46B0">
        <w:rPr>
          <w:color w:val="000000"/>
          <w:vertAlign w:val="superscript"/>
        </w:rPr>
        <w:t>7</w:t>
      </w:r>
      <w:r>
        <w:fldChar w:fldCharType="end"/>
      </w:r>
      <w:r w:rsidR="005711BB">
        <w:t xml:space="preserve">. </w:t>
      </w:r>
      <w:r w:rsidR="007F462B">
        <w:t xml:space="preserve">In (b), </w:t>
      </w:r>
      <w:r w:rsidR="000E75DB">
        <w:t xml:space="preserve">upper and lower bounds are </w:t>
      </w:r>
      <m:oMath>
        <m:r>
          <w:rPr>
            <w:rFonts w:ascii="Cambria Math" w:hAnsi="Cambria Math"/>
          </w:rPr>
          <m:t>k=1.0</m:t>
        </m:r>
      </m:oMath>
      <w:r w:rsidR="000E75DB">
        <w:t xml:space="preserve"> and </w:t>
      </w:r>
      <m:oMath>
        <m:r>
          <w:rPr>
            <w:rFonts w:ascii="Cambria Math" w:hAnsi="Cambria Math"/>
          </w:rPr>
          <m:t>k=0.9</m:t>
        </m:r>
      </m:oMath>
      <w:r w:rsidR="000E75DB">
        <w:t xml:space="preserve">, respectively. In </w:t>
      </w:r>
      <w:r w:rsidR="005711BB">
        <w:t>(</w:t>
      </w:r>
      <w:r w:rsidR="000E75DB">
        <w:t>c</w:t>
      </w:r>
      <w:r w:rsidR="005711BB">
        <w:t>)</w:t>
      </w:r>
      <w:r w:rsidR="000E75DB">
        <w:t xml:space="preserve">, </w:t>
      </w:r>
      <w:r w:rsidR="00050087">
        <w:t xml:space="preserve">upper and lower bounds are </w:t>
      </w:r>
      <m:oMath>
        <m:r>
          <w:rPr>
            <w:rFonts w:ascii="Cambria Math" w:hAnsi="Cambria Math"/>
          </w:rPr>
          <m:t>k=1.1</m:t>
        </m:r>
      </m:oMath>
      <w:r w:rsidR="00050087">
        <w:t xml:space="preserve"> and </w:t>
      </w:r>
      <m:oMath>
        <m:r>
          <w:rPr>
            <w:rFonts w:ascii="Cambria Math" w:hAnsi="Cambria Math"/>
          </w:rPr>
          <m:t>k=0.9</m:t>
        </m:r>
      </m:oMath>
      <w:r w:rsidR="00A7713A">
        <w:t>, respectively.</w:t>
      </w:r>
      <w:r w:rsidR="00050087" w:rsidRPr="00050087">
        <w:t xml:space="preserve"> </w:t>
      </w:r>
      <w:r w:rsidR="00050087">
        <w:t>Central estimates are the average of the upper and lower contributing areas.</w:t>
      </w:r>
      <w:r w:rsidR="00D82CA2">
        <w:t xml:space="preserve"> </w:t>
      </w:r>
      <w:r w:rsidR="00B20AEF">
        <w:t>T</w:t>
      </w:r>
      <w:r w:rsidR="00050087">
        <w:t xml:space="preserve">he close fit in (b) suggests that </w:t>
      </w:r>
      <w:r w:rsidR="00D82CA2">
        <w:t xml:space="preserve">the </w:t>
      </w:r>
      <w:r w:rsidR="00050087">
        <w:t xml:space="preserve">AK4 contributing area is </w:t>
      </w:r>
      <w:r w:rsidR="00D82CA2">
        <w:t xml:space="preserve">in the range of the lower and upper boundaries </w:t>
      </w:r>
      <w:r w:rsidR="005259AE">
        <w:t xml:space="preserve">corresponding to </w:t>
      </w:r>
      <m:oMath>
        <m:r>
          <w:rPr>
            <w:rFonts w:ascii="Cambria Math" w:hAnsi="Cambria Math"/>
          </w:rPr>
          <m:t>k=1.0</m:t>
        </m:r>
      </m:oMath>
      <w:r w:rsidR="005259AE">
        <w:t xml:space="preserve"> and </w:t>
      </w:r>
      <m:oMath>
        <m:r>
          <w:rPr>
            <w:rFonts w:ascii="Cambria Math" w:hAnsi="Cambria Math"/>
          </w:rPr>
          <m:t>k=0.9</m:t>
        </m:r>
      </m:oMath>
      <w:r w:rsidR="005259AE">
        <w:t>, respectively</w:t>
      </w:r>
      <w:r w:rsidR="00D82CA2">
        <w:t>.</w:t>
      </w:r>
      <w:r w:rsidR="00AC6229">
        <w:br w:type="page"/>
      </w:r>
    </w:p>
    <w:p w14:paraId="6B44BDFA" w14:textId="77777777" w:rsidR="00AC6229" w:rsidRDefault="00AC6229" w:rsidP="00AC6229">
      <w:pPr>
        <w:pStyle w:val="Heading-Secondary"/>
        <w:ind w:left="0"/>
      </w:pPr>
      <w:r>
        <w:rPr>
          <w:noProof/>
        </w:rPr>
        <w:lastRenderedPageBreak/>
        <w:drawing>
          <wp:inline distT="0" distB="0" distL="0" distR="0" wp14:anchorId="71FF20FF" wp14:editId="63A1BFFC">
            <wp:extent cx="5943600" cy="2043430"/>
            <wp:effectExtent l="0" t="0" r="0" b="0"/>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piece of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43430"/>
                    </a:xfrm>
                    <a:prstGeom prst="rect">
                      <a:avLst/>
                    </a:prstGeom>
                  </pic:spPr>
                </pic:pic>
              </a:graphicData>
            </a:graphic>
          </wp:inline>
        </w:drawing>
      </w:r>
    </w:p>
    <w:p w14:paraId="47390845" w14:textId="45142A72" w:rsidR="00AC6229" w:rsidRDefault="00AC6229" w:rsidP="00AC6229">
      <w:pPr>
        <w:pStyle w:val="Caption"/>
      </w:pPr>
      <w:bookmarkStart w:id="0" w:name="_Ref47367486"/>
      <w:r>
        <w:t>Figure S</w:t>
      </w:r>
      <w:r w:rsidR="00202492">
        <w:fldChar w:fldCharType="begin"/>
      </w:r>
      <w:r w:rsidR="00202492">
        <w:instrText xml:space="preserve"> SEQ Figure \* ARABIC </w:instrText>
      </w:r>
      <w:r w:rsidR="00202492">
        <w:fldChar w:fldCharType="separate"/>
      </w:r>
      <w:r w:rsidR="00752C6E">
        <w:rPr>
          <w:noProof/>
        </w:rPr>
        <w:t>9</w:t>
      </w:r>
      <w:r w:rsidR="00202492">
        <w:rPr>
          <w:noProof/>
        </w:rPr>
        <w:fldChar w:fldCharType="end"/>
      </w:r>
      <w:bookmarkEnd w:id="0"/>
      <w:r>
        <w:t xml:space="preserve">: Values of (a) single-scattering </w:t>
      </w:r>
      <w:r w:rsidRPr="00735CA3">
        <w:t>extinction</w:t>
      </w:r>
      <w:r>
        <w:t xml:space="preserve"> coefficient </w:t>
      </w:r>
      <m:oMath>
        <m:sSub>
          <m:sSubPr>
            <m:ctrlPr>
              <w:rPr>
                <w:rFonts w:ascii="Cambria Math" w:hAnsi="Cambria Math"/>
                <w:i/>
              </w:rPr>
            </m:ctrlPr>
          </m:sSubPr>
          <m:e>
            <m:r>
              <w:rPr>
                <w:rFonts w:ascii="Cambria Math" w:hAnsi="Cambria Math"/>
              </w:rPr>
              <m:t>Q</m:t>
            </m:r>
          </m:e>
          <m:sub>
            <m:r>
              <m:rPr>
                <m:sty m:val="p"/>
              </m:rPr>
              <w:rPr>
                <w:rFonts w:ascii="Cambria Math" w:hAnsi="Cambria Math"/>
              </w:rPr>
              <m:t>ext</m:t>
            </m:r>
          </m:sub>
        </m:sSub>
      </m:oMath>
      <w:r>
        <w:t xml:space="preserve">, (b) single-scattering co-albedo </w:t>
      </w:r>
      <m:oMath>
        <m:r>
          <w:rPr>
            <w:rFonts w:ascii="Cambria Math" w:hAnsi="Cambria Math"/>
          </w:rPr>
          <m:t>1-ω</m:t>
        </m:r>
      </m:oMath>
      <w:r>
        <w:t xml:space="preserve">, and (c) asymmetry parameter </w:t>
      </w:r>
      <m:oMath>
        <m:r>
          <w:rPr>
            <w:rFonts w:ascii="Cambria Math" w:hAnsi="Cambria Math"/>
          </w:rPr>
          <m:t>g</m:t>
        </m:r>
      </m:oMath>
      <w:r>
        <w:t xml:space="preserve">, calculated with Mie scattering algorithms for an ensemble of grain sizes (N=1000) randomly drawn from a normal distribution with mean value 2.0 mm and standard deviation 0.3 mm. These single-scattering properties describe the extinction of shortwave radiation </w:t>
      </w:r>
      <w:r w:rsidR="0019451E">
        <w:t xml:space="preserve">due to absorption and scattering </w:t>
      </w:r>
      <w:r>
        <w:t xml:space="preserve">by </w:t>
      </w:r>
      <w:r w:rsidR="0019451E">
        <w:t xml:space="preserve">spherical </w:t>
      </w:r>
      <w:r>
        <w:t xml:space="preserve">ice grains. The mean values of each ensemble (thick blue lines) at 118 spectral bands that span the solar spectrum (here 0.3–3.03 </w:t>
      </w:r>
      <m:oMath>
        <m:r>
          <w:rPr>
            <w:rFonts w:ascii="Cambria Math" w:hAnsi="Cambria Math"/>
          </w:rPr>
          <m:t>μ</m:t>
        </m:r>
      </m:oMath>
      <w:r>
        <w:t xml:space="preserve">m) are used to calculate spectral flux extinction coefficients (Eq. </w:t>
      </w:r>
      <w:r>
        <w:fldChar w:fldCharType="begin"/>
      </w:r>
      <w:r w:rsidR="00C6104F">
        <w:instrText xml:space="preserve"> REF eq14 </w:instrText>
      </w:r>
      <w:r>
        <w:fldChar w:fldCharType="separate"/>
      </w:r>
      <m:oMath>
        <m:r>
          <m:rPr>
            <m:sty m:val="p"/>
          </m:rPr>
          <w:rPr>
            <w:rFonts w:ascii="Cambria Math" w:hAnsi="Cambria Math"/>
            <w:noProof/>
          </w:rPr>
          <m:t>13</m:t>
        </m:r>
        <m:r>
          <m:rPr>
            <m:sty m:val="p"/>
          </m:rPr>
          <w:rPr>
            <w:rFonts w:ascii="Cambria Math" w:hAnsi="Cambria Math"/>
            <w:noProof/>
          </w:rPr>
          <w:fldChar w:fldCharType="end"/>
        </m:r>
      </m:oMath>
      <w:r>
        <w:t xml:space="preserve">), which describe the extinction by absorption and scattering of shortwave radiation by a volume of ice grains having </w:t>
      </w:r>
      <w:r w:rsidR="0019451E">
        <w:t>a volume-to-surface-area ratio (</w:t>
      </w:r>
      <w:r>
        <w:t>effective optical radius</w:t>
      </w:r>
      <w:r w:rsidR="0019451E">
        <w:t>)</w:t>
      </w:r>
      <w:r>
        <w:t xml:space="preserve"> equivalent to the grain radius used for the Mie scattering calculations. </w:t>
      </w:r>
    </w:p>
    <w:p w14:paraId="1A56451D" w14:textId="34798C4C" w:rsidR="00AC6229" w:rsidRDefault="00AC6229">
      <w:pPr>
        <w:spacing w:before="0"/>
      </w:pPr>
      <w:r>
        <w:br w:type="page"/>
      </w:r>
    </w:p>
    <w:p w14:paraId="520D056C" w14:textId="77777777" w:rsidR="00AC6229" w:rsidRPr="00800253" w:rsidRDefault="00AC6229" w:rsidP="00AC6229">
      <w:pPr>
        <w:pStyle w:val="Text"/>
        <w:rPr>
          <w:rFonts w:eastAsiaTheme="minorEastAsia"/>
        </w:rPr>
      </w:pPr>
      <w:r>
        <w:rPr>
          <w:rFonts w:eastAsiaTheme="minorEastAsia"/>
          <w:noProof/>
        </w:rPr>
        <w:lastRenderedPageBreak/>
        <w:drawing>
          <wp:inline distT="0" distB="0" distL="0" distR="0" wp14:anchorId="09FB2423" wp14:editId="02A5FA22">
            <wp:extent cx="4233019" cy="3334407"/>
            <wp:effectExtent l="0" t="0" r="0" b="571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755" cy="3341289"/>
                    </a:xfrm>
                    <a:prstGeom prst="rect">
                      <a:avLst/>
                    </a:prstGeom>
                  </pic:spPr>
                </pic:pic>
              </a:graphicData>
            </a:graphic>
          </wp:inline>
        </w:drawing>
      </w:r>
    </w:p>
    <w:p w14:paraId="3FB36BF6" w14:textId="038F7089" w:rsidR="00D2173B" w:rsidRPr="003B1350" w:rsidRDefault="00AC6229" w:rsidP="003B1350">
      <w:pPr>
        <w:pStyle w:val="Caption"/>
      </w:pPr>
      <w:bookmarkStart w:id="1" w:name="_Ref47371014"/>
      <w:r w:rsidRPr="00735CA3">
        <w:t xml:space="preserve">Figure </w:t>
      </w:r>
      <w:r>
        <w:t>S</w:t>
      </w:r>
      <w:r w:rsidR="00202492">
        <w:fldChar w:fldCharType="begin"/>
      </w:r>
      <w:r w:rsidR="00202492">
        <w:instrText xml:space="preserve"> SEQ Figure \* ARABIC </w:instrText>
      </w:r>
      <w:r w:rsidR="00202492">
        <w:fldChar w:fldCharType="separate"/>
      </w:r>
      <w:r w:rsidR="00752C6E">
        <w:rPr>
          <w:noProof/>
        </w:rPr>
        <w:t>10</w:t>
      </w:r>
      <w:r w:rsidR="00202492">
        <w:rPr>
          <w:noProof/>
        </w:rPr>
        <w:fldChar w:fldCharType="end"/>
      </w:r>
      <w:bookmarkEnd w:id="1"/>
      <w:r w:rsidRPr="00735CA3">
        <w:t xml:space="preserve">: Values of spectral </w:t>
      </w:r>
      <w:r>
        <w:t xml:space="preserve">flux </w:t>
      </w:r>
      <w:r w:rsidRPr="00735CA3">
        <w:t xml:space="preserve">extinction coefficient, </w:t>
      </w:r>
      <m:oMath>
        <m:r>
          <w:rPr>
            <w:rFonts w:ascii="Cambria Math" w:hAnsi="Cambria Math"/>
          </w:rPr>
          <m:t>k</m:t>
        </m:r>
        <m:d>
          <m:dPr>
            <m:ctrlPr>
              <w:rPr>
                <w:rFonts w:ascii="Cambria Math" w:hAnsi="Cambria Math"/>
              </w:rPr>
            </m:ctrlPr>
          </m:dPr>
          <m:e>
            <m:r>
              <w:rPr>
                <w:rFonts w:ascii="Cambria Math" w:hAnsi="Cambria Math"/>
              </w:rPr>
              <m:t>λ</m:t>
            </m:r>
          </m:e>
        </m:d>
      </m:oMath>
      <w:r w:rsidRPr="00735CA3">
        <w:t xml:space="preserve">, for an ice volume with effective optical grain radius </w:t>
      </w:r>
      <m:oMath>
        <m:sSub>
          <m:sSubPr>
            <m:ctrlPr>
              <w:rPr>
                <w:rFonts w:ascii="Cambria Math" w:hAnsi="Cambria Math"/>
              </w:rPr>
            </m:ctrlPr>
          </m:sSubPr>
          <m:e>
            <m:r>
              <w:rPr>
                <w:rFonts w:ascii="Cambria Math" w:hAnsi="Cambria Math"/>
              </w:rPr>
              <m:t>r</m:t>
            </m:r>
          </m:e>
          <m:sub>
            <m:r>
              <m:rPr>
                <m:sty m:val="p"/>
              </m:rPr>
              <w:rPr>
                <w:rFonts w:ascii="Cambria Math" w:hAnsi="Cambria Math"/>
              </w:rPr>
              <m:t>eff</m:t>
            </m:r>
          </m:sub>
        </m:sSub>
        <m:r>
          <m:rPr>
            <m:sty m:val="p"/>
          </m:rPr>
          <w:rPr>
            <w:rFonts w:ascii="Cambria Math" w:hAnsi="Cambria Math"/>
          </w:rPr>
          <m:t>=</m:t>
        </m:r>
        <m:r>
          <w:rPr>
            <w:rFonts w:ascii="Cambria Math" w:hAnsi="Cambria Math"/>
          </w:rPr>
          <m:t>2.0±0.3</m:t>
        </m:r>
      </m:oMath>
      <w:r>
        <w:t xml:space="preserve"> mm</w:t>
      </w:r>
      <w:r w:rsidRPr="00735CA3">
        <w:t xml:space="preserve"> and bulk density </w:t>
      </w:r>
      <m:oMath>
        <m:r>
          <m:rPr>
            <m:sty m:val="p"/>
          </m:rPr>
          <w:rPr>
            <w:rFonts w:ascii="Cambria Math" w:hAnsi="Cambria Math"/>
          </w:rPr>
          <m:t xml:space="preserve">ρ=800 kg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t>,</w:t>
      </w:r>
      <w:r w:rsidRPr="00735CA3">
        <w:t xml:space="preserve"> calculated with Eq. </w:t>
      </w:r>
      <w:r>
        <w:fldChar w:fldCharType="begin"/>
      </w:r>
      <w:r w:rsidR="00DD6C7E">
        <w:instrText xml:space="preserve"> REF eq14  \* MERGEFORMAT </w:instrText>
      </w:r>
      <w:r>
        <w:fldChar w:fldCharType="separate"/>
      </w:r>
      <m:oMath>
        <m:r>
          <m:rPr>
            <m:sty m:val="p"/>
          </m:rPr>
          <w:rPr>
            <w:rFonts w:ascii="Cambria Math" w:hAnsi="Cambria Math"/>
          </w:rPr>
          <m:t>13</m:t>
        </m:r>
        <m:r>
          <m:rPr>
            <m:sty m:val="p"/>
          </m:rPr>
          <w:rPr>
            <w:rFonts w:ascii="Cambria Math" w:hAnsi="Cambria Math"/>
          </w:rPr>
          <w:fldChar w:fldCharType="end"/>
        </m:r>
      </m:oMath>
      <w:r w:rsidRPr="00735CA3">
        <w:t xml:space="preserve"> (theoretical values) </w:t>
      </w:r>
      <w:r w:rsidR="003B1350">
        <w:t xml:space="preserve">using the single scattering properties in Figure </w:t>
      </w:r>
      <w:r w:rsidR="00EC764D">
        <w:t>S</w:t>
      </w:r>
      <w:r w:rsidR="00752C6E">
        <w:t>9</w:t>
      </w:r>
      <w:r w:rsidR="003B1350">
        <w:t xml:space="preserve">, </w:t>
      </w:r>
      <w:r>
        <w:t xml:space="preserve">and field-calibrated values calculated with Eq. </w:t>
      </w:r>
      <w:r w:rsidR="00EC764D">
        <w:t>14</w:t>
      </w:r>
      <w:r>
        <w:t xml:space="preserve"> using ice absorption coefficient values obtained from measurements of solar flux attenuation in glacier ice in the Greenland Ice Sheet ablation zone</w:t>
      </w:r>
      <w:r>
        <w:fldChar w:fldCharType="begin"/>
      </w:r>
      <w:r w:rsidR="004B46B0">
        <w:instrText xml:space="preserve"> ADDIN ZOTERO_ITEM CSL_CITATION {"citationID":"gad4VrFM","properties":{"formattedCitation":"\\super 9\\nosupersub{}","plainCitation":"9","noteIndex":0},"citationItems":[{"id":99,"uris":["http://zotero.org/users/1282866/items/LZKXD26A"],"uri":["http://zotero.org/users/1282866/items/LZKXD26A"],"itemData":{"id":99,"type":"article-journal","abstract":"Light transmission into bare glacial ice affects surface energy balance, bio-photochemical cycling, and light detection and ranging (LiDAR) laser elevation measurements but has not previously been reported for the Greenland Ice Sheet. We present in-ice solar irradiance measured over the spectral range 350–900 nm and 12–77 cm depth collected at a site in the western Greenland ablation zone. The acquired spectral irradiance measurements are used to calculate flux attenuation coefficients using an exponential decay Bouguer law model and are compared to values calculated from two-stream radiative transfer theory. Relative to asymptotic two-stream theory, our empirical attenuation coefficients are up to one order of magnitude larger in the range 350–530 nm, suggesting light absorbing particles embedded in ice enhance visible light absorption at our field site. The empirical coefficients accurately describe light attenuation in the ice interior but underestimate light attenuation near the ice surface. Consequently, Bouguer’s law overestimates transmitted flux by up to 50 % depending on wavelength. Refraction is unlikely to explain the discrepancy. Instead, vertical variation in the ice microstructure and the concentration of light absorbing particles appears to enhance near-surface attenuation at our field site. The magnitude of this near-surface attenuation implies that optical penetration depth is lower by up to 19 cm (28 %) at wavelengths relevant to visible-wavelength lidar altimetry of ice surface elevation (e.g. 532 nm for the Ice, Cloud, and Land Elevation Satellite-2) than is suggested by e-folding depths inferred from two stream theory for optically pure glacier ice. This enhanced near-surface attenuation implies shallower light transmission and therefore lower subsurface light availability for subsurface radiative heating and bio-photochemical cycling. We recommend radiative transfer models applied to bare ice in the Greenland Ice Sheet ablation zone account for vertical variation in light attenuation due to the vertical distribution of light absorbing particles and ice microstructure, and we provide new values of flux attenuation, absorption, and scattering coefficients to support model validation and parameterization.","container-title":"The Cryosphere Discussions","DOI":"10.5194/tc-2020-53","source":"DOI.org (Crossref)","title":"First spectral measurements of light attenuation in Greenland Ice Sheet bare ice suggest shallower subsurface radiative heating and ICESat-2 penetration depth in the ablation zone","URL":"https://www.the-cryosphere-discuss.net/tc-2020-53/","author":[{"family":"Cooper","given":"Matthew G."},{"family":"Smith","given":"Laurence C."},{"family":"Rennermalm","given":"Åsa K."},{"family":"Tedesco","given":"Marco"},{"family":"Muthyala","given":"Rohi"},{"family":"Leidman","given":"Sasha Z."},{"family":"Moustafa","given":"Samiah E."},{"family":"Fayne","given":"Jessica V."}],"accessed":{"date-parts":[["2020",3,25]]},"issued":{"date-parts":[["2020",3,17]]}}}],"schema":"https://github.com/citation-style-language/schema/raw/master/csl-citation.json"} </w:instrText>
      </w:r>
      <w:r>
        <w:fldChar w:fldCharType="separate"/>
      </w:r>
      <w:r w:rsidR="004B46B0" w:rsidRPr="004B46B0">
        <w:rPr>
          <w:color w:val="000000"/>
          <w:vertAlign w:val="superscript"/>
        </w:rPr>
        <w:t>9</w:t>
      </w:r>
      <w:r>
        <w:fldChar w:fldCharType="end"/>
      </w:r>
      <w:r>
        <w:t xml:space="preserve">. The higher values in the spectral region 0.3–0.7 </w:t>
      </w:r>
      <m:oMath>
        <m:r>
          <w:rPr>
            <w:rFonts w:ascii="Cambria Math" w:hAnsi="Cambria Math"/>
          </w:rPr>
          <m:t>μ</m:t>
        </m:r>
      </m:oMath>
      <w:r>
        <w:t xml:space="preserve">m are caused by </w:t>
      </w:r>
      <w:r w:rsidR="00EC764D">
        <w:t>light absorbing</w:t>
      </w:r>
      <w:r>
        <w:t xml:space="preserve"> impurities present within the ice column in the Greenland Ice Sheet ablation zone.</w:t>
      </w:r>
      <w:r w:rsidRPr="007863F1">
        <w:t xml:space="preserve"> </w:t>
      </w:r>
      <w:r w:rsidR="006A17B6">
        <w:br w:type="page"/>
      </w:r>
    </w:p>
    <w:p w14:paraId="52BF8721" w14:textId="2BEA1FAF" w:rsidR="00AC6229" w:rsidRPr="00234B3E" w:rsidRDefault="00AC6229" w:rsidP="00AC6229">
      <w:pPr>
        <w:pStyle w:val="Heading-Secondary"/>
        <w:ind w:left="0"/>
        <w:rPr>
          <w:b/>
          <w:bCs w:val="0"/>
        </w:rPr>
      </w:pPr>
      <w:r>
        <w:rPr>
          <w:b/>
          <w:bCs w:val="0"/>
        </w:rPr>
        <w:lastRenderedPageBreak/>
        <w:t xml:space="preserve">2 </w:t>
      </w:r>
      <w:r w:rsidRPr="00234B3E">
        <w:rPr>
          <w:b/>
          <w:bCs w:val="0"/>
        </w:rPr>
        <w:t>Supplementary</w:t>
      </w:r>
      <w:r>
        <w:rPr>
          <w:b/>
          <w:bCs w:val="0"/>
        </w:rPr>
        <w:t xml:space="preserve"> Text</w:t>
      </w:r>
    </w:p>
    <w:p w14:paraId="13FC8949" w14:textId="04F82B6C" w:rsidR="00AC6229" w:rsidRDefault="00AC6229" w:rsidP="00234B3E">
      <w:pPr>
        <w:pStyle w:val="Heading-Secondary"/>
        <w:ind w:left="0"/>
        <w:rPr>
          <w:b/>
          <w:bCs w:val="0"/>
        </w:rPr>
      </w:pPr>
      <w:r>
        <w:rPr>
          <w:b/>
          <w:bCs w:val="0"/>
        </w:rPr>
        <w:t xml:space="preserve">2.1 </w:t>
      </w:r>
      <w:r w:rsidRPr="00234B3E">
        <w:rPr>
          <w:b/>
          <w:bCs w:val="0"/>
        </w:rPr>
        <w:t>Supplementary</w:t>
      </w:r>
      <w:r>
        <w:rPr>
          <w:b/>
          <w:bCs w:val="0"/>
        </w:rPr>
        <w:t xml:space="preserve"> Methods</w:t>
      </w:r>
    </w:p>
    <w:p w14:paraId="6A1D23D0" w14:textId="088FA620" w:rsidR="00C65BA8" w:rsidRPr="00234B3E" w:rsidRDefault="00AC6229" w:rsidP="00234B3E">
      <w:pPr>
        <w:pStyle w:val="Heading-Secondary"/>
        <w:ind w:left="0"/>
        <w:rPr>
          <w:b/>
          <w:bCs w:val="0"/>
        </w:rPr>
      </w:pPr>
      <w:r>
        <w:rPr>
          <w:b/>
          <w:bCs w:val="0"/>
        </w:rPr>
        <w:t xml:space="preserve">2.1.1 </w:t>
      </w:r>
      <w:r w:rsidR="003B1350">
        <w:rPr>
          <w:b/>
          <w:bCs w:val="0"/>
        </w:rPr>
        <w:t>Description of IceModel</w:t>
      </w:r>
    </w:p>
    <w:p w14:paraId="2B7E545E" w14:textId="51496718" w:rsidR="00050237" w:rsidRDefault="004A7580" w:rsidP="003B1350">
      <w:pPr>
        <w:pStyle w:val="Text"/>
        <w:ind w:firstLine="0"/>
      </w:pPr>
      <w:r>
        <w:t>I</w:t>
      </w:r>
      <w:r w:rsidR="00C65BA8" w:rsidRPr="00C65BA8">
        <w:t xml:space="preserve">ce </w:t>
      </w:r>
      <w:r w:rsidR="003244F2">
        <w:t xml:space="preserve">temperature, </w:t>
      </w:r>
      <w:r w:rsidR="00C65BA8" w:rsidRPr="00C65BA8">
        <w:t>meltwater production</w:t>
      </w:r>
      <w:r>
        <w:t>,</w:t>
      </w:r>
      <w:r w:rsidR="003244F2">
        <w:t xml:space="preserve"> and</w:t>
      </w:r>
      <w:r>
        <w:t xml:space="preserve"> refreezing</w:t>
      </w:r>
      <w:r w:rsidR="00C65BA8" w:rsidRPr="00C65BA8">
        <w:t xml:space="preserve"> </w:t>
      </w:r>
      <w:r>
        <w:t xml:space="preserve">are calculated </w:t>
      </w:r>
      <w:r w:rsidR="00C65BA8" w:rsidRPr="00C65BA8">
        <w:t>using a one-dimensional coupled model of mass and heat transport</w:t>
      </w:r>
      <w:r w:rsidR="000673F8">
        <w:t>. Following Liston et al.</w:t>
      </w:r>
      <w:r w:rsidR="000673F8">
        <w:fldChar w:fldCharType="begin"/>
      </w:r>
      <w:r w:rsidR="004B46B0">
        <w:instrText xml:space="preserve"> ADDIN ZOTERO_ITEM CSL_CITATION {"citationID":"qdQeooRV","properties":{"formattedCitation":"\\super 10\\nosupersub{}","plainCitation":"10","noteIndex":0},"citationItems":[{"id":1990,"uris":["http://zotero.org/users/1282866/items/L8BTXGUM"],"uri":["http://zotero.org/users/1282866/items/L8BTXGUM"],"itemData":{"id":1990,"type":"article-journal","abstract":"In the Jutulgryta area of Dronning Maud Land, Antarctica, subsurface melting of the ice sheet has been observed. The melting takes place during the summer months in blue-ice areas under conditions of below-freezing air and surface temperatures. Adjacent snow-covered regions, having the same meteorological and climatic conditions, experience little or no subsurface melting. To help explain and understand the observed melt-rate differences in the blue-ice and snow-covered areas, a physically based numerical model of the coupled atmosphere, radiation, snow and blue-ice system has been developed. The model comprises a heat-transfer equation which includes a spectrally dependent solar-radiation source term. The penetration of radiation into the snow and blue ice depends on the solar-radiation spectrum, the surface albedo and the snow and blue-ice grain-sizes and densities. In addition, the model uses a complete surface energy balance to define the surface boundary conditions. It is run over the full annual cycle, simulating temperature profiles and melting and freezing quantities throughout the summer and winter seasons. The model is driven and validated using field observations collected during the Norwegian Antarctic Research Expedition (NARE) 1996‐97. The simulations suggest that the observed differences between subsurface snow and blue-ice melting can be explained largely by radiative and heat-transfer interactions resulting from differences in albedo, grain-size and density between the two mediums.","container-title":"Journal of Glaciology","DOI":"10.3189/S0022143000001775","ISSN":"0022-1430, 1727-5652","issue":"150","journalAbbreviation":"Journal of Glaciology","language":"en","page":"273-285","source":"Cambridge Core","title":"Below-surface ice melt on the coastal Antarctic ice sheet","volume":"45","author":[{"family":"Liston","given":"Glen E."},{"family":"Winther","given":"Jan-Gunnar"},{"family":"Bruland","given":"Oddbjørn"},{"family":"Elvehøy","given":"Hallgeir"},{"family":"Sand","given":"Knut"}],"issued":{"date-parts":[["1999",1,1]]}}}],"schema":"https://github.com/citation-style-language/schema/raw/master/csl-citation.json"} </w:instrText>
      </w:r>
      <w:r w:rsidR="000673F8">
        <w:fldChar w:fldCharType="separate"/>
      </w:r>
      <w:r w:rsidR="004B46B0" w:rsidRPr="004B46B0">
        <w:rPr>
          <w:vertAlign w:val="superscript"/>
        </w:rPr>
        <w:t>10</w:t>
      </w:r>
      <w:r w:rsidR="000673F8">
        <w:fldChar w:fldCharType="end"/>
      </w:r>
      <w:r w:rsidR="000673F8">
        <w:t>:</w:t>
      </w:r>
    </w:p>
    <w:p w14:paraId="12FD558A" w14:textId="1F1D1B0C" w:rsidR="003C2C6E" w:rsidRPr="003C2C6E" w:rsidRDefault="00202492" w:rsidP="00234B3E">
      <w:pPr>
        <w:pStyle w:val="MyEquation"/>
      </w:pPr>
      <m:oMathPara>
        <m:oMath>
          <m:eqArr>
            <m:eqArrPr>
              <m:maxDist m:val="1"/>
              <m:ctrlPr/>
            </m:eqArrPr>
            <m:e>
              <m:sSub>
                <m:sSubPr>
                  <m:ctrlPr/>
                </m:sSubPr>
                <m:e>
                  <m:r>
                    <m:t>C</m:t>
                  </m:r>
                </m:e>
                <m:sub>
                  <m:r>
                    <m:t>v</m:t>
                  </m:r>
                </m:sub>
              </m:sSub>
              <m:f>
                <m:fPr>
                  <m:ctrlPr/>
                </m:fPr>
                <m:num>
                  <m:r>
                    <m:t>∂</m:t>
                  </m:r>
                  <m:sSub>
                    <m:sSubPr>
                      <m:ctrlPr/>
                    </m:sSubPr>
                    <m:e>
                      <m:r>
                        <m:t>T</m:t>
                      </m:r>
                    </m:e>
                    <m:sub>
                      <m:r>
                        <m:t>i</m:t>
                      </m:r>
                    </m:sub>
                  </m:sSub>
                </m:num>
                <m:den>
                  <m:r>
                    <m:t>∂t</m:t>
                  </m:r>
                </m:den>
              </m:f>
              <m:r>
                <m:t>-</m:t>
              </m:r>
              <m:sSub>
                <m:sSubPr>
                  <m:ctrlPr>
                    <w:rPr>
                      <w:rFonts w:eastAsiaTheme="minorEastAsia"/>
                    </w:rPr>
                  </m:ctrlPr>
                </m:sSubPr>
                <m:e>
                  <m:r>
                    <w:rPr>
                      <w:rFonts w:eastAsiaTheme="minorEastAsia"/>
                    </w:rPr>
                    <m:t>ρ</m:t>
                  </m:r>
                </m:e>
                <m:sub>
                  <m:r>
                    <w:rPr>
                      <w:rFonts w:eastAsiaTheme="minorEastAsia"/>
                    </w:rPr>
                    <m:t>i</m:t>
                  </m:r>
                </m:sub>
              </m:sSub>
              <m:sSub>
                <m:sSubPr>
                  <m:ctrlPr>
                    <w:rPr>
                      <w:rFonts w:eastAsiaTheme="minorEastAsia"/>
                    </w:rPr>
                  </m:ctrlPr>
                </m:sSubPr>
                <m:e>
                  <m:r>
                    <w:rPr>
                      <w:rFonts w:eastAsiaTheme="minorEastAsia"/>
                    </w:rPr>
                    <m:t>L</m:t>
                  </m:r>
                </m:e>
                <m:sub>
                  <m:r>
                    <w:rPr>
                      <w:rFonts w:eastAsiaTheme="minorEastAsia"/>
                    </w:rPr>
                    <m:t>f</m:t>
                  </m:r>
                </m:sub>
              </m:sSub>
              <m:f>
                <m:fPr>
                  <m:ctrlPr/>
                </m:fPr>
                <m:num>
                  <m:r>
                    <m:t>∂</m:t>
                  </m:r>
                  <m:sSub>
                    <m:sSubPr>
                      <m:ctrlPr/>
                    </m:sSubPr>
                    <m:e>
                      <m:r>
                        <m:t>θ</m:t>
                      </m:r>
                    </m:e>
                    <m:sub>
                      <m:r>
                        <m:t>i</m:t>
                      </m:r>
                    </m:sub>
                  </m:sSub>
                </m:num>
                <m:den>
                  <m:r>
                    <m:t>∂t</m:t>
                  </m:r>
                </m:den>
              </m:f>
              <m:r>
                <m:t xml:space="preserve">= </m:t>
              </m:r>
              <m:f>
                <m:fPr>
                  <m:ctrlPr/>
                </m:fPr>
                <m:num>
                  <m:r>
                    <m:t>∂</m:t>
                  </m:r>
                </m:num>
                <m:den>
                  <m:r>
                    <m:t>∂z</m:t>
                  </m:r>
                </m:den>
              </m:f>
              <m:d>
                <m:dPr>
                  <m:begChr m:val="["/>
                  <m:endChr m:val="]"/>
                  <m:ctrlPr/>
                </m:dPr>
                <m:e>
                  <m:sSub>
                    <m:sSubPr>
                      <m:ctrlPr/>
                    </m:sSubPr>
                    <m:e>
                      <m:r>
                        <m:t>(k</m:t>
                      </m:r>
                    </m:e>
                    <m:sub>
                      <m:r>
                        <m:t>i</m:t>
                      </m:r>
                    </m:sub>
                  </m:sSub>
                  <m:r>
                    <m:t>+</m:t>
                  </m:r>
                  <m:sSub>
                    <m:sSubPr>
                      <m:ctrlPr/>
                    </m:sSubPr>
                    <m:e>
                      <m:r>
                        <m:t>k</m:t>
                      </m:r>
                    </m:e>
                    <m:sub>
                      <m:r>
                        <m:t>v</m:t>
                      </m:r>
                    </m:sub>
                  </m:sSub>
                  <m:r>
                    <m:t>)</m:t>
                  </m:r>
                  <m:f>
                    <m:fPr>
                      <m:ctrlPr/>
                    </m:fPr>
                    <m:num>
                      <m:r>
                        <m:t>∂</m:t>
                      </m:r>
                      <m:sSub>
                        <m:sSubPr>
                          <m:ctrlPr/>
                        </m:sSubPr>
                        <m:e>
                          <m:r>
                            <m:t>T</m:t>
                          </m:r>
                        </m:e>
                        <m:sub>
                          <m:r>
                            <m:t>i</m:t>
                          </m:r>
                        </m:sub>
                      </m:sSub>
                    </m:num>
                    <m:den>
                      <m:r>
                        <m:t>∂z</m:t>
                      </m:r>
                    </m:den>
                  </m:f>
                </m:e>
              </m:d>
              <m:r>
                <m:t>-</m:t>
              </m:r>
              <m:f>
                <m:fPr>
                  <m:ctrlPr/>
                </m:fPr>
                <m:num>
                  <m:r>
                    <m:t>∂q</m:t>
                  </m:r>
                </m:num>
                <m:den>
                  <m:r>
                    <m:t>∂z</m:t>
                  </m:r>
                </m:den>
              </m:f>
              <m:r>
                <w:rPr>
                  <w:rFonts w:eastAsiaTheme="minorEastAsia"/>
                </w:rPr>
                <m:t>-</m:t>
              </m:r>
              <m:sSub>
                <m:sSubPr>
                  <m:ctrlPr>
                    <w:rPr>
                      <w:rFonts w:eastAsiaTheme="minorEastAsia"/>
                    </w:rPr>
                  </m:ctrlPr>
                </m:sSubPr>
                <m:e>
                  <m:r>
                    <w:rPr>
                      <w:rFonts w:eastAsiaTheme="minorEastAsia"/>
                    </w:rPr>
                    <m:t>v</m:t>
                  </m:r>
                </m:e>
                <m:sub>
                  <m:r>
                    <w:rPr>
                      <w:rFonts w:eastAsiaTheme="minorEastAsia"/>
                    </w:rPr>
                    <m:t>i</m:t>
                  </m:r>
                </m:sub>
              </m:sSub>
              <m:sSub>
                <m:sSubPr>
                  <m:ctrlPr/>
                </m:sSubPr>
                <m:e>
                  <m:r>
                    <m:t>C</m:t>
                  </m:r>
                </m:e>
                <m:sub>
                  <m:r>
                    <m:t>p</m:t>
                  </m:r>
                </m:sub>
              </m:sSub>
              <m:f>
                <m:fPr>
                  <m:ctrlPr/>
                </m:fPr>
                <m:num>
                  <m:r>
                    <m:t>∂</m:t>
                  </m:r>
                  <m:sSub>
                    <m:sSubPr>
                      <m:ctrlPr/>
                    </m:sSubPr>
                    <m:e>
                      <m:r>
                        <m:t>T</m:t>
                      </m:r>
                    </m:e>
                    <m:sub>
                      <m:r>
                        <m:t>i</m:t>
                      </m:r>
                    </m:sub>
                  </m:sSub>
                </m:num>
                <m:den>
                  <m:r>
                    <m:t>∂z</m:t>
                  </m:r>
                </m:den>
              </m:f>
              <m:r>
                <m:t xml:space="preserve"> #</m:t>
              </m:r>
              <m:d>
                <m:dPr>
                  <m:ctrlPr/>
                </m:dPr>
                <m:e>
                  <w:bookmarkStart w:id="2" w:name="eq2"/>
                  <w:bookmarkStart w:id="3" w:name="eq1"/>
                  <m:r>
                    <w:fldChar w:fldCharType="begin"/>
                  </m:r>
                  <m:r>
                    <m:t xml:space="preserve"> SEQ Equation \* ARABIC </m:t>
                  </m:r>
                  <m:r>
                    <w:fldChar w:fldCharType="separate"/>
                  </m:r>
                  <m:r>
                    <w:rPr>
                      <w:noProof/>
                    </w:rPr>
                    <m:t>1</m:t>
                  </m:r>
                  <m:r>
                    <w:fldChar w:fldCharType="end"/>
                  </m:r>
                  <w:bookmarkEnd w:id="2"/>
                  <w:bookmarkEnd w:id="3"/>
                </m:e>
              </m:d>
            </m:e>
          </m:eqArr>
        </m:oMath>
      </m:oMathPara>
    </w:p>
    <w:p w14:paraId="398601F9" w14:textId="35B14CA4" w:rsidR="004A1BC0" w:rsidRDefault="00C65BA8" w:rsidP="00234B3E">
      <w:pPr>
        <w:pStyle w:val="Text"/>
        <w:ind w:firstLine="0"/>
        <w:rPr>
          <w:rFonts w:eastAsiaTheme="minorEastAsia"/>
        </w:rPr>
      </w:pPr>
      <w:r w:rsidRPr="00C65BA8">
        <w:rPr>
          <w:rFonts w:eastAsiaTheme="minorEastAsia"/>
        </w:rPr>
        <w:t xml:space="preserve">where </w:t>
      </w:r>
      <m:oMath>
        <m:sSub>
          <m:sSubPr>
            <m:ctrlPr>
              <w:rPr>
                <w:rFonts w:ascii="Cambria Math" w:hAnsi="Cambria Math"/>
                <w:i/>
              </w:rPr>
            </m:ctrlPr>
          </m:sSubPr>
          <m:e>
            <m:r>
              <w:rPr>
                <w:rFonts w:ascii="Cambria Math" w:hAnsi="Cambria Math"/>
              </w:rPr>
              <m:t>ρ</m:t>
            </m:r>
          </m:e>
          <m:sub>
            <m:r>
              <m:rPr>
                <m:sty m:val="p"/>
              </m:rPr>
              <w:rPr>
                <w:rFonts w:ascii="Cambria Math" w:hAnsi="Cambria Math"/>
              </w:rPr>
              <m:t>i</m:t>
            </m:r>
          </m:sub>
        </m:sSub>
      </m:oMath>
      <w:r w:rsidRPr="00C65BA8">
        <w:rPr>
          <w:rFonts w:eastAsiaTheme="minorEastAsia"/>
        </w:rPr>
        <w:t xml:space="preserve"> [kg m</w:t>
      </w:r>
      <w:r w:rsidRPr="00C65BA8">
        <w:rPr>
          <w:rFonts w:eastAsiaTheme="minorEastAsia"/>
          <w:vertAlign w:val="superscript"/>
        </w:rPr>
        <w:t>-3</w:t>
      </w:r>
      <w:r w:rsidRPr="00C65BA8">
        <w:rPr>
          <w:rFonts w:eastAsiaTheme="minorEastAsia"/>
        </w:rPr>
        <w:t xml:space="preserve">] is </w:t>
      </w:r>
      <w:r w:rsidR="00501630">
        <w:rPr>
          <w:rFonts w:eastAsiaTheme="minorEastAsia"/>
        </w:rPr>
        <w:t xml:space="preserve">solid </w:t>
      </w:r>
      <w:r w:rsidRPr="00C65BA8">
        <w:rPr>
          <w:rFonts w:eastAsiaTheme="minorEastAsia"/>
        </w:rPr>
        <w:t xml:space="preserve">ice density, </w:t>
      </w:r>
      <m:oMath>
        <m:sSub>
          <m:sSubPr>
            <m:ctrlPr>
              <w:rPr>
                <w:rFonts w:ascii="Cambria Math" w:hAnsi="Cambria Math"/>
                <w:i/>
              </w:rPr>
            </m:ctrlPr>
          </m:sSubPr>
          <m:e>
            <m:r>
              <w:rPr>
                <w:rFonts w:ascii="Cambria Math" w:hAnsi="Cambria Math"/>
              </w:rPr>
              <m:t>C</m:t>
            </m:r>
          </m:e>
          <m:sub>
            <m:r>
              <m:rPr>
                <m:sty m:val="p"/>
              </m:rPr>
              <w:rPr>
                <w:rFonts w:ascii="Cambria Math" w:hAnsi="Cambria Math"/>
              </w:rPr>
              <m:t>v</m:t>
            </m:r>
          </m:sub>
        </m:sSub>
      </m:oMath>
      <w:r w:rsidRPr="00C65BA8">
        <w:rPr>
          <w:rFonts w:eastAsiaTheme="minorEastAsia"/>
        </w:rPr>
        <w:t xml:space="preserve"> [J </w:t>
      </w:r>
      <w:r w:rsidR="00EB0B46">
        <w:rPr>
          <w:rFonts w:eastAsiaTheme="minorEastAsia"/>
        </w:rPr>
        <w:t>m</w:t>
      </w:r>
      <w:r w:rsidRPr="00C65BA8">
        <w:rPr>
          <w:rFonts w:eastAsiaTheme="minorEastAsia"/>
          <w:vertAlign w:val="superscript"/>
        </w:rPr>
        <w:t>-</w:t>
      </w:r>
      <w:r w:rsidR="00EB0B46">
        <w:rPr>
          <w:rFonts w:eastAsiaTheme="minorEastAsia"/>
          <w:vertAlign w:val="superscript"/>
        </w:rPr>
        <w:t>3</w:t>
      </w:r>
      <w:r w:rsidRPr="00C65BA8">
        <w:rPr>
          <w:rFonts w:eastAsiaTheme="minorEastAsia"/>
        </w:rPr>
        <w:t xml:space="preserve"> K</w:t>
      </w:r>
      <w:r w:rsidRPr="00C65BA8">
        <w:rPr>
          <w:rFonts w:eastAsiaTheme="minorEastAsia"/>
          <w:vertAlign w:val="superscript"/>
        </w:rPr>
        <w:t>-1</w:t>
      </w:r>
      <w:r w:rsidRPr="00C65BA8">
        <w:rPr>
          <w:rFonts w:eastAsiaTheme="minorEastAsia"/>
        </w:rPr>
        <w:t>] is volumetric specific heat capacit</w:t>
      </w:r>
      <w:r w:rsidR="00EB0B46">
        <w:rPr>
          <w:rFonts w:eastAsiaTheme="minorEastAsia"/>
        </w:rPr>
        <w:t>y</w:t>
      </w:r>
      <w:r w:rsidRPr="00C65BA8">
        <w:rPr>
          <w:rFonts w:eastAsiaTheme="minorEastAsia"/>
        </w:rPr>
        <w:t xml:space="preserve">,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oMath>
      <w:r w:rsidRPr="00C65BA8">
        <w:rPr>
          <w:rFonts w:eastAsiaTheme="minorEastAsia"/>
        </w:rPr>
        <w:t xml:space="preserve"> [K] is ice temperature, </w:t>
      </w:r>
      <m:oMath>
        <m:sSub>
          <m:sSubPr>
            <m:ctrlPr>
              <w:rPr>
                <w:rFonts w:ascii="Cambria Math" w:eastAsiaTheme="minorEastAsia" w:hAnsi="Cambria Math"/>
                <w:i/>
              </w:rPr>
            </m:ctrlPr>
          </m:sSubPr>
          <m:e>
            <m:r>
              <w:rPr>
                <w:rFonts w:ascii="Cambria Math" w:eastAsiaTheme="minorEastAsia" w:hAnsi="Cambria Math"/>
              </w:rPr>
              <m:t>L</m:t>
            </m:r>
          </m:e>
          <m:sub>
            <m:r>
              <m:rPr>
                <m:sty m:val="p"/>
              </m:rPr>
              <w:rPr>
                <w:rFonts w:ascii="Cambria Math" w:eastAsiaTheme="minorEastAsia" w:hAnsi="Cambria Math"/>
              </w:rPr>
              <m:t>f</m:t>
            </m:r>
          </m:sub>
        </m:sSub>
      </m:oMath>
      <w:r w:rsidRPr="00C65BA8">
        <w:rPr>
          <w:rFonts w:eastAsiaTheme="minorEastAsia"/>
        </w:rPr>
        <w:t xml:space="preserve"> [J kg</w:t>
      </w:r>
      <w:r w:rsidRPr="00C65BA8">
        <w:rPr>
          <w:rFonts w:eastAsiaTheme="minorEastAsia"/>
          <w:vertAlign w:val="superscript"/>
        </w:rPr>
        <w:t>-1</w:t>
      </w:r>
      <w:r w:rsidRPr="00C65BA8">
        <w:rPr>
          <w:rFonts w:eastAsiaTheme="minorEastAsia"/>
        </w:rPr>
        <w:t xml:space="preserve">] is the latent heat of fusion of ice, </w:t>
      </w:r>
      <m:oMath>
        <m:sSub>
          <m:sSubPr>
            <m:ctrlPr>
              <w:rPr>
                <w:rFonts w:ascii="Cambria Math" w:hAnsi="Cambria Math"/>
                <w:i/>
              </w:rPr>
            </m:ctrlPr>
          </m:sSubPr>
          <m:e>
            <m:r>
              <w:rPr>
                <w:rFonts w:ascii="Cambria Math" w:hAnsi="Cambria Math"/>
              </w:rPr>
              <m:t>θ</m:t>
            </m:r>
          </m:e>
          <m:sub>
            <m:r>
              <m:rPr>
                <m:sty m:val="p"/>
              </m:rPr>
              <w:rPr>
                <w:rFonts w:ascii="Cambria Math" w:hAnsi="Cambria Math"/>
              </w:rPr>
              <m:t>i</m:t>
            </m:r>
          </m:sub>
        </m:sSub>
      </m:oMath>
      <w:r w:rsidRPr="00C65BA8">
        <w:rPr>
          <w:rFonts w:eastAsiaTheme="minorEastAsia"/>
        </w:rPr>
        <w:t xml:space="preserve"> [m</w:t>
      </w:r>
      <w:r w:rsidRPr="00C65BA8">
        <w:rPr>
          <w:rFonts w:eastAsiaTheme="minorEastAsia"/>
          <w:vertAlign w:val="superscript"/>
        </w:rPr>
        <w:t>3</w:t>
      </w:r>
      <w:r w:rsidRPr="00C65BA8">
        <w:rPr>
          <w:rFonts w:eastAsiaTheme="minorEastAsia"/>
        </w:rPr>
        <w:t xml:space="preserve"> m</w:t>
      </w:r>
      <w:r w:rsidRPr="00C65BA8">
        <w:rPr>
          <w:rFonts w:eastAsiaTheme="minorEastAsia"/>
          <w:vertAlign w:val="superscript"/>
        </w:rPr>
        <w:t>-3</w:t>
      </w:r>
      <w:r w:rsidRPr="00C65BA8">
        <w:rPr>
          <w:rFonts w:eastAsiaTheme="minorEastAsia"/>
        </w:rPr>
        <w:t xml:space="preserve">] is volumetric ice content, </w:t>
      </w:r>
      <m:oMath>
        <m:r>
          <w:rPr>
            <w:rFonts w:ascii="Cambria Math" w:eastAsiaTheme="minorEastAsia" w:hAnsi="Cambria Math"/>
          </w:rPr>
          <m:t>z</m:t>
        </m:r>
      </m:oMath>
      <w:r w:rsidRPr="00C65BA8">
        <w:rPr>
          <w:rFonts w:eastAsiaTheme="minorEastAsia"/>
        </w:rPr>
        <w:t xml:space="preserve"> [m] is distance in the vertical dimension, </w:t>
      </w:r>
      <m:oMath>
        <m:r>
          <m:rPr>
            <m:sty m:val="p"/>
          </m:rPr>
          <w:rPr>
            <w:rFonts w:ascii="Cambria Math" w:hAnsi="Cambria Math"/>
          </w:rPr>
          <m:t>∂q/∂z</m:t>
        </m:r>
      </m:oMath>
      <w:r w:rsidRPr="00C65BA8">
        <w:rPr>
          <w:rFonts w:eastAsiaTheme="minorEastAsia"/>
        </w:rPr>
        <w:t xml:space="preserve"> [W m</w:t>
      </w:r>
      <w:r w:rsidRPr="00C65BA8">
        <w:rPr>
          <w:rFonts w:eastAsiaTheme="minorEastAsia"/>
          <w:vertAlign w:val="superscript"/>
        </w:rPr>
        <w:t>-3</w:t>
      </w:r>
      <w:r w:rsidRPr="00C65BA8">
        <w:rPr>
          <w:rFonts w:eastAsiaTheme="minorEastAsia"/>
        </w:rPr>
        <w:t>] is the net solar flux divergence</w:t>
      </w:r>
      <w:r w:rsidR="00DD7B4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i</m:t>
            </m:r>
          </m:sub>
        </m:sSub>
      </m:oMath>
      <w:r w:rsidR="00DD7B49">
        <w:rPr>
          <w:rFonts w:eastAsiaTheme="minorEastAsia"/>
        </w:rPr>
        <w:t xml:space="preserve"> </w:t>
      </w:r>
      <w:r w:rsidR="0015246B" w:rsidRPr="00C65BA8">
        <w:rPr>
          <w:rFonts w:eastAsiaTheme="minorEastAsia"/>
        </w:rPr>
        <w:t>[</w:t>
      </w:r>
      <w:r w:rsidR="0015246B">
        <w:rPr>
          <w:rFonts w:eastAsiaTheme="minorEastAsia"/>
        </w:rPr>
        <w:t>m</w:t>
      </w:r>
      <w:r w:rsidR="0015246B" w:rsidRPr="00C65BA8">
        <w:rPr>
          <w:rFonts w:eastAsiaTheme="minorEastAsia"/>
        </w:rPr>
        <w:t xml:space="preserve"> </w:t>
      </w:r>
      <w:r w:rsidR="0015246B">
        <w:rPr>
          <w:rFonts w:eastAsiaTheme="minorEastAsia"/>
        </w:rPr>
        <w:t>s</w:t>
      </w:r>
      <w:r w:rsidR="0015246B" w:rsidRPr="00C65BA8">
        <w:rPr>
          <w:rFonts w:eastAsiaTheme="minorEastAsia"/>
          <w:vertAlign w:val="superscript"/>
        </w:rPr>
        <w:t>-1</w:t>
      </w:r>
      <w:r w:rsidR="0015246B" w:rsidRPr="00C65BA8">
        <w:rPr>
          <w:rFonts w:eastAsiaTheme="minorEastAsia"/>
        </w:rPr>
        <w:t>]</w:t>
      </w:r>
      <w:r w:rsidR="0015246B">
        <w:rPr>
          <w:rFonts w:eastAsiaTheme="minorEastAsia"/>
        </w:rPr>
        <w:t xml:space="preserve"> </w:t>
      </w:r>
      <w:r w:rsidR="00DD7B49">
        <w:rPr>
          <w:rFonts w:eastAsiaTheme="minorEastAsia"/>
        </w:rPr>
        <w:t xml:space="preserve">is the </w:t>
      </w:r>
      <w:r w:rsidR="00DD7B49" w:rsidRPr="00D95F62">
        <w:rPr>
          <w:rFonts w:eastAsiaTheme="minorEastAsia"/>
        </w:rPr>
        <w:t>ice surface ablation rate</w:t>
      </w:r>
      <w:r w:rsidRPr="00D95F62">
        <w:rPr>
          <w:rFonts w:eastAsiaTheme="minorEastAsia"/>
        </w:rPr>
        <w:t xml:space="preserve">. </w:t>
      </w:r>
      <w:r w:rsidR="00D95F62" w:rsidRPr="00D95F62">
        <w:rPr>
          <w:rFonts w:eastAsiaTheme="minorEastAsia"/>
        </w:rPr>
        <w:t>The model updates an earlier version</w:t>
      </w:r>
      <w:r w:rsidR="00D95F62" w:rsidRPr="00D95F62">
        <w:rPr>
          <w:rFonts w:eastAsiaTheme="minorEastAsia"/>
        </w:rPr>
        <w:fldChar w:fldCharType="begin"/>
      </w:r>
      <w:r w:rsidR="004B46B0">
        <w:rPr>
          <w:rFonts w:eastAsiaTheme="minorEastAsia"/>
        </w:rPr>
        <w:instrText xml:space="preserve"> ADDIN ZOTERO_ITEM CSL_CITATION {"citationID":"CLIjqal4","properties":{"formattedCitation":"\\super 10\\nosupersub{}","plainCitation":"10","noteIndex":0},"citationItems":[{"id":1990,"uris":["http://zotero.org/users/1282866/items/L8BTXGUM"],"uri":["http://zotero.org/users/1282866/items/L8BTXGUM"],"itemData":{"id":1990,"type":"article-journal","abstract":"In the Jutulgryta area of Dronning Maud Land, Antarctica, subsurface melting of the ice sheet has been observed. The melting takes place during the summer months in blue-ice areas under conditions of below-freezing air and surface temperatures. Adjacent snow-covered regions, having the same meteorological and climatic conditions, experience little or no subsurface melting. To help explain and understand the observed melt-rate differences in the blue-ice and snow-covered areas, a physically based numerical model of the coupled atmosphere, radiation, snow and blue-ice system has been developed. The model comprises a heat-transfer equation which includes a spectrally dependent solar-radiation source term. The penetration of radiation into the snow and blue ice depends on the solar-radiation spectrum, the surface albedo and the snow and blue-ice grain-sizes and densities. In addition, the model uses a complete surface energy balance to define the surface boundary conditions. It is run over the full annual cycle, simulating temperature profiles and melting and freezing quantities throughout the summer and winter seasons. The model is driven and validated using field observations collected during the Norwegian Antarctic Research Expedition (NARE) 1996‐97. The simulations suggest that the observed differences between subsurface snow and blue-ice melting can be explained largely by radiative and heat-transfer interactions resulting from differences in albedo, grain-size and density between the two mediums.","container-title":"Journal of Glaciology","DOI":"10.3189/S0022143000001775","ISSN":"0022-1430, 1727-5652","issue":"150","journalAbbreviation":"Journal of Glaciology","language":"en","page":"273-285","source":"Cambridge Core","title":"Below-surface ice melt on the coastal Antarctic ice sheet","volume":"45","author":[{"family":"Liston","given":"Glen E."},{"family":"Winther","given":"Jan-Gunnar"},{"family":"Bruland","given":"Oddbjørn"},{"family":"Elvehøy","given":"Hallgeir"},{"family":"Sand","given":"Knut"}],"issued":{"date-parts":[["1999",1,1]]}}}],"schema":"https://github.com/citation-style-language/schema/raw/master/csl-citation.json"} </w:instrText>
      </w:r>
      <w:r w:rsidR="00D95F62" w:rsidRPr="00D95F62">
        <w:rPr>
          <w:rFonts w:eastAsiaTheme="minorEastAsia"/>
        </w:rPr>
        <w:fldChar w:fldCharType="separate"/>
      </w:r>
      <w:r w:rsidR="004B46B0" w:rsidRPr="004B46B0">
        <w:rPr>
          <w:vertAlign w:val="superscript"/>
        </w:rPr>
        <w:t>10</w:t>
      </w:r>
      <w:r w:rsidR="00D95F62" w:rsidRPr="00D95F62">
        <w:rPr>
          <w:rFonts w:eastAsiaTheme="minorEastAsia"/>
        </w:rPr>
        <w:fldChar w:fldCharType="end"/>
      </w:r>
      <w:r w:rsidR="00D95F62" w:rsidRPr="00D95F62">
        <w:rPr>
          <w:rFonts w:eastAsiaTheme="minorEastAsia"/>
        </w:rPr>
        <w:t xml:space="preserve"> with new values </w:t>
      </w:r>
      <w:r w:rsidR="00D95F62" w:rsidRPr="00234B3E">
        <w:rPr>
          <w:rFonts w:eastAsiaTheme="minorEastAsia"/>
        </w:rPr>
        <w:t>for the spectral absorption</w:t>
      </w:r>
      <w:r w:rsidR="00D95F62" w:rsidRPr="00D95F62">
        <w:rPr>
          <w:rFonts w:eastAsiaTheme="minorEastAsia"/>
        </w:rPr>
        <w:t xml:space="preserve"> coefficient of ice</w:t>
      </w:r>
      <w:r w:rsidR="00D95F62" w:rsidRPr="00D95F62">
        <w:rPr>
          <w:rFonts w:eastAsiaTheme="minorEastAsia"/>
        </w:rPr>
        <w:fldChar w:fldCharType="begin"/>
      </w:r>
      <w:r w:rsidR="004B46B0">
        <w:rPr>
          <w:rFonts w:eastAsiaTheme="minorEastAsia"/>
        </w:rPr>
        <w:instrText xml:space="preserve"> ADDIN ZOTERO_ITEM CSL_CITATION {"citationID":"nGocC0BL","properties":{"formattedCitation":"\\super 11\\nosupersub{}","plainCitation":"11","noteIndex":0},"citationItems":[{"id":1479,"uris":["http://zotero.org/users/1282866/items/N5JJ3IUC"],"uri":["http://zotero.org/users/1282866/items/N5JJ3IUC"],"itemData":{"id":1479,"type":"article-journal","abstract":"A compilation of the spectral absorption coefficient of ice Ih is presented for temperatures near the melting point, superseding the compilation of Warren (1984). Significant changes are made to nearly all spectral regions. The blue and near-ultraviolet absorption is much weaker than the prior estimates, which were already very small. The near-infrared absorption coefficient differs by as much as a factor of 2 from the prior compilation at some wavelengths. The midinfrared absorption coefficient is rather uncertain in the weakly absorbing regions near 9 and 20 μm. New far-infrared measurements at low temperatures are extrapolated to higher temperatures, which shifts the peak positions. New microwave measurements find absorption much weaker than previously reported, by factors of 2–5. The real part of the index of refraction is computed using Kramers-Kronig analysis; it differs from the prior compilation only in the far infrared. Tables of the revised optical constants are available on a website.","container-title":"Journal of Geophysical Research: Atmospheres","DOI":"10.1029/2007JD009744","ISSN":"2156-2202","issue":"D14","journalAbbreviation":"J. Geophys. Res.","language":"en","page":"D14220","source":"Wiley Online Library","title":"Optical constants of ice from the ultraviolet to the microwave: A revised compilation","title-short":"Optical constants of ice from the ultraviolet to the microwave","volume":"113","author":[{"family":"Warren","given":"Stephen G."},{"family":"Brandt","given":"Richard E."}],"issued":{"date-parts":[["2008",7,27]]}}}],"schema":"https://github.com/citation-style-language/schema/raw/master/csl-citation.json"} </w:instrText>
      </w:r>
      <w:r w:rsidR="00D95F62" w:rsidRPr="00D95F62">
        <w:rPr>
          <w:rFonts w:eastAsiaTheme="minorEastAsia"/>
        </w:rPr>
        <w:fldChar w:fldCharType="separate"/>
      </w:r>
      <w:r w:rsidR="004B46B0" w:rsidRPr="004B46B0">
        <w:rPr>
          <w:vertAlign w:val="superscript"/>
        </w:rPr>
        <w:t>11</w:t>
      </w:r>
      <w:r w:rsidR="00D95F62" w:rsidRPr="00D95F62">
        <w:rPr>
          <w:rFonts w:eastAsiaTheme="minorEastAsia"/>
        </w:rPr>
        <w:fldChar w:fldCharType="end"/>
      </w:r>
      <w:r w:rsidR="00D95F62" w:rsidRPr="00D95F62">
        <w:rPr>
          <w:rFonts w:eastAsiaTheme="minorEastAsia"/>
        </w:rPr>
        <w:t xml:space="preserve"> and the advection term </w:t>
      </w:r>
      <m:oMath>
        <m:sSub>
          <m:sSubPr>
            <m:ctrlPr>
              <w:rPr>
                <w:rFonts w:ascii="Cambria Math" w:eastAsiaTheme="minorEastAsia" w:hAnsi="Cambria Math"/>
                <w:i/>
              </w:rPr>
            </m:ctrlPr>
          </m:sSubPr>
          <m:e>
            <m:r>
              <w:rPr>
                <w:rFonts w:ascii="Cambria Math" w:eastAsiaTheme="minorEastAsia" w:hAnsi="Cambria Math"/>
              </w:rPr>
              <m:t>v</m:t>
            </m:r>
          </m:e>
          <m:sub>
            <m:r>
              <m:rPr>
                <m:sty m:val="p"/>
              </m:rPr>
              <w:rPr>
                <w:rFonts w:ascii="Cambria Math" w:eastAsiaTheme="minorEastAsia" w:hAnsi="Cambria Math"/>
              </w:rPr>
              <m:t>i</m:t>
            </m:r>
          </m:sub>
        </m:sSub>
      </m:oMath>
      <w:r w:rsidR="00D95F62" w:rsidRPr="00D95F62">
        <w:rPr>
          <w:rFonts w:eastAsiaTheme="minorEastAsia"/>
        </w:rPr>
        <w:t xml:space="preserve"> following </w:t>
      </w:r>
      <w:r w:rsidR="00416CF0">
        <w:rPr>
          <w:rFonts w:eastAsiaTheme="minorEastAsia"/>
        </w:rPr>
        <w:t>Jordan</w:t>
      </w:r>
      <w:r w:rsidR="009F7B22">
        <w:rPr>
          <w:rFonts w:eastAsiaTheme="minorEastAsia"/>
        </w:rPr>
        <w:fldChar w:fldCharType="begin"/>
      </w:r>
      <w:r w:rsidR="004B46B0">
        <w:rPr>
          <w:rFonts w:eastAsiaTheme="minorEastAsia"/>
        </w:rPr>
        <w:instrText xml:space="preserve"> ADDIN ZOTERO_ITEM CSL_CITATION {"citationID":"4aib2a9K","properties":{"formattedCitation":"\\super 12\\nosupersub{}","plainCitation":"12","noteIndex":0},"citationItems":[{"id":7666,"uris":["http://zotero.org/users/1282866/items/MVH437HJ"],"uri":["http://zotero.org/users/1282866/items/MVH437HJ"],"itemData":{"id":7666,"type":"report","event-place":"Hanover, NH","genre":"Special Report","number":"91-16","publisher":"Cold Regions Research and Engineering Laboratory","publisher-place":"Hanover, NH","title":"A One-Dimensional Temperature Model For a Snowpack","URL":"http://hdl.handle.net/11681/11677","author":[{"family":"Jordan","given":"Rachel"}],"issued":{"date-parts":[["1991",10]]}}}],"schema":"https://github.com/citation-style-language/schema/raw/master/csl-citation.json"} </w:instrText>
      </w:r>
      <w:r w:rsidR="009F7B22">
        <w:rPr>
          <w:rFonts w:eastAsiaTheme="minorEastAsia"/>
        </w:rPr>
        <w:fldChar w:fldCharType="separate"/>
      </w:r>
      <w:r w:rsidR="004B46B0" w:rsidRPr="004B46B0">
        <w:rPr>
          <w:vertAlign w:val="superscript"/>
        </w:rPr>
        <w:t>12</w:t>
      </w:r>
      <w:r w:rsidR="009F7B22">
        <w:rPr>
          <w:rFonts w:eastAsiaTheme="minorEastAsia"/>
        </w:rPr>
        <w:fldChar w:fldCharType="end"/>
      </w:r>
      <w:r w:rsidR="00D95F62" w:rsidRPr="00D95F62">
        <w:rPr>
          <w:rFonts w:eastAsiaTheme="minorEastAsia"/>
        </w:rPr>
        <w:t>.</w:t>
      </w:r>
      <w:r w:rsidR="00D95F62" w:rsidRPr="00D95F62">
        <w:t xml:space="preserve"> </w:t>
      </w:r>
    </w:p>
    <w:p w14:paraId="5848E762" w14:textId="079040FA" w:rsidR="003C2C6E" w:rsidRDefault="00C65BA8" w:rsidP="00974896">
      <w:pPr>
        <w:pStyle w:val="Text"/>
        <w:ind w:firstLine="0"/>
        <w:rPr>
          <w:rFonts w:eastAsiaTheme="minorEastAsia"/>
        </w:rPr>
      </w:pPr>
      <w:r w:rsidRPr="00C65BA8">
        <w:rPr>
          <w:rFonts w:eastAsiaTheme="minorEastAsia"/>
        </w:rPr>
        <w:t xml:space="preserve">Changes in enthalpy associated with heat gained or lost by melting and refreezing of liquid water are governed by changes in ice content, where </w:t>
      </w:r>
      <w:r w:rsidR="008C33D5">
        <w:rPr>
          <w:rFonts w:eastAsiaTheme="minorEastAsia"/>
        </w:rPr>
        <w:t xml:space="preserve">a </w:t>
      </w:r>
      <w:r w:rsidR="008C33D5" w:rsidRPr="00C65BA8">
        <w:rPr>
          <w:rFonts w:eastAsiaTheme="minorEastAsia"/>
        </w:rPr>
        <w:t xml:space="preserve">decrease in ice content </w:t>
      </w:r>
      <w:r w:rsidR="00463159" w:rsidRPr="00C65BA8">
        <w:rPr>
          <w:rFonts w:eastAsiaTheme="minorEastAsia"/>
        </w:rPr>
        <w:t>is equivalent to</w:t>
      </w:r>
      <w:r w:rsidR="00463159">
        <w:rPr>
          <w:rFonts w:eastAsiaTheme="minorEastAsia"/>
        </w:rPr>
        <w:t xml:space="preserve"> </w:t>
      </w:r>
      <w:r w:rsidR="008C33D5" w:rsidRPr="00C65BA8">
        <w:rPr>
          <w:rFonts w:eastAsiaTheme="minorEastAsia"/>
        </w:rPr>
        <w:t>an increase in water content</w:t>
      </w:r>
      <w:r w:rsidRPr="00C65BA8">
        <w:rPr>
          <w:rFonts w:eastAsiaTheme="minorEastAsia"/>
        </w:rPr>
        <w:t>:</w:t>
      </w:r>
    </w:p>
    <w:p w14:paraId="0FC33915" w14:textId="2A41EE8A" w:rsidR="00D968A7" w:rsidRPr="00D968A7" w:rsidRDefault="00202492" w:rsidP="00234B3E">
      <w:pPr>
        <w:pStyle w:val="MyEquation"/>
        <w:rPr>
          <w:rFonts w:ascii="Times New Roman" w:eastAsiaTheme="minorEastAsia" w:hAnsi="Times New Roman"/>
        </w:rPr>
      </w:pPr>
      <m:oMathPara>
        <m:oMath>
          <m:eqArr>
            <m:eqArrPr>
              <m:maxDist m:val="1"/>
              <m:ctrlPr/>
            </m:eqArrPr>
            <m:e>
              <m:f>
                <m:fPr>
                  <m:ctrlPr/>
                </m:fPr>
                <m:num>
                  <m:r>
                    <m:t>∂</m:t>
                  </m:r>
                  <m:sSub>
                    <m:sSubPr>
                      <m:ctrlPr/>
                    </m:sSubPr>
                    <m:e>
                      <m:r>
                        <m:t>θ</m:t>
                      </m:r>
                    </m:e>
                    <m:sub>
                      <m:r>
                        <m:t>w</m:t>
                      </m:r>
                    </m:sub>
                  </m:sSub>
                </m:num>
                <m:den>
                  <m:r>
                    <m:t>∂t</m:t>
                  </m:r>
                </m:den>
              </m:f>
              <m:r>
                <m:t>=-</m:t>
              </m:r>
              <m:f>
                <m:fPr>
                  <m:ctrlPr/>
                </m:fPr>
                <m:num>
                  <m:r>
                    <m:t>∂</m:t>
                  </m:r>
                  <m:sSub>
                    <m:sSubPr>
                      <m:ctrlPr/>
                    </m:sSubPr>
                    <m:e>
                      <m:r>
                        <m:t>θ</m:t>
                      </m:r>
                    </m:e>
                    <m:sub>
                      <m:r>
                        <m:t>i</m:t>
                      </m:r>
                    </m:sub>
                  </m:sSub>
                </m:num>
                <m:den>
                  <m:r>
                    <m:t>∂t</m:t>
                  </m:r>
                </m:den>
              </m:f>
              <m:r>
                <m:t>#</m:t>
              </m:r>
              <m:d>
                <m:dPr>
                  <m:ctrlPr/>
                </m:dPr>
                <m:e>
                  <w:bookmarkStart w:id="4" w:name="eq3"/>
                  <m:r>
                    <w:fldChar w:fldCharType="begin"/>
                  </m:r>
                  <m:r>
                    <m:t xml:space="preserve"> SEQ Equation \* ARABIC </m:t>
                  </m:r>
                  <m:r>
                    <w:fldChar w:fldCharType="separate"/>
                  </m:r>
                  <m:r>
                    <w:rPr>
                      <w:noProof/>
                    </w:rPr>
                    <m:t>2</m:t>
                  </m:r>
                  <m:r>
                    <w:fldChar w:fldCharType="end"/>
                  </m:r>
                  <w:bookmarkEnd w:id="4"/>
                </m:e>
              </m:d>
            </m:e>
          </m:eqArr>
        </m:oMath>
      </m:oMathPara>
    </w:p>
    <w:p w14:paraId="1983F848" w14:textId="728EA45E" w:rsidR="00D968A7" w:rsidRDefault="000958FB" w:rsidP="00234B3E">
      <w:pPr>
        <w:pStyle w:val="Text"/>
        <w:ind w:firstLine="0"/>
        <w:rPr>
          <w:rFonts w:eastAsiaTheme="minorEastAsia"/>
        </w:rPr>
      </w:pPr>
      <w:r w:rsidRPr="0016443B">
        <w:rPr>
          <w:rFonts w:eastAsiaTheme="minorEastAsia"/>
        </w:rPr>
        <w:t xml:space="preserve">and </w:t>
      </w:r>
      <w:r w:rsidR="00463159">
        <w:rPr>
          <w:rFonts w:eastAsiaTheme="minorEastAsia"/>
        </w:rPr>
        <w:t>an increase in</w:t>
      </w:r>
      <w:r w:rsidR="0016443B" w:rsidRPr="0016443B">
        <w:rPr>
          <w:rFonts w:eastAsiaTheme="minorEastAsia"/>
        </w:rPr>
        <w:t xml:space="preserve"> </w:t>
      </w:r>
      <w:r w:rsidRPr="0016443B">
        <w:rPr>
          <w:rFonts w:eastAsiaTheme="minorEastAsia"/>
        </w:rPr>
        <w:t>air content</w:t>
      </w:r>
      <w:r w:rsidR="0016443B" w:rsidRPr="001644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θ</m:t>
            </m:r>
          </m:e>
          <m:sub>
            <m:r>
              <m:rPr>
                <m:sty m:val="p"/>
              </m:rPr>
              <w:rPr>
                <w:rFonts w:ascii="Cambria Math" w:eastAsiaTheme="minorEastAsia" w:hAnsi="Cambria Math"/>
              </w:rPr>
              <m:t>a</m:t>
            </m:r>
          </m:sub>
        </m:sSub>
      </m:oMath>
      <w:r w:rsidR="0016443B" w:rsidRPr="0016443B">
        <w:t xml:space="preserve"> [m</w:t>
      </w:r>
      <w:r w:rsidR="0016443B" w:rsidRPr="0016443B">
        <w:rPr>
          <w:vertAlign w:val="superscript"/>
        </w:rPr>
        <w:t>3</w:t>
      </w:r>
      <w:r w:rsidR="0016443B" w:rsidRPr="0016443B">
        <w:t xml:space="preserve"> m</w:t>
      </w:r>
      <w:r w:rsidR="0016443B" w:rsidRPr="0016443B">
        <w:rPr>
          <w:vertAlign w:val="superscript"/>
        </w:rPr>
        <w:t>-3</w:t>
      </w:r>
      <w:r w:rsidR="0016443B" w:rsidRPr="0016443B">
        <w:t xml:space="preserve">] </w:t>
      </w:r>
      <w:r w:rsidR="00463159">
        <w:rPr>
          <w:rFonts w:eastAsiaTheme="minorEastAsia"/>
        </w:rPr>
        <w:t>is</w:t>
      </w:r>
      <w:r>
        <w:rPr>
          <w:rFonts w:eastAsiaTheme="minorEastAsia"/>
        </w:rPr>
        <w:t xml:space="preserve"> equivalent to </w:t>
      </w:r>
      <w:r w:rsidR="00463159">
        <w:rPr>
          <w:rFonts w:eastAsiaTheme="minorEastAsia"/>
        </w:rPr>
        <w:t xml:space="preserve">a decrease </w:t>
      </w:r>
      <w:r>
        <w:rPr>
          <w:rFonts w:eastAsiaTheme="minorEastAsia"/>
        </w:rPr>
        <w:t xml:space="preserve">in ice content </w:t>
      </w:r>
      <w:r w:rsidR="00463159">
        <w:rPr>
          <w:rFonts w:eastAsiaTheme="minorEastAsia"/>
        </w:rPr>
        <w:t xml:space="preserve">scaled by </w:t>
      </w:r>
      <w:r>
        <w:rPr>
          <w:rFonts w:eastAsiaTheme="minorEastAsia"/>
        </w:rPr>
        <w:t>volume expansion:</w:t>
      </w:r>
    </w:p>
    <w:p w14:paraId="489EF959" w14:textId="2EF87481" w:rsidR="00D968A7" w:rsidRPr="00D968A7"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f>
                <m:fPr>
                  <m:ctrlPr/>
                </m:fPr>
                <m:num>
                  <m:r>
                    <m:t>∂</m:t>
                  </m:r>
                  <m:sSub>
                    <m:sSubPr>
                      <m:ctrlPr/>
                    </m:sSubPr>
                    <m:e>
                      <m:r>
                        <m:t>θ</m:t>
                      </m:r>
                    </m:e>
                    <m:sub>
                      <m:r>
                        <m:t>a</m:t>
                      </m:r>
                    </m:sub>
                  </m:sSub>
                </m:num>
                <m:den>
                  <m:r>
                    <m:t>∂t</m:t>
                  </m:r>
                </m:den>
              </m:f>
              <m:r>
                <m:t>=-</m:t>
              </m:r>
              <m:f>
                <m:fPr>
                  <m:ctrlPr/>
                </m:fPr>
                <m:num>
                  <m:r>
                    <m:t>∂</m:t>
                  </m:r>
                  <m:sSub>
                    <m:sSubPr>
                      <m:ctrlPr/>
                    </m:sSubPr>
                    <m:e>
                      <m:r>
                        <m:t>θ</m:t>
                      </m:r>
                    </m:e>
                    <m:sub>
                      <m:r>
                        <m:t>i</m:t>
                      </m:r>
                    </m:sub>
                  </m:sSub>
                </m:num>
                <m:den>
                  <m:r>
                    <m:t>∂t</m:t>
                  </m:r>
                </m:den>
              </m:f>
              <m:f>
                <m:fPr>
                  <m:ctrlPr>
                    <w:rPr>
                      <w:rFonts w:eastAsiaTheme="minorEastAsia"/>
                    </w:rPr>
                  </m:ctrlPr>
                </m:fPr>
                <m:num>
                  <m:sSub>
                    <m:sSubPr>
                      <m:ctrlPr>
                        <w:rPr>
                          <w:rFonts w:eastAsiaTheme="minorEastAsia"/>
                        </w:rPr>
                      </m:ctrlPr>
                    </m:sSubPr>
                    <m:e>
                      <m:r>
                        <w:rPr>
                          <w:rFonts w:eastAsiaTheme="minorEastAsia"/>
                        </w:rPr>
                        <m:t>ρ</m:t>
                      </m:r>
                    </m:e>
                    <m:sub>
                      <m:r>
                        <w:rPr>
                          <w:rFonts w:eastAsiaTheme="minorEastAsia"/>
                        </w:rPr>
                        <m:t>w</m:t>
                      </m:r>
                    </m:sub>
                  </m:sSub>
                </m:num>
                <m:den>
                  <m:sSub>
                    <m:sSubPr>
                      <m:ctrlPr>
                        <w:rPr>
                          <w:rFonts w:eastAsiaTheme="minorEastAsia"/>
                        </w:rPr>
                      </m:ctrlPr>
                    </m:sSubPr>
                    <m:e>
                      <m:r>
                        <w:rPr>
                          <w:rFonts w:eastAsiaTheme="minorEastAsia"/>
                        </w:rPr>
                        <m:t>ρ</m:t>
                      </m:r>
                    </m:e>
                    <m:sub>
                      <m:r>
                        <w:rPr>
                          <w:rFonts w:eastAsiaTheme="minorEastAsia"/>
                        </w:rPr>
                        <m:t>i</m:t>
                      </m:r>
                    </m:sub>
                  </m:sSub>
                </m:den>
              </m:f>
              <m:r>
                <w:rPr>
                  <w:rFonts w:eastAsiaTheme="minorEastAsia"/>
                </w:rPr>
                <m:t>.</m:t>
              </m:r>
              <m:r>
                <m:t>#</m:t>
              </m:r>
              <m:d>
                <m:dPr>
                  <m:ctrlPr>
                    <w:rPr>
                      <w:rFonts w:eastAsiaTheme="minorEastAsia"/>
                    </w:rPr>
                  </m:ctrlPr>
                </m:dPr>
                <m:e>
                  <w:bookmarkStart w:id="5" w:name="eq4"/>
                  <m:r>
                    <w:fldChar w:fldCharType="begin"/>
                  </m:r>
                  <m:r>
                    <m:t xml:space="preserve"> SEQ Equation \* ARABIC </m:t>
                  </m:r>
                  <m:r>
                    <w:fldChar w:fldCharType="separate"/>
                  </m:r>
                  <m:r>
                    <w:rPr>
                      <w:noProof/>
                    </w:rPr>
                    <m:t>3</m:t>
                  </m:r>
                  <m:r>
                    <w:fldChar w:fldCharType="end"/>
                  </m:r>
                  <w:bookmarkEnd w:id="5"/>
                </m:e>
              </m:d>
            </m:e>
          </m:eqArr>
        </m:oMath>
      </m:oMathPara>
    </w:p>
    <w:p w14:paraId="49B49D80" w14:textId="754E94B8" w:rsidR="00D968A7" w:rsidRDefault="00C65BA8" w:rsidP="00974896">
      <w:pPr>
        <w:pStyle w:val="Text"/>
        <w:ind w:firstLine="0"/>
        <w:rPr>
          <w:rFonts w:eastAsiaTheme="minorEastAsia"/>
        </w:rPr>
      </w:pPr>
      <w:r w:rsidRPr="00C65BA8">
        <w:rPr>
          <w:rFonts w:eastAsiaTheme="minorEastAsia"/>
        </w:rPr>
        <w:t xml:space="preserve">The ice thermal conductivity, </w:t>
      </w:r>
      <m:oMath>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m:t>
            </m:r>
          </m:sub>
        </m:sSub>
      </m:oMath>
      <w:r w:rsidRPr="00C65BA8">
        <w:rPr>
          <w:rFonts w:eastAsiaTheme="minorEastAsia"/>
        </w:rPr>
        <w:t xml:space="preserve"> [W m</w:t>
      </w:r>
      <w:r w:rsidRPr="00C65BA8">
        <w:rPr>
          <w:rFonts w:eastAsiaTheme="minorEastAsia"/>
          <w:vertAlign w:val="superscript"/>
        </w:rPr>
        <w:t>-1</w:t>
      </w:r>
      <w:r w:rsidRPr="00C65BA8">
        <w:rPr>
          <w:rFonts w:eastAsiaTheme="minorEastAsia"/>
        </w:rPr>
        <w:t xml:space="preserve"> K</w:t>
      </w:r>
      <w:r w:rsidRPr="00C65BA8">
        <w:rPr>
          <w:rFonts w:eastAsiaTheme="minorEastAsia"/>
          <w:vertAlign w:val="superscript"/>
        </w:rPr>
        <w:t>-1</w:t>
      </w:r>
      <w:r w:rsidRPr="00C65BA8">
        <w:rPr>
          <w:rFonts w:eastAsiaTheme="minorEastAsia"/>
        </w:rPr>
        <w:t xml:space="preserve">], is </w:t>
      </w:r>
      <w:r w:rsidR="006219D2">
        <w:rPr>
          <w:rFonts w:eastAsiaTheme="minorEastAsia"/>
        </w:rPr>
        <w:t xml:space="preserve">from </w:t>
      </w:r>
      <w:r w:rsidR="004A7580">
        <w:rPr>
          <w:rFonts w:eastAsiaTheme="minorEastAsia"/>
        </w:rPr>
        <w:t xml:space="preserve">Calonne </w:t>
      </w:r>
      <w:r w:rsidRPr="00C65BA8">
        <w:rPr>
          <w:rFonts w:eastAsiaTheme="minorEastAsia"/>
        </w:rPr>
        <w:t>et al.</w:t>
      </w:r>
      <w:r w:rsidR="004A7580">
        <w:rPr>
          <w:rFonts w:eastAsiaTheme="minorEastAsia"/>
        </w:rPr>
        <w:fldChar w:fldCharType="begin"/>
      </w:r>
      <w:r w:rsidR="004B46B0">
        <w:rPr>
          <w:rFonts w:eastAsiaTheme="minorEastAsia"/>
        </w:rPr>
        <w:instrText xml:space="preserve"> ADDIN ZOTERO_ITEM CSL_CITATION {"citationID":"1win0bC4","properties":{"formattedCitation":"\\super 13\\nosupersub{}","plainCitation":"13","noteIndex":0},"citationItems":[{"id":2615,"uris":["http://zotero.org/users/1282866/items/LXYGJ9JN"],"uri":["http://zotero.org/users/1282866/items/LXYGJ9JN"],"itemData":{"id":2615,"type":"article-journal","container-title":"Geophysical Research Letters","DOI":"10.1029/2019GL085228","ISSN":"0094-8276, 1944-8007","issue":"22","journalAbbreviation":"Geophys. Res. Lett.","language":"en","page":"13079-13089","source":"DOI.org (Crossref)","title":"Thermal Conductivity of Snow, Firn, and Porous Ice From 3‐D Image‐Based Computations","volume":"46","author":[{"family":"Calonne","given":"Neige"},{"family":"Milliancourt","given":"Lucas"},{"family":"Burr","given":"Alexis"},{"family":"Philip","given":"Armelle"},{"family":"Martin","given":"Christophe L."},{"family":"Flin","given":"Frederic"},{"family":"Geindreau","given":"Christian"}],"issued":{"date-parts":[["2019",11,28]]}},"suppress-author":true}],"schema":"https://github.com/citation-style-language/schema/raw/master/csl-citation.json"} </w:instrText>
      </w:r>
      <w:r w:rsidR="004A7580">
        <w:rPr>
          <w:rFonts w:eastAsiaTheme="minorEastAsia"/>
        </w:rPr>
        <w:fldChar w:fldCharType="separate"/>
      </w:r>
      <w:r w:rsidR="004B46B0" w:rsidRPr="004B46B0">
        <w:rPr>
          <w:vertAlign w:val="superscript"/>
        </w:rPr>
        <w:t>13</w:t>
      </w:r>
      <w:r w:rsidR="004A7580">
        <w:rPr>
          <w:rFonts w:eastAsiaTheme="minorEastAsia"/>
        </w:rPr>
        <w:fldChar w:fldCharType="end"/>
      </w:r>
      <w:r w:rsidR="00501630">
        <w:rPr>
          <w:rFonts w:eastAsiaTheme="minorEastAsia"/>
        </w:rPr>
        <w:t>:</w:t>
      </w:r>
    </w:p>
    <w:p w14:paraId="1A99E942" w14:textId="61C4D30D" w:rsidR="00C82A00" w:rsidRPr="00C82A00"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k</m:t>
                  </m:r>
                </m:e>
                <m:sub>
                  <m:r>
                    <w:rPr>
                      <w:rFonts w:eastAsiaTheme="minorEastAsia"/>
                    </w:rPr>
                    <m:t>i</m:t>
                  </m:r>
                </m:sub>
              </m:sSub>
              <m:r>
                <w:rPr>
                  <w:rFonts w:eastAsiaTheme="minorEastAsia"/>
                </w:rPr>
                <m:t>=2.107+0.003618</m:t>
              </m:r>
              <m:d>
                <m:dPr>
                  <m:ctrlPr>
                    <w:rPr>
                      <w:rFonts w:eastAsiaTheme="minorEastAsia"/>
                    </w:rPr>
                  </m:ctrlPr>
                </m:dPr>
                <m:e>
                  <m:r>
                    <w:rPr>
                      <w:rFonts w:eastAsiaTheme="minorEastAsia"/>
                    </w:rPr>
                    <m:t>ρ-</m:t>
                  </m:r>
                  <m:sSub>
                    <m:sSubPr>
                      <m:ctrlPr>
                        <w:rPr>
                          <w:rFonts w:eastAsiaTheme="minorEastAsia"/>
                        </w:rPr>
                      </m:ctrlPr>
                    </m:sSubPr>
                    <m:e>
                      <m:r>
                        <w:rPr>
                          <w:rFonts w:eastAsiaTheme="minorEastAsia"/>
                        </w:rPr>
                        <m:t>ρ</m:t>
                      </m:r>
                    </m:e>
                    <m:sub>
                      <m:r>
                        <w:rPr>
                          <w:rFonts w:eastAsiaTheme="minorEastAsia"/>
                        </w:rPr>
                        <m:t>i</m:t>
                      </m:r>
                    </m:sub>
                  </m:sSub>
                </m:e>
              </m:d>
              <m:r>
                <w:rPr>
                  <w:rFonts w:eastAsiaTheme="minorEastAsia"/>
                </w:rPr>
                <m:t>#</m:t>
              </m:r>
              <m:d>
                <m:dPr>
                  <m:ctrlPr>
                    <w:rPr>
                      <w:rFonts w:eastAsiaTheme="minorEastAsia"/>
                    </w:rPr>
                  </m:ctrlPr>
                </m:dPr>
                <m:e>
                  <w:bookmarkStart w:id="6" w:name="eq5"/>
                  <m:r>
                    <w:fldChar w:fldCharType="begin"/>
                  </m:r>
                  <m:r>
                    <m:t xml:space="preserve"> SEQ Equation \* ARABIC </m:t>
                  </m:r>
                  <m:r>
                    <w:fldChar w:fldCharType="separate"/>
                  </m:r>
                  <m:r>
                    <w:rPr>
                      <w:noProof/>
                    </w:rPr>
                    <m:t>4</m:t>
                  </m:r>
                  <m:r>
                    <w:fldChar w:fldCharType="end"/>
                  </m:r>
                  <w:bookmarkEnd w:id="6"/>
                </m:e>
              </m:d>
            </m:e>
          </m:eqArr>
        </m:oMath>
      </m:oMathPara>
    </w:p>
    <w:p w14:paraId="7F137E04" w14:textId="5C1BC529" w:rsidR="00C82A00" w:rsidRPr="00C82A00" w:rsidRDefault="00C82A00" w:rsidP="00234B3E">
      <w:pPr>
        <w:pStyle w:val="Text"/>
        <w:ind w:firstLine="0"/>
        <w:rPr>
          <w:rFonts w:eastAsiaTheme="minorEastAsia"/>
        </w:rPr>
      </w:pPr>
      <w:r>
        <w:rPr>
          <w:rFonts w:eastAsiaTheme="minorEastAsia"/>
        </w:rPr>
        <w:t xml:space="preserve">where the volumetric ice density </w:t>
      </w:r>
      <m:oMath>
        <m:r>
          <w:rPr>
            <w:rFonts w:ascii="Cambria Math" w:eastAsiaTheme="minorEastAsia" w:hAnsi="Cambria Math"/>
          </w:rPr>
          <m:t>ρ</m:t>
        </m:r>
      </m:oMath>
      <w:r>
        <w:rPr>
          <w:rFonts w:eastAsiaTheme="minorEastAsia"/>
        </w:rPr>
        <w:t xml:space="preserve"> and solid ice density </w:t>
      </w:r>
      <m:oMath>
        <m:sSub>
          <m:sSubPr>
            <m:ctrlPr>
              <w:rPr>
                <w:rFonts w:ascii="Cambria Math" w:eastAsiaTheme="minorEastAsia" w:hAnsi="Cambria Math"/>
              </w:rPr>
            </m:ctrlPr>
          </m:sSubPr>
          <m:e>
            <m:r>
              <w:rPr>
                <w:rFonts w:ascii="Cambria Math" w:eastAsiaTheme="minorEastAsia" w:hAnsi="Cambria Math"/>
              </w:rPr>
              <m:t>ρ</m:t>
            </m:r>
            <m:ctrlPr>
              <w:rPr>
                <w:rFonts w:ascii="Cambria Math" w:eastAsiaTheme="minorEastAsia" w:hAnsi="Cambria Math"/>
                <w:i/>
                <w:iCs/>
              </w:rPr>
            </m:ctrlPr>
          </m:e>
          <m:sub>
            <m:r>
              <m:rPr>
                <m:sty m:val="p"/>
              </m:rPr>
              <w:rPr>
                <w:rFonts w:ascii="Cambria Math" w:eastAsiaTheme="minorEastAsia"/>
              </w:rPr>
              <m:t>i</m:t>
            </m:r>
          </m:sub>
        </m:sSub>
      </m:oMath>
      <w:r>
        <w:rPr>
          <w:rFonts w:eastAsiaTheme="minorEastAsia"/>
        </w:rPr>
        <w:t xml:space="preserve"> are in units of kg m</w:t>
      </w:r>
      <w:r w:rsidRPr="00C82A00">
        <w:rPr>
          <w:rFonts w:eastAsiaTheme="minorEastAsia"/>
          <w:vertAlign w:val="superscript"/>
        </w:rPr>
        <w:t>-3</w:t>
      </w:r>
      <w:r>
        <w:rPr>
          <w:rFonts w:eastAsiaTheme="minorEastAsia"/>
        </w:rPr>
        <w:t xml:space="preserve">. The latent heat flux coefficient, </w:t>
      </w:r>
      <m:oMath>
        <m:sSub>
          <m:sSubPr>
            <m:ctrlPr>
              <w:rPr>
                <w:rFonts w:ascii="Cambria Math" w:eastAsiaTheme="minorEastAsia" w:hAnsi="Cambria Math"/>
                <w:i/>
                <w:iCs/>
              </w:rPr>
            </m:ctrlPr>
          </m:sSubPr>
          <m:e>
            <m:r>
              <w:rPr>
                <w:rFonts w:ascii="Cambria Math" w:eastAsiaTheme="minorEastAsia" w:hAnsi="Cambria Math"/>
              </w:rPr>
              <m:t>k</m:t>
            </m:r>
          </m:e>
          <m:sub>
            <m:r>
              <m:rPr>
                <m:sty m:val="p"/>
              </m:rPr>
              <w:rPr>
                <w:rFonts w:ascii="Cambria Math" w:eastAsiaTheme="minorEastAsia" w:hAnsi="Cambria Math"/>
              </w:rPr>
              <m:t>v</m:t>
            </m:r>
          </m:sub>
        </m:sSub>
      </m:oMath>
      <w:r>
        <w:rPr>
          <w:rFonts w:eastAsiaTheme="minorEastAsia"/>
          <w:iCs/>
        </w:rPr>
        <w:t>, accounts for water vapor diffusion within the ice matrix air passages, and is defined by:</w:t>
      </w:r>
    </w:p>
    <w:p w14:paraId="769E0ABD" w14:textId="116AEB9C" w:rsidR="00D968A7" w:rsidRPr="00C82A00"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k</m:t>
                  </m:r>
                </m:e>
                <m:sub>
                  <m:r>
                    <w:rPr>
                      <w:rFonts w:eastAsiaTheme="minorEastAsia"/>
                    </w:rPr>
                    <m:t>v</m:t>
                  </m:r>
                </m:sub>
              </m:sSub>
              <m:r>
                <w:rPr>
                  <w:rFonts w:eastAsiaTheme="minorEastAsia"/>
                </w:rPr>
                <m:t>=</m:t>
              </m:r>
              <m:f>
                <m:fPr>
                  <m:ctrlPr>
                    <w:rPr>
                      <w:rFonts w:eastAsiaTheme="minorEastAsia"/>
                    </w:rPr>
                  </m:ctrlPr>
                </m:fPr>
                <m:num>
                  <m:sSub>
                    <m:sSubPr>
                      <m:ctrlPr>
                        <w:rPr>
                          <w:rFonts w:eastAsiaTheme="minorEastAsia"/>
                        </w:rPr>
                      </m:ctrlPr>
                    </m:sSubPr>
                    <m:e>
                      <m:r>
                        <w:rPr>
                          <w:rFonts w:eastAsiaTheme="minorEastAsia"/>
                        </w:rPr>
                        <m:t>D</m:t>
                      </m:r>
                    </m:e>
                    <m:sub>
                      <m:r>
                        <w:rPr>
                          <w:rFonts w:eastAsiaTheme="minorEastAsia"/>
                        </w:rPr>
                        <m:t>e</m:t>
                      </m:r>
                    </m:sub>
                  </m:sSub>
                  <m:sSub>
                    <m:sSubPr>
                      <m:ctrlPr>
                        <w:rPr>
                          <w:rFonts w:eastAsiaTheme="minorEastAsia"/>
                        </w:rPr>
                      </m:ctrlPr>
                    </m:sSubPr>
                    <m:e>
                      <m:r>
                        <w:rPr>
                          <w:rFonts w:eastAsiaTheme="minorEastAsia"/>
                        </w:rPr>
                        <m:t>L</m:t>
                      </m:r>
                    </m:e>
                    <m:sub>
                      <m:r>
                        <w:rPr>
                          <w:rFonts w:eastAsiaTheme="minorEastAsia"/>
                        </w:rPr>
                        <m:t>s</m:t>
                      </m:r>
                    </m:sub>
                  </m:sSub>
                </m:num>
                <m:den>
                  <m:sSub>
                    <m:sSubPr>
                      <m:ctrlPr>
                        <w:rPr>
                          <w:rFonts w:eastAsiaTheme="minorEastAsia"/>
                        </w:rPr>
                      </m:ctrlPr>
                    </m:sSubPr>
                    <m:e>
                      <m:r>
                        <w:rPr>
                          <w:rFonts w:eastAsiaTheme="minorEastAsia"/>
                        </w:rPr>
                        <m:t>R</m:t>
                      </m:r>
                    </m:e>
                    <m:sub>
                      <m:r>
                        <w:rPr>
                          <w:rFonts w:eastAsiaTheme="minorEastAsia"/>
                        </w:rPr>
                        <m:t>v</m:t>
                      </m:r>
                    </m:sub>
                  </m:sSub>
                  <m:sSub>
                    <m:sSubPr>
                      <m:ctrlPr>
                        <w:rPr>
                          <w:rFonts w:eastAsiaTheme="minorEastAsia"/>
                        </w:rPr>
                      </m:ctrlPr>
                    </m:sSubPr>
                    <m:e>
                      <m:r>
                        <w:rPr>
                          <w:rFonts w:eastAsiaTheme="minorEastAsia"/>
                        </w:rPr>
                        <m:t>T</m:t>
                      </m:r>
                    </m:e>
                    <m:sub>
                      <m:r>
                        <w:rPr>
                          <w:rFonts w:eastAsiaTheme="minorEastAsia"/>
                        </w:rPr>
                        <m:t>i</m:t>
                      </m:r>
                    </m:sub>
                  </m:sSub>
                </m:den>
              </m:f>
              <m:f>
                <m:fPr>
                  <m:ctrlPr>
                    <w:rPr>
                      <w:rFonts w:eastAsiaTheme="minorEastAsia"/>
                    </w:rPr>
                  </m:ctrlPr>
                </m:fPr>
                <m:num>
                  <m:r>
                    <w:rPr>
                      <w:rFonts w:eastAsiaTheme="minorEastAsia"/>
                    </w:rPr>
                    <m:t>d</m:t>
                  </m:r>
                  <m:sSub>
                    <m:sSubPr>
                      <m:ctrlPr>
                        <w:rPr>
                          <w:rFonts w:eastAsiaTheme="minorEastAsia"/>
                        </w:rPr>
                      </m:ctrlPr>
                    </m:sSubPr>
                    <m:e>
                      <m:r>
                        <w:rPr>
                          <w:rFonts w:eastAsiaTheme="minorEastAsia"/>
                        </w:rPr>
                        <m:t>e</m:t>
                      </m:r>
                    </m:e>
                    <m:sub>
                      <m:r>
                        <w:rPr>
                          <w:rFonts w:eastAsiaTheme="minorEastAsia"/>
                        </w:rPr>
                        <m:t>si</m:t>
                      </m:r>
                    </m:sub>
                  </m:sSub>
                </m:num>
                <m:den>
                  <m:r>
                    <m:t>d</m:t>
                  </m:r>
                  <m:sSub>
                    <m:sSubPr>
                      <m:ctrlPr>
                        <w:rPr>
                          <w:rFonts w:eastAsiaTheme="minorEastAsia"/>
                        </w:rPr>
                      </m:ctrlPr>
                    </m:sSubPr>
                    <m:e>
                      <m:r>
                        <w:rPr>
                          <w:rFonts w:eastAsiaTheme="minorEastAsia"/>
                        </w:rPr>
                        <m:t>T</m:t>
                      </m:r>
                    </m:e>
                    <m:sub>
                      <m:r>
                        <w:rPr>
                          <w:rFonts w:eastAsiaTheme="minorEastAsia"/>
                        </w:rPr>
                        <m:t>i</m:t>
                      </m:r>
                    </m:sub>
                  </m:sSub>
                </m:den>
              </m:f>
              <m:r>
                <w:rPr>
                  <w:rFonts w:eastAsiaTheme="minorEastAsia"/>
                </w:rPr>
                <m:t>#</m:t>
              </m:r>
              <m:d>
                <m:dPr>
                  <m:ctrlPr>
                    <w:rPr>
                      <w:rFonts w:eastAsiaTheme="minorEastAsia"/>
                    </w:rPr>
                  </m:ctrlPr>
                </m:dPr>
                <m:e>
                  <w:bookmarkStart w:id="7" w:name="eq6"/>
                  <m:r>
                    <w:fldChar w:fldCharType="begin"/>
                  </m:r>
                  <m:r>
                    <m:t xml:space="preserve"> SEQ Equation \* ARABIC </m:t>
                  </m:r>
                  <m:r>
                    <w:fldChar w:fldCharType="separate"/>
                  </m:r>
                  <m:r>
                    <w:rPr>
                      <w:noProof/>
                    </w:rPr>
                    <m:t>5</m:t>
                  </m:r>
                  <m:r>
                    <w:fldChar w:fldCharType="end"/>
                  </m:r>
                  <w:bookmarkEnd w:id="7"/>
                </m:e>
              </m:d>
            </m:e>
          </m:eqArr>
        </m:oMath>
      </m:oMathPara>
    </w:p>
    <w:p w14:paraId="1913FF44" w14:textId="2F1DAEDE" w:rsidR="00D968A7" w:rsidRDefault="00C82A00" w:rsidP="00234B3E">
      <w:pPr>
        <w:pStyle w:val="Text"/>
        <w:ind w:firstLine="0"/>
        <w:rPr>
          <w:rFonts w:eastAsiaTheme="minorEastAsia"/>
        </w:rPr>
      </w:pPr>
      <w:r w:rsidRPr="00C65BA8">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L</m:t>
            </m:r>
          </m:e>
          <m:sub>
            <m:r>
              <m:rPr>
                <m:sty m:val="p"/>
              </m:rPr>
              <w:rPr>
                <w:rFonts w:ascii="Cambria Math" w:eastAsiaTheme="minorEastAsia" w:hAnsi="Cambria Math"/>
              </w:rPr>
              <m:t>s</m:t>
            </m:r>
          </m:sub>
        </m:sSub>
      </m:oMath>
      <w:r w:rsidRPr="00C65BA8">
        <w:rPr>
          <w:rFonts w:eastAsiaTheme="minorEastAsia"/>
        </w:rPr>
        <w:t xml:space="preserve"> [J kg</w:t>
      </w:r>
      <w:r w:rsidRPr="00C65BA8">
        <w:rPr>
          <w:rFonts w:eastAsiaTheme="minorEastAsia"/>
          <w:vertAlign w:val="superscript"/>
        </w:rPr>
        <w:t>-1</w:t>
      </w:r>
      <w:r w:rsidRPr="00C65BA8">
        <w:rPr>
          <w:rFonts w:eastAsiaTheme="minorEastAsia"/>
        </w:rPr>
        <w:t>]</w:t>
      </w:r>
      <w:r>
        <w:rPr>
          <w:rFonts w:eastAsiaTheme="minorEastAsia"/>
        </w:rPr>
        <w:t xml:space="preserve"> </w:t>
      </w:r>
      <w:r w:rsidRPr="00C65BA8">
        <w:rPr>
          <w:rFonts w:eastAsiaTheme="minorEastAsia"/>
        </w:rPr>
        <w:t xml:space="preserve">is the latent heat of </w:t>
      </w:r>
      <w:r>
        <w:rPr>
          <w:rFonts w:eastAsiaTheme="minorEastAsia"/>
        </w:rPr>
        <w:t>sublimation</w:t>
      </w:r>
      <w:r w:rsidRPr="00C65BA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v</m:t>
            </m:r>
          </m:sub>
        </m:sSub>
      </m:oMath>
      <w:r w:rsidRPr="00C65BA8">
        <w:rPr>
          <w:rFonts w:eastAsiaTheme="minorEastAsia"/>
        </w:rPr>
        <w:t xml:space="preserve"> [J kg</w:t>
      </w:r>
      <w:r w:rsidRPr="00C65BA8">
        <w:rPr>
          <w:rFonts w:eastAsiaTheme="minorEastAsia"/>
          <w:vertAlign w:val="superscript"/>
        </w:rPr>
        <w:t>-1</w:t>
      </w:r>
      <w:r>
        <w:rPr>
          <w:rFonts w:eastAsiaTheme="minorEastAsia"/>
          <w:vertAlign w:val="superscript"/>
        </w:rPr>
        <w:t xml:space="preserve"> </w:t>
      </w:r>
      <w:r>
        <w:rPr>
          <w:rFonts w:eastAsiaTheme="minorEastAsia"/>
        </w:rPr>
        <w:t>K</w:t>
      </w:r>
      <w:r w:rsidRPr="00C65BA8">
        <w:rPr>
          <w:rFonts w:eastAsiaTheme="minorEastAsia"/>
          <w:vertAlign w:val="superscript"/>
        </w:rPr>
        <w:t>-1</w:t>
      </w:r>
      <w:r w:rsidRPr="00C65BA8">
        <w:rPr>
          <w:rFonts w:eastAsiaTheme="minorEastAsia"/>
        </w:rPr>
        <w:t>]</w:t>
      </w:r>
      <w:r>
        <w:rPr>
          <w:rFonts w:eastAsiaTheme="minorEastAsia"/>
        </w:rPr>
        <w:t xml:space="preserve"> </w:t>
      </w:r>
      <w:r w:rsidRPr="00C65BA8">
        <w:rPr>
          <w:rFonts w:eastAsiaTheme="minorEastAsia"/>
        </w:rPr>
        <w:t xml:space="preserve">is the gas constant for water vapor, the water vapor diffusivity, </w:t>
      </w:r>
      <m:oMath>
        <m:sSub>
          <m:sSubPr>
            <m:ctrlPr>
              <w:rPr>
                <w:rFonts w:ascii="Cambria Math" w:eastAsiaTheme="minorEastAsia" w:hAnsi="Cambria Math"/>
                <w:i/>
              </w:rPr>
            </m:ctrlPr>
          </m:sSubPr>
          <m:e>
            <m:r>
              <w:rPr>
                <w:rFonts w:ascii="Cambria Math" w:eastAsiaTheme="minorEastAsia" w:hAnsi="Cambria Math"/>
              </w:rPr>
              <m:t>D</m:t>
            </m:r>
          </m:e>
          <m:sub>
            <m:r>
              <m:rPr>
                <m:sty m:val="p"/>
              </m:rPr>
              <w:rPr>
                <w:rFonts w:ascii="Cambria Math" w:eastAsiaTheme="minorEastAsia" w:hAnsi="Cambria Math"/>
              </w:rPr>
              <m:t>e</m:t>
            </m:r>
          </m:sub>
        </m:sSub>
      </m:oMath>
      <w:r w:rsidRPr="00C65BA8">
        <w:rPr>
          <w:rFonts w:eastAsiaTheme="minorEastAsia"/>
        </w:rPr>
        <w:t xml:space="preserve"> [m</w:t>
      </w:r>
      <w:r w:rsidRPr="00C65BA8">
        <w:rPr>
          <w:rFonts w:eastAsiaTheme="minorEastAsia"/>
          <w:vertAlign w:val="superscript"/>
        </w:rPr>
        <w:t>2</w:t>
      </w:r>
      <w:r w:rsidRPr="00C65BA8">
        <w:rPr>
          <w:rFonts w:eastAsiaTheme="minorEastAsia"/>
        </w:rPr>
        <w:t xml:space="preserve"> s</w:t>
      </w:r>
      <w:r w:rsidRPr="00C65BA8">
        <w:rPr>
          <w:rFonts w:eastAsiaTheme="minorEastAsia"/>
          <w:vertAlign w:val="superscript"/>
        </w:rPr>
        <w:t>-1</w:t>
      </w:r>
      <w:r w:rsidRPr="00C65BA8">
        <w:rPr>
          <w:rFonts w:eastAsiaTheme="minorEastAsia"/>
        </w:rPr>
        <w:t>] is given by Anderson</w:t>
      </w:r>
      <w:r>
        <w:rPr>
          <w:rFonts w:eastAsiaTheme="minorEastAsia"/>
        </w:rPr>
        <w:fldChar w:fldCharType="begin"/>
      </w:r>
      <w:r w:rsidR="004B46B0">
        <w:rPr>
          <w:rFonts w:eastAsiaTheme="minorEastAsia"/>
        </w:rPr>
        <w:instrText xml:space="preserve"> ADDIN ZOTERO_ITEM CSL_CITATION {"citationID":"Z7ef5UpT","properties":{"formattedCitation":"\\super 14\\nosupersub{}","plainCitation":"14","noteIndex":0},"citationItems":[{"id":9,"uris":["http://zotero.org/users/1282866/items/BMQCPVAD"],"uri":["http://zotero.org/users/1282866/items/BMQCPVAD"],"itemData":{"id":9,"type":"article-journal","abstract":"Eric A. Anderson.","archive_location":"noaa:6392","collection-title":"NOAA technical report NWS ; 19","note":"publisher-place: Office of Hydrology, National Weather Service","title":"A  point energy and mass balance model of a snow cover","URL":"https://repository.library.noaa.gov/view/noaa/6392","editor":[{"family":"United States","given":"National Weather Service"}],"author":[{"family":"Anderson","given":"Eric A."}],"issued":{"date-parts":[["1976"]]}},"suppress-author":true}],"schema":"https://github.com/citation-style-language/schema/raw/master/csl-citation.json"} </w:instrText>
      </w:r>
      <w:r>
        <w:rPr>
          <w:rFonts w:eastAsiaTheme="minorEastAsia"/>
        </w:rPr>
        <w:fldChar w:fldCharType="separate"/>
      </w:r>
      <w:r w:rsidR="004B46B0" w:rsidRPr="004B46B0">
        <w:rPr>
          <w:vertAlign w:val="superscript"/>
        </w:rPr>
        <w:t>14</w:t>
      </w:r>
      <w:r>
        <w:rPr>
          <w:rFonts w:eastAsiaTheme="minorEastAsia"/>
        </w:rPr>
        <w:fldChar w:fldCharType="end"/>
      </w:r>
      <w:r w:rsidRPr="00C65BA8">
        <w:rPr>
          <w:rFonts w:eastAsiaTheme="minorEastAsia"/>
        </w:rPr>
        <w:t>:</w:t>
      </w:r>
    </w:p>
    <w:p w14:paraId="4520E30D" w14:textId="6B6160D5" w:rsidR="00D968A7" w:rsidRPr="00D968A7"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D</m:t>
                  </m:r>
                </m:e>
                <m:sub>
                  <m:r>
                    <w:rPr>
                      <w:rFonts w:eastAsiaTheme="minorEastAsia"/>
                    </w:rPr>
                    <m:t>e</m:t>
                  </m:r>
                </m:sub>
              </m:sSub>
              <m:r>
                <w:rPr>
                  <w:rFonts w:eastAsiaTheme="minorEastAsia"/>
                </w:rPr>
                <m:t>=9.0×</m:t>
              </m:r>
              <m:sSup>
                <m:sSupPr>
                  <m:ctrlPr>
                    <w:rPr>
                      <w:rFonts w:eastAsiaTheme="minorEastAsia"/>
                    </w:rPr>
                  </m:ctrlPr>
                </m:sSupPr>
                <m:e>
                  <m:r>
                    <w:rPr>
                      <w:rFonts w:eastAsiaTheme="minorEastAsia"/>
                    </w:rPr>
                    <m:t>10</m:t>
                  </m:r>
                </m:e>
                <m:sup>
                  <m:r>
                    <w:rPr>
                      <w:rFonts w:eastAsiaTheme="minorEastAsia"/>
                    </w:rPr>
                    <m:t>-5</m:t>
                  </m:r>
                </m:sup>
              </m:sSup>
              <m:sSup>
                <m:sSupPr>
                  <m:ctrlPr>
                    <w:rPr>
                      <w:rFonts w:eastAsiaTheme="minorEastAsia"/>
                    </w:rPr>
                  </m:ctrlPr>
                </m:sSupPr>
                <m:e>
                  <m:d>
                    <m:dPr>
                      <m:ctrlPr>
                        <w:rPr>
                          <w:rFonts w:eastAsiaTheme="minorEastAsia"/>
                        </w:rPr>
                      </m:ctrlPr>
                    </m:dPr>
                    <m:e>
                      <m:f>
                        <m:fPr>
                          <m:ctrlPr>
                            <w:rPr>
                              <w:rFonts w:eastAsiaTheme="minorEastAsia"/>
                            </w:rPr>
                          </m:ctrlPr>
                        </m:fPr>
                        <m:num>
                          <m:sSub>
                            <m:sSubPr>
                              <m:ctrlPr>
                                <w:rPr>
                                  <w:rFonts w:eastAsiaTheme="minorEastAsia"/>
                                </w:rPr>
                              </m:ctrlPr>
                            </m:sSubPr>
                            <m:e>
                              <m:r>
                                <w:rPr>
                                  <w:rFonts w:eastAsiaTheme="minorEastAsia"/>
                                </w:rPr>
                                <m:t>T</m:t>
                              </m:r>
                            </m:e>
                            <m:sub>
                              <m:r>
                                <w:rPr>
                                  <w:rFonts w:eastAsiaTheme="minorEastAsia"/>
                                </w:rPr>
                                <m:t>i</m:t>
                              </m:r>
                            </m:sub>
                          </m:sSub>
                        </m:num>
                        <m:den>
                          <m:r>
                            <w:rPr>
                              <w:rFonts w:eastAsiaTheme="minorEastAsia"/>
                            </w:rPr>
                            <m:t>273.16</m:t>
                          </m:r>
                        </m:den>
                      </m:f>
                    </m:e>
                  </m:d>
                </m:e>
                <m:sup>
                  <m:r>
                    <w:rPr>
                      <w:rFonts w:eastAsiaTheme="minorEastAsia"/>
                    </w:rPr>
                    <m:t>14</m:t>
                  </m:r>
                </m:sup>
              </m:sSup>
              <m:r>
                <w:rPr>
                  <w:rFonts w:eastAsiaTheme="minorEastAsia"/>
                </w:rPr>
                <m:t>#</m:t>
              </m:r>
              <m:d>
                <m:dPr>
                  <m:ctrlPr>
                    <w:rPr>
                      <w:rFonts w:eastAsiaTheme="minorEastAsia"/>
                    </w:rPr>
                  </m:ctrlPr>
                </m:dPr>
                <m:e>
                  <w:bookmarkStart w:id="8" w:name="eq7"/>
                  <m:r>
                    <w:fldChar w:fldCharType="begin"/>
                  </m:r>
                  <m:r>
                    <m:t xml:space="preserve"> SEQ Equation \* ARABIC </m:t>
                  </m:r>
                  <m:r>
                    <w:fldChar w:fldCharType="separate"/>
                  </m:r>
                  <m:r>
                    <w:rPr>
                      <w:noProof/>
                    </w:rPr>
                    <m:t>6</m:t>
                  </m:r>
                  <m:r>
                    <w:fldChar w:fldCharType="end"/>
                  </m:r>
                  <w:bookmarkEnd w:id="8"/>
                </m:e>
              </m:d>
            </m:e>
          </m:eqArr>
        </m:oMath>
      </m:oMathPara>
    </w:p>
    <w:p w14:paraId="7B70FD7A" w14:textId="46D9D132" w:rsidR="00C65BA8" w:rsidRDefault="00C65BA8" w:rsidP="00234B3E">
      <w:pPr>
        <w:pStyle w:val="Text"/>
        <w:ind w:firstLine="0"/>
        <w:rPr>
          <w:rFonts w:eastAsiaTheme="minorEastAsia"/>
        </w:rPr>
      </w:pPr>
      <w:r w:rsidRPr="00C65BA8">
        <w:rPr>
          <w:rFonts w:eastAsiaTheme="minorEastAsia"/>
        </w:rPr>
        <w:t xml:space="preserve">and the saturation vapor pressure over ice </w:t>
      </w:r>
      <m:oMath>
        <m:sSub>
          <m:sSubPr>
            <m:ctrlPr>
              <w:rPr>
                <w:rFonts w:ascii="Cambria Math" w:eastAsiaTheme="minorEastAsia" w:hAnsi="Cambria Math"/>
                <w:i/>
              </w:rPr>
            </m:ctrlPr>
          </m:sSubPr>
          <m:e>
            <m:r>
              <w:rPr>
                <w:rFonts w:ascii="Cambria Math" w:eastAsiaTheme="minorEastAsia" w:hAnsi="Cambria Math"/>
              </w:rPr>
              <m:t>e</m:t>
            </m:r>
          </m:e>
          <m:sub>
            <m:r>
              <m:rPr>
                <m:sty m:val="p"/>
              </m:rPr>
              <w:rPr>
                <w:rFonts w:ascii="Cambria Math" w:eastAsiaTheme="minorEastAsia" w:hAnsi="Cambria Math"/>
              </w:rPr>
              <m:t>si</m:t>
            </m:r>
          </m:sub>
        </m:sSub>
      </m:oMath>
      <w:r w:rsidRPr="00C65BA8">
        <w:rPr>
          <w:rFonts w:eastAsiaTheme="minorEastAsia"/>
        </w:rPr>
        <w:t xml:space="preserve"> (Pa) is defined according to Murray</w:t>
      </w:r>
      <w:r w:rsidR="00974896">
        <w:rPr>
          <w:rFonts w:eastAsiaTheme="minorEastAsia"/>
        </w:rPr>
        <w:fldChar w:fldCharType="begin"/>
      </w:r>
      <w:r w:rsidR="004B46B0">
        <w:rPr>
          <w:rFonts w:eastAsiaTheme="minorEastAsia"/>
        </w:rPr>
        <w:instrText xml:space="preserve"> ADDIN ZOTERO_ITEM CSL_CITATION {"citationID":"R5yW9uMM","properties":{"formattedCitation":"\\super 15\\nosupersub{}","plainCitation":"15","noteIndex":0},"citationItems":[{"id":2536,"uris":["http://zotero.org/users/1282866/items/GSYILNVV"],"uri":["http://zotero.org/users/1282866/items/GSYILNVV"],"itemData":{"id":2536,"type":"article-journal","container-title":"Journal of Applied Meteorology","DOI":"10.1175/1520-0450(1967)006&lt;0203:OTCOSV&gt;2.0.CO;2","ISSN":"0021-8952","issue":"1","journalAbbreviation":"Journal of Applied Meteorology","page":"203-204","title":"On the Computation of Saturation Vapor Pressure","volume":"6","author":[{"family":"Murray","given":"F. W."}],"issued":{"date-parts":[["1967",2,1]]}}}],"schema":"https://github.com/citation-style-language/schema/raw/master/csl-citation.json"} </w:instrText>
      </w:r>
      <w:r w:rsidR="00974896">
        <w:rPr>
          <w:rFonts w:eastAsiaTheme="minorEastAsia"/>
        </w:rPr>
        <w:fldChar w:fldCharType="separate"/>
      </w:r>
      <w:r w:rsidR="004B46B0" w:rsidRPr="004B46B0">
        <w:rPr>
          <w:vertAlign w:val="superscript"/>
        </w:rPr>
        <w:t>15</w:t>
      </w:r>
      <w:r w:rsidR="00974896">
        <w:rPr>
          <w:rFonts w:eastAsiaTheme="minorEastAsia"/>
        </w:rPr>
        <w:fldChar w:fldCharType="end"/>
      </w:r>
      <w:r w:rsidRPr="00C65BA8">
        <w:rPr>
          <w:rFonts w:eastAsiaTheme="minorEastAsia"/>
        </w:rPr>
        <w:t>:</w:t>
      </w:r>
    </w:p>
    <w:p w14:paraId="56C08A9E" w14:textId="3F675D43" w:rsidR="00D968A7" w:rsidRPr="00D968A7"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e</m:t>
                  </m:r>
                </m:e>
                <m:sub>
                  <m:r>
                    <w:rPr>
                      <w:rFonts w:eastAsiaTheme="minorEastAsia"/>
                    </w:rPr>
                    <m:t>si</m:t>
                  </m:r>
                </m:sub>
              </m:sSub>
              <m:r>
                <w:rPr>
                  <w:rFonts w:eastAsiaTheme="minorEastAsia"/>
                </w:rPr>
                <m:t>=610.78</m:t>
              </m:r>
              <m:func>
                <m:funcPr>
                  <m:ctrlPr>
                    <w:rPr>
                      <w:rFonts w:eastAsiaTheme="minorEastAsia"/>
                    </w:rPr>
                  </m:ctrlPr>
                </m:funcPr>
                <m:fName>
                  <m:r>
                    <w:rPr>
                      <w:rFonts w:eastAsiaTheme="minorEastAsia"/>
                    </w:rPr>
                    <m:t>exp</m:t>
                  </m:r>
                </m:fName>
                <m:e>
                  <m:d>
                    <m:dPr>
                      <m:begChr m:val="["/>
                      <m:endChr m:val="]"/>
                      <m:ctrlPr>
                        <w:rPr>
                          <w:rFonts w:eastAsiaTheme="minorEastAsia"/>
                        </w:rPr>
                      </m:ctrlPr>
                    </m:dPr>
                    <m:e>
                      <m:f>
                        <m:fPr>
                          <m:ctrlPr>
                            <w:rPr>
                              <w:rFonts w:eastAsiaTheme="minorEastAsia"/>
                            </w:rPr>
                          </m:ctrlPr>
                        </m:fPr>
                        <m:num>
                          <m:r>
                            <w:rPr>
                              <w:rFonts w:eastAsiaTheme="minorEastAsia"/>
                            </w:rPr>
                            <m:t>21.875</m:t>
                          </m:r>
                          <m:d>
                            <m:dPr>
                              <m:ctrlPr>
                                <w:rPr>
                                  <w:rFonts w:eastAsiaTheme="minorEastAsia"/>
                                </w:rPr>
                              </m:ctrlPr>
                            </m:dPr>
                            <m:e>
                              <m:sSub>
                                <m:sSubPr>
                                  <m:ctrlPr>
                                    <w:rPr>
                                      <w:rFonts w:eastAsiaTheme="minorEastAsia"/>
                                    </w:rPr>
                                  </m:ctrlPr>
                                </m:sSubPr>
                                <m:e>
                                  <m:r>
                                    <w:rPr>
                                      <w:rFonts w:eastAsiaTheme="minorEastAsia"/>
                                    </w:rPr>
                                    <m:t>T</m:t>
                                  </m:r>
                                </m:e>
                                <m:sub>
                                  <m:r>
                                    <w:rPr>
                                      <w:rFonts w:eastAsiaTheme="minorEastAsia"/>
                                    </w:rPr>
                                    <m:t>i</m:t>
                                  </m:r>
                                </m:sub>
                              </m:sSub>
                              <m:r>
                                <w:rPr>
                                  <w:rFonts w:eastAsiaTheme="minorEastAsia"/>
                                </w:rPr>
                                <m:t>-273.16</m:t>
                              </m:r>
                            </m:e>
                          </m:d>
                        </m:num>
                        <m:den>
                          <m:sSub>
                            <m:sSubPr>
                              <m:ctrlPr>
                                <w:rPr>
                                  <w:rFonts w:eastAsiaTheme="minorEastAsia"/>
                                </w:rPr>
                              </m:ctrlPr>
                            </m:sSubPr>
                            <m:e>
                              <m:r>
                                <w:rPr>
                                  <w:rFonts w:eastAsiaTheme="minorEastAsia"/>
                                </w:rPr>
                                <m:t>T</m:t>
                              </m:r>
                            </m:e>
                            <m:sub>
                              <m:r>
                                <w:rPr>
                                  <w:rFonts w:eastAsiaTheme="minorEastAsia"/>
                                </w:rPr>
                                <m:t>i</m:t>
                              </m:r>
                            </m:sub>
                          </m:sSub>
                          <m:r>
                            <w:rPr>
                              <w:rFonts w:eastAsiaTheme="minorEastAsia"/>
                            </w:rPr>
                            <m:t>-7.66</m:t>
                          </m:r>
                        </m:den>
                      </m:f>
                    </m:e>
                  </m:d>
                </m:e>
              </m:func>
              <m:r>
                <w:rPr>
                  <w:rFonts w:eastAsiaTheme="minorEastAsia"/>
                </w:rPr>
                <m:t>#</m:t>
              </m:r>
              <m:d>
                <m:dPr>
                  <m:ctrlPr>
                    <w:rPr>
                      <w:rFonts w:eastAsiaTheme="minorEastAsia"/>
                    </w:rPr>
                  </m:ctrlPr>
                </m:dPr>
                <m:e>
                  <w:bookmarkStart w:id="9" w:name="eq8"/>
                  <m:r>
                    <w:fldChar w:fldCharType="begin"/>
                  </m:r>
                  <m:r>
                    <m:t xml:space="preserve"> SEQ Equation \* ARABIC </m:t>
                  </m:r>
                  <m:r>
                    <w:fldChar w:fldCharType="separate"/>
                  </m:r>
                  <m:r>
                    <w:rPr>
                      <w:noProof/>
                    </w:rPr>
                    <m:t>7</m:t>
                  </m:r>
                  <m:r>
                    <w:fldChar w:fldCharType="end"/>
                  </m:r>
                  <w:bookmarkEnd w:id="9"/>
                </m:e>
              </m:d>
            </m:e>
          </m:eqArr>
        </m:oMath>
      </m:oMathPara>
    </w:p>
    <w:p w14:paraId="2A037F7B" w14:textId="0E848F50" w:rsidR="00C65BA8" w:rsidRDefault="00C65BA8" w:rsidP="00974896">
      <w:pPr>
        <w:pStyle w:val="Text"/>
        <w:ind w:firstLine="0"/>
        <w:rPr>
          <w:rFonts w:eastAsiaTheme="minorEastAsia"/>
        </w:rPr>
      </w:pPr>
      <w:r w:rsidRPr="00C65BA8">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T</m:t>
            </m:r>
          </m:e>
          <m:sub>
            <m:r>
              <m:rPr>
                <m:sty m:val="p"/>
              </m:rPr>
              <w:rPr>
                <w:rFonts w:ascii="Cambria Math" w:eastAsiaTheme="minorEastAsia" w:hAnsi="Cambria Math"/>
              </w:rPr>
              <m:t>i</m:t>
            </m:r>
          </m:sub>
        </m:sSub>
      </m:oMath>
      <w:r w:rsidRPr="00C65BA8">
        <w:rPr>
          <w:rFonts w:eastAsiaTheme="minorEastAsia"/>
        </w:rPr>
        <w:t xml:space="preserve"> is in [K]. </w:t>
      </w:r>
      <w:r>
        <w:rPr>
          <w:rFonts w:eastAsiaTheme="minorEastAsia"/>
        </w:rPr>
        <w:t>When</w:t>
      </w:r>
      <w:r w:rsidRPr="00C65BA8">
        <w:rPr>
          <w:rFonts w:eastAsiaTheme="minorEastAsia"/>
        </w:rPr>
        <w:t xml:space="preserve"> meltwater is contained within the ice matrix, </w:t>
      </w:r>
      <m:oMath>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m:t>
            </m:r>
          </m:sub>
        </m:sSub>
      </m:oMath>
      <w:r w:rsidRPr="00C65BA8">
        <w:rPr>
          <w:rFonts w:eastAsiaTheme="minorEastAsia"/>
        </w:rPr>
        <w:t xml:space="preserve"> is replaced with </w:t>
      </w:r>
      <m:oMath>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iw</m:t>
            </m:r>
          </m:sub>
        </m:sSub>
      </m:oMath>
      <w:r w:rsidRPr="00C65BA8">
        <w:rPr>
          <w:rFonts w:eastAsiaTheme="minorEastAsia"/>
        </w:rPr>
        <w:t>:</w:t>
      </w:r>
    </w:p>
    <w:p w14:paraId="453D15D3" w14:textId="7C17B57F" w:rsidR="00D968A7" w:rsidRPr="00685C63" w:rsidRDefault="00202492" w:rsidP="00234B3E">
      <w:pPr>
        <w:pStyle w:val="MyEquation"/>
        <w:rPr>
          <w:rFonts w:ascii="Times New Roman" w:eastAsiaTheme="minorEastAsia"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k</m:t>
                  </m:r>
                </m:e>
                <m:sub>
                  <m:r>
                    <w:rPr>
                      <w:rFonts w:eastAsiaTheme="minorEastAsia"/>
                    </w:rPr>
                    <m:t>iw</m:t>
                  </m:r>
                </m:sub>
              </m:sSub>
              <m:r>
                <w:rPr>
                  <w:rFonts w:eastAsiaTheme="minorEastAsia"/>
                </w:rPr>
                <m:t>=</m:t>
              </m:r>
              <m:sSub>
                <m:sSubPr>
                  <m:ctrlPr>
                    <w:rPr>
                      <w:rFonts w:eastAsiaTheme="minorEastAsia"/>
                    </w:rPr>
                  </m:ctrlPr>
                </m:sSubPr>
                <m:e>
                  <m:r>
                    <w:rPr>
                      <w:rFonts w:eastAsiaTheme="minorEastAsia"/>
                    </w:rPr>
                    <m:t>θ</m:t>
                  </m:r>
                </m:e>
                <m:sub>
                  <m:r>
                    <w:rPr>
                      <w:rFonts w:eastAsiaTheme="minorEastAsia"/>
                    </w:rPr>
                    <m:t>i</m:t>
                  </m:r>
                </m:sub>
              </m:sSub>
              <m:sSub>
                <m:sSubPr>
                  <m:ctrlPr>
                    <w:rPr>
                      <w:rFonts w:eastAsiaTheme="minorEastAsia"/>
                    </w:rPr>
                  </m:ctrlPr>
                </m:sSubPr>
                <m:e>
                  <m:r>
                    <w:rPr>
                      <w:rFonts w:eastAsiaTheme="minorEastAsia"/>
                    </w:rPr>
                    <m:t>k</m:t>
                  </m:r>
                </m:e>
                <m:sub>
                  <m:r>
                    <w:rPr>
                      <w:rFonts w:eastAsiaTheme="minorEastAsia"/>
                    </w:rPr>
                    <m:t>i</m:t>
                  </m:r>
                </m:sub>
              </m:sSub>
              <m:r>
                <w:rPr>
                  <w:rFonts w:eastAsiaTheme="minorEastAsia"/>
                </w:rPr>
                <m:t>+</m:t>
              </m:r>
              <m:sSub>
                <m:sSubPr>
                  <m:ctrlPr>
                    <w:rPr>
                      <w:rFonts w:eastAsiaTheme="minorEastAsia"/>
                    </w:rPr>
                  </m:ctrlPr>
                </m:sSubPr>
                <m:e>
                  <m:r>
                    <w:rPr>
                      <w:rFonts w:eastAsiaTheme="minorEastAsia"/>
                    </w:rPr>
                    <m:t>θ</m:t>
                  </m:r>
                </m:e>
                <m:sub>
                  <m:r>
                    <w:rPr>
                      <w:rFonts w:eastAsiaTheme="minorEastAsia"/>
                    </w:rPr>
                    <m:t>w</m:t>
                  </m:r>
                </m:sub>
              </m:sSub>
              <m:sSub>
                <m:sSubPr>
                  <m:ctrlPr>
                    <w:rPr>
                      <w:rFonts w:eastAsiaTheme="minorEastAsia"/>
                    </w:rPr>
                  </m:ctrlPr>
                </m:sSubPr>
                <m:e>
                  <m:r>
                    <w:rPr>
                      <w:rFonts w:eastAsiaTheme="minorEastAsia"/>
                    </w:rPr>
                    <m:t>k</m:t>
                  </m:r>
                </m:e>
                <m:sub>
                  <m:r>
                    <w:rPr>
                      <w:rFonts w:eastAsiaTheme="minorEastAsia"/>
                    </w:rPr>
                    <m:t>w</m:t>
                  </m:r>
                </m:sub>
              </m:sSub>
              <m:r>
                <w:rPr>
                  <w:rFonts w:eastAsiaTheme="minorEastAsia"/>
                </w:rPr>
                <m:t>#</m:t>
              </m:r>
              <m:d>
                <m:dPr>
                  <m:ctrlPr>
                    <w:rPr>
                      <w:rFonts w:eastAsiaTheme="minorEastAsia"/>
                    </w:rPr>
                  </m:ctrlPr>
                </m:dPr>
                <m:e>
                  <w:bookmarkStart w:id="10" w:name="eq9"/>
                  <m:r>
                    <w:fldChar w:fldCharType="begin"/>
                  </m:r>
                  <m:r>
                    <m:t xml:space="preserve"> SEQ Equation \* ARABIC </m:t>
                  </m:r>
                  <m:r>
                    <w:fldChar w:fldCharType="separate"/>
                  </m:r>
                  <m:r>
                    <w:rPr>
                      <w:noProof/>
                    </w:rPr>
                    <m:t>8</m:t>
                  </m:r>
                  <m:r>
                    <w:fldChar w:fldCharType="end"/>
                  </m:r>
                  <w:bookmarkEnd w:id="10"/>
                </m:e>
              </m:d>
            </m:e>
          </m:eqArr>
        </m:oMath>
      </m:oMathPara>
    </w:p>
    <w:p w14:paraId="7ED05D2E" w14:textId="1A93A05B" w:rsidR="00D968A7" w:rsidRDefault="00463159" w:rsidP="00AC0CA2">
      <w:pPr>
        <w:pStyle w:val="Text"/>
        <w:ind w:firstLine="0"/>
      </w:pPr>
      <w:r>
        <w:lastRenderedPageBreak/>
        <w:t xml:space="preserve">and </w:t>
      </w:r>
      <m:oMath>
        <m:sSub>
          <m:sSubPr>
            <m:ctrlPr>
              <w:rPr>
                <w:rFonts w:ascii="Cambria Math" w:eastAsiaTheme="minorEastAsia" w:hAnsi="Cambria Math"/>
                <w:i/>
              </w:rPr>
            </m:ctrlPr>
          </m:sSubPr>
          <m:e>
            <m:r>
              <w:rPr>
                <w:rFonts w:ascii="Cambria Math" w:eastAsiaTheme="minorEastAsia" w:hAnsi="Cambria Math"/>
              </w:rPr>
              <m:t>C</m:t>
            </m:r>
          </m:e>
          <m:sub>
            <m:r>
              <m:rPr>
                <m:sty m:val="p"/>
              </m:rPr>
              <w:rPr>
                <w:rFonts w:ascii="Cambria Math" w:eastAsiaTheme="minorEastAsia" w:hAnsi="Cambria Math"/>
              </w:rPr>
              <m:t>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m:rPr>
                <m:sty m:val="p"/>
              </m:rP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s</m:t>
            </m:r>
          </m:sub>
        </m:sSub>
      </m:oMath>
      <w:r>
        <w:t xml:space="preserve"> is updated according to:</w:t>
      </w:r>
    </w:p>
    <w:p w14:paraId="2E5DCC35" w14:textId="1EAAA2D4" w:rsidR="00D968A7" w:rsidRPr="00D968A7" w:rsidRDefault="00202492" w:rsidP="00234B3E">
      <w:pPr>
        <w:pStyle w:val="MyEquation"/>
        <w:rPr>
          <w:rFonts w:ascii="Times New Roman"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C</m:t>
                  </m:r>
                </m:e>
                <m:sub>
                  <m:r>
                    <w:rPr>
                      <w:rFonts w:eastAsiaTheme="minorEastAsia"/>
                    </w:rPr>
                    <m:t>s</m:t>
                  </m:r>
                </m:sub>
              </m:sSub>
              <m:r>
                <w:rPr>
                  <w:rFonts w:eastAsiaTheme="minorEastAsia"/>
                </w:rPr>
                <m:t>=</m:t>
              </m:r>
              <m:sSub>
                <m:sSubPr>
                  <m:ctrlPr>
                    <w:rPr>
                      <w:rFonts w:eastAsiaTheme="minorEastAsia"/>
                    </w:rPr>
                  </m:ctrlPr>
                </m:sSubPr>
                <m:e>
                  <m:r>
                    <w:rPr>
                      <w:rFonts w:eastAsiaTheme="minorEastAsia"/>
                    </w:rPr>
                    <m:t>θ</m:t>
                  </m:r>
                </m:e>
                <m:sub>
                  <m:r>
                    <w:rPr>
                      <w:rFonts w:eastAsiaTheme="minorEastAsia"/>
                    </w:rPr>
                    <m:t>i</m:t>
                  </m:r>
                </m:sub>
              </m:sSub>
              <m:sSub>
                <m:sSubPr>
                  <m:ctrlPr>
                    <w:rPr>
                      <w:rFonts w:eastAsiaTheme="minorEastAsia"/>
                    </w:rPr>
                  </m:ctrlPr>
                </m:sSubPr>
                <m:e>
                  <m:r>
                    <w:rPr>
                      <w:rFonts w:eastAsiaTheme="minorEastAsia"/>
                    </w:rPr>
                    <m:t>C</m:t>
                  </m:r>
                </m:e>
                <m:sub>
                  <m:r>
                    <w:rPr>
                      <w:rFonts w:eastAsiaTheme="minorEastAsia"/>
                    </w:rPr>
                    <m:t>i</m:t>
                  </m:r>
                </m:sub>
              </m:sSub>
              <m:r>
                <w:rPr>
                  <w:rFonts w:eastAsiaTheme="minorEastAsia"/>
                </w:rPr>
                <m:t>+</m:t>
              </m:r>
              <m:sSub>
                <m:sSubPr>
                  <m:ctrlPr>
                    <w:rPr>
                      <w:rFonts w:eastAsiaTheme="minorEastAsia"/>
                    </w:rPr>
                  </m:ctrlPr>
                </m:sSubPr>
                <m:e>
                  <m:r>
                    <w:rPr>
                      <w:rFonts w:eastAsiaTheme="minorEastAsia"/>
                    </w:rPr>
                    <m:t>θ</m:t>
                  </m:r>
                </m:e>
                <m:sub>
                  <m:r>
                    <w:rPr>
                      <w:rFonts w:eastAsiaTheme="minorEastAsia"/>
                    </w:rPr>
                    <m:t>w</m:t>
                  </m:r>
                </m:sub>
              </m:sSub>
              <m:sSub>
                <m:sSubPr>
                  <m:ctrlPr>
                    <w:rPr>
                      <w:rFonts w:eastAsiaTheme="minorEastAsia"/>
                    </w:rPr>
                  </m:ctrlPr>
                </m:sSubPr>
                <m:e>
                  <m:r>
                    <w:rPr>
                      <w:rFonts w:eastAsiaTheme="minorEastAsia"/>
                    </w:rPr>
                    <m:t>C</m:t>
                  </m:r>
                </m:e>
                <m:sub>
                  <m:r>
                    <w:rPr>
                      <w:rFonts w:eastAsiaTheme="minorEastAsia"/>
                    </w:rPr>
                    <m:t>w</m:t>
                  </m:r>
                </m:sub>
              </m:sSub>
              <m:r>
                <w:rPr>
                  <w:rFonts w:eastAsiaTheme="minorEastAsia"/>
                </w:rPr>
                <m:t>+</m:t>
              </m:r>
              <m:sSub>
                <m:sSubPr>
                  <m:ctrlPr>
                    <w:rPr>
                      <w:rFonts w:eastAsiaTheme="minorEastAsia"/>
                    </w:rPr>
                  </m:ctrlPr>
                </m:sSubPr>
                <m:e>
                  <m:r>
                    <w:rPr>
                      <w:rFonts w:eastAsiaTheme="minorEastAsia"/>
                    </w:rPr>
                    <m:t>θ</m:t>
                  </m:r>
                </m:e>
                <m:sub>
                  <m:r>
                    <w:rPr>
                      <w:rFonts w:eastAsiaTheme="minorEastAsia"/>
                    </w:rPr>
                    <m:t>a</m:t>
                  </m:r>
                </m:sub>
              </m:sSub>
              <m:sSub>
                <m:sSubPr>
                  <m:ctrlPr>
                    <w:rPr>
                      <w:rFonts w:eastAsiaTheme="minorEastAsia"/>
                    </w:rPr>
                  </m:ctrlPr>
                </m:sSubPr>
                <m:e>
                  <m:r>
                    <w:rPr>
                      <w:rFonts w:eastAsiaTheme="minorEastAsia"/>
                    </w:rPr>
                    <m:t>C</m:t>
                  </m:r>
                </m:e>
                <m:sub>
                  <m:r>
                    <w:rPr>
                      <w:rFonts w:eastAsiaTheme="minorEastAsia"/>
                    </w:rPr>
                    <m:t>a</m:t>
                  </m:r>
                </m:sub>
              </m:sSub>
              <m:r>
                <w:rPr>
                  <w:rFonts w:eastAsiaTheme="minorEastAsia"/>
                </w:rPr>
                <m:t>#</m:t>
              </m:r>
              <m:d>
                <m:dPr>
                  <m:ctrlPr>
                    <w:rPr>
                      <w:rFonts w:eastAsiaTheme="minorEastAsia"/>
                    </w:rPr>
                  </m:ctrlPr>
                </m:dPr>
                <m:e>
                  <w:bookmarkStart w:id="11" w:name="eq10"/>
                  <m:r>
                    <w:fldChar w:fldCharType="begin"/>
                  </m:r>
                  <m:r>
                    <m:t xml:space="preserve"> SEQ Equation \* ARABIC </m:t>
                  </m:r>
                  <m:r>
                    <w:fldChar w:fldCharType="separate"/>
                  </m:r>
                  <m:r>
                    <w:rPr>
                      <w:noProof/>
                    </w:rPr>
                    <m:t>9</m:t>
                  </m:r>
                  <m:r>
                    <w:fldChar w:fldCharType="end"/>
                  </m:r>
                  <w:bookmarkEnd w:id="11"/>
                </m:e>
              </m:d>
            </m:e>
          </m:eqArr>
        </m:oMath>
      </m:oMathPara>
    </w:p>
    <w:p w14:paraId="1AB69FCB" w14:textId="531C5BFF" w:rsidR="00463159" w:rsidRDefault="00463159" w:rsidP="00AC0CA2">
      <w:pPr>
        <w:pStyle w:val="Text"/>
        <w:ind w:firstLine="0"/>
      </w:pPr>
      <w:r>
        <w:t xml:space="preserve">where </w:t>
      </w:r>
      <m:oMath>
        <m:sSub>
          <m:sSubPr>
            <m:ctrlPr>
              <w:rPr>
                <w:rFonts w:ascii="Cambria Math" w:eastAsiaTheme="minorEastAsia" w:hAnsi="Cambria Math"/>
                <w:i/>
              </w:rPr>
            </m:ctrlPr>
          </m:sSubPr>
          <m:e>
            <m:r>
              <w:rPr>
                <w:rFonts w:ascii="Cambria Math" w:eastAsiaTheme="minorEastAsia" w:hAnsi="Cambria Math"/>
              </w:rPr>
              <m:t>C</m:t>
            </m:r>
          </m:e>
          <m:sub>
            <m:r>
              <m:rPr>
                <m:sty m:val="p"/>
              </m:rPr>
              <w:rPr>
                <w:rFonts w:ascii="Cambria Math" w:eastAsiaTheme="minorEastAsia" w:hAnsi="Cambria Math"/>
              </w:rPr>
              <m:t>i</m:t>
            </m:r>
          </m:sub>
        </m:sSub>
      </m:oMath>
      <w:r>
        <w:t xml:space="preserve">, </w:t>
      </w:r>
      <m:oMath>
        <m:sSub>
          <m:sSubPr>
            <m:ctrlPr>
              <w:rPr>
                <w:rFonts w:ascii="Cambria Math" w:eastAsiaTheme="minorEastAsia" w:hAnsi="Cambria Math"/>
                <w:i/>
              </w:rPr>
            </m:ctrlPr>
          </m:sSubPr>
          <m:e>
            <m:r>
              <w:rPr>
                <w:rFonts w:ascii="Cambria Math" w:eastAsiaTheme="minorEastAsia" w:hAnsi="Cambria Math"/>
              </w:rPr>
              <m:t>C</m:t>
            </m:r>
          </m:e>
          <m:sub>
            <m:r>
              <m:rPr>
                <m:sty m:val="p"/>
              </m:rPr>
              <w:rPr>
                <w:rFonts w:ascii="Cambria Math" w:eastAsiaTheme="minorEastAsia" w:hAnsi="Cambria Math"/>
              </w:rPr>
              <m:t>w</m:t>
            </m:r>
          </m:sub>
        </m:sSub>
      </m:oMath>
      <w:r>
        <w:t xml:space="preserve">, and </w:t>
      </w:r>
      <m:oMath>
        <m:sSub>
          <m:sSubPr>
            <m:ctrlPr>
              <w:rPr>
                <w:rFonts w:ascii="Cambria Math" w:eastAsiaTheme="minorEastAsia" w:hAnsi="Cambria Math"/>
                <w:i/>
              </w:rPr>
            </m:ctrlPr>
          </m:sSubPr>
          <m:e>
            <m:r>
              <w:rPr>
                <w:rFonts w:ascii="Cambria Math" w:eastAsiaTheme="minorEastAsia" w:hAnsi="Cambria Math"/>
              </w:rPr>
              <m:t>C</m:t>
            </m:r>
          </m:e>
          <m:sub>
            <m:r>
              <m:rPr>
                <m:sty m:val="p"/>
              </m:rPr>
              <w:rPr>
                <w:rFonts w:ascii="Cambria Math" w:eastAsiaTheme="minorEastAsia" w:hAnsi="Cambria Math"/>
              </w:rPr>
              <m:t>a</m:t>
            </m:r>
          </m:sub>
        </m:sSub>
      </m:oMath>
      <w:r>
        <w:t xml:space="preserve">  [J kg</w:t>
      </w:r>
      <w:r w:rsidRPr="00463159">
        <w:rPr>
          <w:vertAlign w:val="superscript"/>
        </w:rPr>
        <w:t>-1</w:t>
      </w:r>
      <w:r>
        <w:t xml:space="preserve"> K</w:t>
      </w:r>
      <w:r w:rsidRPr="00463159">
        <w:rPr>
          <w:vertAlign w:val="superscript"/>
        </w:rPr>
        <w:t>-1</w:t>
      </w:r>
      <w:r>
        <w:t xml:space="preserve">] are the specific heat capacities of pure ice, water, and air, respectively, and </w:t>
      </w:r>
      <m:oMath>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s</m:t>
            </m:r>
          </m:sub>
        </m:sSub>
      </m:oMath>
      <w:r>
        <w:t xml:space="preserve"> </w:t>
      </w:r>
      <w:r w:rsidR="00775209" w:rsidRPr="00C65BA8">
        <w:rPr>
          <w:rFonts w:eastAsiaTheme="minorEastAsia"/>
        </w:rPr>
        <w:t>[kg m</w:t>
      </w:r>
      <w:r w:rsidR="00775209" w:rsidRPr="00C65BA8">
        <w:rPr>
          <w:rFonts w:eastAsiaTheme="minorEastAsia"/>
          <w:vertAlign w:val="superscript"/>
        </w:rPr>
        <w:t>-3</w:t>
      </w:r>
      <w:r w:rsidR="00775209" w:rsidRPr="00C65BA8">
        <w:rPr>
          <w:rFonts w:eastAsiaTheme="minorEastAsia"/>
        </w:rPr>
        <w:t>]</w:t>
      </w:r>
      <w:r w:rsidR="00775209">
        <w:t xml:space="preserve"> </w:t>
      </w:r>
      <w:r>
        <w:t xml:space="preserve">is the ice matrix bulk density: </w:t>
      </w:r>
    </w:p>
    <w:p w14:paraId="164F04F1" w14:textId="3727CE97" w:rsidR="00D968A7" w:rsidRPr="00D968A7" w:rsidRDefault="00202492" w:rsidP="00234B3E">
      <w:pPr>
        <w:pStyle w:val="MyEquation"/>
        <w:rPr>
          <w:rFonts w:ascii="Times New Roman" w:hAnsi="Times New Roman"/>
        </w:rPr>
      </w:pPr>
      <m:oMathPara>
        <m:oMath>
          <m:eqArr>
            <m:eqArrPr>
              <m:maxDist m:val="1"/>
              <m:ctrlPr>
                <w:rPr>
                  <w:rFonts w:eastAsiaTheme="minorEastAsia"/>
                </w:rPr>
              </m:ctrlPr>
            </m:eqArrPr>
            <m:e>
              <m:sSub>
                <m:sSubPr>
                  <m:ctrlPr>
                    <w:rPr>
                      <w:rFonts w:eastAsiaTheme="minorEastAsia"/>
                    </w:rPr>
                  </m:ctrlPr>
                </m:sSubPr>
                <m:e>
                  <m:r>
                    <w:rPr>
                      <w:rFonts w:eastAsiaTheme="minorEastAsia"/>
                    </w:rPr>
                    <m:t>ρ</m:t>
                  </m:r>
                </m:e>
                <m:sub>
                  <m:r>
                    <w:rPr>
                      <w:rFonts w:eastAsiaTheme="minorEastAsia"/>
                    </w:rPr>
                    <m:t>s</m:t>
                  </m:r>
                </m:sub>
              </m:sSub>
              <m:r>
                <w:rPr>
                  <w:rFonts w:eastAsiaTheme="minorEastAsia"/>
                </w:rPr>
                <m:t>=</m:t>
              </m:r>
              <m:sSub>
                <m:sSubPr>
                  <m:ctrlPr>
                    <w:rPr>
                      <w:rFonts w:eastAsiaTheme="minorEastAsia"/>
                    </w:rPr>
                  </m:ctrlPr>
                </m:sSubPr>
                <m:e>
                  <m:r>
                    <w:rPr>
                      <w:rFonts w:eastAsiaTheme="minorEastAsia"/>
                    </w:rPr>
                    <m:t>θ</m:t>
                  </m:r>
                </m:e>
                <m:sub>
                  <m:r>
                    <w:rPr>
                      <w:rFonts w:eastAsiaTheme="minorEastAsia"/>
                    </w:rPr>
                    <m:t>i</m:t>
                  </m:r>
                </m:sub>
              </m:sSub>
              <m:sSub>
                <m:sSubPr>
                  <m:ctrlPr>
                    <w:rPr>
                      <w:rFonts w:eastAsiaTheme="minorEastAsia"/>
                    </w:rPr>
                  </m:ctrlPr>
                </m:sSubPr>
                <m:e>
                  <m:r>
                    <w:rPr>
                      <w:rFonts w:eastAsiaTheme="minorEastAsia"/>
                    </w:rPr>
                    <m:t>ρ</m:t>
                  </m:r>
                </m:e>
                <m:sub>
                  <m:r>
                    <w:rPr>
                      <w:rFonts w:eastAsiaTheme="minorEastAsia"/>
                    </w:rPr>
                    <m:t>i</m:t>
                  </m:r>
                </m:sub>
              </m:sSub>
              <m:r>
                <w:rPr>
                  <w:rFonts w:eastAsiaTheme="minorEastAsia"/>
                </w:rPr>
                <m:t>+</m:t>
              </m:r>
              <m:sSub>
                <m:sSubPr>
                  <m:ctrlPr>
                    <w:rPr>
                      <w:rFonts w:eastAsiaTheme="minorEastAsia"/>
                    </w:rPr>
                  </m:ctrlPr>
                </m:sSubPr>
                <m:e>
                  <m:r>
                    <w:rPr>
                      <w:rFonts w:eastAsiaTheme="minorEastAsia"/>
                    </w:rPr>
                    <m:t>θ</m:t>
                  </m:r>
                </m:e>
                <m:sub>
                  <m:r>
                    <w:rPr>
                      <w:rFonts w:eastAsiaTheme="minorEastAsia"/>
                    </w:rPr>
                    <m:t>w</m:t>
                  </m:r>
                </m:sub>
              </m:sSub>
              <m:sSub>
                <m:sSubPr>
                  <m:ctrlPr>
                    <w:rPr>
                      <w:rFonts w:eastAsiaTheme="minorEastAsia"/>
                    </w:rPr>
                  </m:ctrlPr>
                </m:sSubPr>
                <m:e>
                  <m:r>
                    <w:rPr>
                      <w:rFonts w:eastAsiaTheme="minorEastAsia"/>
                    </w:rPr>
                    <m:t>ρ</m:t>
                  </m:r>
                </m:e>
                <m:sub>
                  <m:r>
                    <w:rPr>
                      <w:rFonts w:eastAsiaTheme="minorEastAsia"/>
                    </w:rPr>
                    <m:t>w</m:t>
                  </m:r>
                </m:sub>
              </m:sSub>
              <m:r>
                <w:rPr>
                  <w:rFonts w:eastAsiaTheme="minorEastAsia"/>
                </w:rPr>
                <m:t>+</m:t>
              </m:r>
              <m:sSub>
                <m:sSubPr>
                  <m:ctrlPr>
                    <w:rPr>
                      <w:rFonts w:eastAsiaTheme="minorEastAsia"/>
                    </w:rPr>
                  </m:ctrlPr>
                </m:sSubPr>
                <m:e>
                  <m:r>
                    <w:rPr>
                      <w:rFonts w:eastAsiaTheme="minorEastAsia"/>
                    </w:rPr>
                    <m:t>θ</m:t>
                  </m:r>
                </m:e>
                <m:sub>
                  <m:r>
                    <w:rPr>
                      <w:rFonts w:eastAsiaTheme="minorEastAsia"/>
                    </w:rPr>
                    <m:t>a</m:t>
                  </m:r>
                </m:sub>
              </m:sSub>
              <m:sSub>
                <m:sSubPr>
                  <m:ctrlPr>
                    <w:rPr>
                      <w:rFonts w:eastAsiaTheme="minorEastAsia"/>
                    </w:rPr>
                  </m:ctrlPr>
                </m:sSubPr>
                <m:e>
                  <m:r>
                    <w:rPr>
                      <w:rFonts w:eastAsiaTheme="minorEastAsia"/>
                    </w:rPr>
                    <m:t>ρ</m:t>
                  </m:r>
                </m:e>
                <m:sub>
                  <m:r>
                    <w:rPr>
                      <w:rFonts w:eastAsiaTheme="minorEastAsia"/>
                    </w:rPr>
                    <m:t>a</m:t>
                  </m:r>
                </m:sub>
              </m:sSub>
              <m:r>
                <w:rPr>
                  <w:rFonts w:eastAsiaTheme="minorEastAsia"/>
                </w:rPr>
                <m:t>.#</m:t>
              </m:r>
              <m:d>
                <m:dPr>
                  <m:ctrlPr>
                    <w:rPr>
                      <w:rFonts w:eastAsiaTheme="minorEastAsia"/>
                    </w:rPr>
                  </m:ctrlPr>
                </m:dPr>
                <m:e>
                  <w:bookmarkStart w:id="12" w:name="eq11"/>
                  <m:r>
                    <w:fldChar w:fldCharType="begin"/>
                  </m:r>
                  <m:r>
                    <m:t xml:space="preserve"> SEQ Equation \* ARABIC </m:t>
                  </m:r>
                  <m:r>
                    <w:fldChar w:fldCharType="separate"/>
                  </m:r>
                  <m:r>
                    <w:rPr>
                      <w:noProof/>
                    </w:rPr>
                    <m:t>10</m:t>
                  </m:r>
                  <m:r>
                    <w:fldChar w:fldCharType="end"/>
                  </m:r>
                  <w:bookmarkEnd w:id="12"/>
                </m:e>
              </m:d>
            </m:e>
          </m:eqArr>
        </m:oMath>
      </m:oMathPara>
    </w:p>
    <w:p w14:paraId="177B4C10" w14:textId="26BAB94C" w:rsidR="00D5404E" w:rsidRDefault="00D5404E" w:rsidP="00926561">
      <w:pPr>
        <w:pStyle w:val="Text"/>
        <w:ind w:firstLine="0"/>
      </w:pPr>
      <w:r>
        <w:t xml:space="preserve">The residual liquid water content of the ice matrix is set to 2% following </w:t>
      </w:r>
      <w:r w:rsidR="00141F32">
        <w:t>Petters</w:t>
      </w:r>
      <w:r w:rsidR="00E16543">
        <w:t>s</w:t>
      </w:r>
      <w:r w:rsidR="00141F32">
        <w:t>on et</w:t>
      </w:r>
      <w:r w:rsidR="00974896">
        <w:t>.</w:t>
      </w:r>
      <w:r w:rsidR="00141F32">
        <w:t xml:space="preserve"> a</w:t>
      </w:r>
      <w:r w:rsidR="00974896">
        <w:t>l.</w:t>
      </w:r>
      <w:r w:rsidR="00E16543">
        <w:fldChar w:fldCharType="begin"/>
      </w:r>
      <w:r w:rsidR="004B46B0">
        <w:instrText xml:space="preserve"> ADDIN ZOTERO_ITEM CSL_CITATION {"citationID":"MflsrWAy","properties":{"formattedCitation":"\\super 16\\nosupersub{}","plainCitation":"16","noteIndex":0},"citationItems":[{"id":1156,"uris":["http://zotero.org/users/1282866/items/MT8UQG47"],"uri":["http://zotero.org/users/1282866/items/MT8UQG47"],"itemData":{"id":1156,"type":"article-journal","abstract":"The volume fraction of liquid water in temperate glacier ice is important not only for the flow of glaciers and the analysis and processing of ground penetrating radar data from glaciers but also for the stability of the thermal layering in polythermal glaciers. However, little is known about the spatial variations of water content in glaciers. We use relative backscatter strength of ground-penetrating radar signals to estimate the spatial distribution of water content close to the cold-temperate transition on Storglaciären, northern Sweden, in an area close to the equilibrium line. The values of relative backscatter strength are calibrated using determinations of absolute water content from temperature measurements across the cold-temperate transition and the thermodynamic boundary condition at the freezing front. The results show a water content of 0.80%, 0.75%, and 0.58% at three calibration points and a mean water content of 0.8% with a standard deviation of ±0.26% for the extrapolated water content. The extrapolated water content shows a distinct pattern, with lower water content on one side of the glacier center line and higher water content on the other side, with higher water content on the northern side. We hypothesize that the different water contents result from the fact that the ice on either side of the center line originates from different cirques, thus implying spatial variations in the entrapment of water in the firn-ice transition process in the different cirques.","container-title":"Journal of Geophysical Research: Earth Surface","DOI":"10.1029/2003JF000110","ISSN":"2156-2202","issue":"F2","journalAbbreviation":"J. Geophys. Res.","language":"en","page":"F02009","source":"Wiley Online Library","title":"Spatial variability in water content at the cold-temperate transition surface of the polythermal Storglaciären, Sweden","volume":"109","author":[{"family":"Pettersson","given":"Rickard"},{"family":"Jansson","given":"Peter"},{"family":"Blatter","given":"Heinz"}],"issued":{"date-parts":[["2004",6,1]]}},"suppress-author":true}],"schema":"https://github.com/citation-style-language/schema/raw/master/csl-citation.json"} </w:instrText>
      </w:r>
      <w:r w:rsidR="00E16543">
        <w:fldChar w:fldCharType="separate"/>
      </w:r>
      <w:r w:rsidR="004B46B0" w:rsidRPr="004B46B0">
        <w:rPr>
          <w:vertAlign w:val="superscript"/>
        </w:rPr>
        <w:t>16</w:t>
      </w:r>
      <w:r w:rsidR="00E16543">
        <w:fldChar w:fldCharType="end"/>
      </w:r>
      <w:r w:rsidR="00141F32">
        <w:t>.</w:t>
      </w:r>
    </w:p>
    <w:p w14:paraId="3BDFCA64" w14:textId="598095E5" w:rsidR="00534B5D" w:rsidRPr="00AC6229" w:rsidRDefault="00AC6229" w:rsidP="00AC6229">
      <w:pPr>
        <w:rPr>
          <w:rFonts w:eastAsia="Times New Roman"/>
        </w:rPr>
      </w:pPr>
      <w:r>
        <w:rPr>
          <w:b/>
          <w:bCs/>
        </w:rPr>
        <w:t xml:space="preserve">2.1.2 </w:t>
      </w:r>
      <w:r w:rsidR="00B61968">
        <w:rPr>
          <w:b/>
          <w:bCs/>
        </w:rPr>
        <w:t>Two-stream r</w:t>
      </w:r>
      <w:r w:rsidR="00F57193">
        <w:rPr>
          <w:b/>
          <w:bCs/>
        </w:rPr>
        <w:t>adiative transfer model</w:t>
      </w:r>
    </w:p>
    <w:p w14:paraId="66FDBD63" w14:textId="1FD06ACF" w:rsidR="00CA3F00" w:rsidRDefault="00C65BA8" w:rsidP="00974896">
      <w:r>
        <w:t xml:space="preserve">The solar radiation source term </w:t>
      </w:r>
      <m:oMath>
        <m:r>
          <m:rPr>
            <m:sty m:val="p"/>
          </m:rPr>
          <w:rPr>
            <w:rFonts w:ascii="Cambria Math" w:hAnsi="Cambria Math"/>
          </w:rPr>
          <m:t>∂q/∂z</m:t>
        </m:r>
      </m:oMath>
      <w:r>
        <w:t xml:space="preserve"> is evaluated </w:t>
      </w:r>
      <w:r w:rsidR="00416CF0">
        <w:t>with</w:t>
      </w:r>
      <w:r>
        <w:t xml:space="preserve"> the two-stream radiative transfer model described by Schlatter</w:t>
      </w:r>
      <w:r w:rsidR="004A1BC0">
        <w:fldChar w:fldCharType="begin"/>
      </w:r>
      <w:r w:rsidR="004B46B0">
        <w:instrText xml:space="preserve"> ADDIN ZOTERO_ITEM CSL_CITATION {"citationID":"c2zbeYpd","properties":{"formattedCitation":"\\super 17\\nosupersub{}","plainCitation":"17","noteIndex":0},"citationItems":[{"id":1141,"uris":["http://zotero.org/users/1282866/items/S6HDXPEE"],"uri":["http://zotero.org/users/1282866/items/S6HDXPEE"],"itemData":{"id":1141,"type":"article-journal","abstract":"The physical processes occurring within a perennial snow cover and at its surface are discussed with particular emphasis on monthly variations in Antarctic snow. Results of a one-year simulation of physical processes In snow are compared with 1958 data at Mirny and Pionerskaya, Antarctica. The simulation demonstrates the following: first, solar radiation is effective to a depth of 50 cm or so, but longwave radiation cools the surface alone, causing the “greenhouse” effect first observed in snow at least four decades ago. Highest summertime temperature and initial snowmelt thus occur not at the surface but roughly 10 cm below It. Second, the percolation of meltwater with eventual refreezing during the subsequent winter is the most efficient mechanism for modifying the temperature profile at depths of several meters of more. Third, concerning the surface energy budget, at temperatures below −20C, atmospheric sensible heat flux approximately compensates net radiation throughout the year. When the temperature nears 0C (only in summer), the surplus of net radiation Is used primarily for changes of phase—sublimation and possibly melting; little energy is used to heat the snow. Then latent beat flux approximately compensates net radiation.","container-title":"Journal of Applied Meteorology","DOI":"10.1175/1520-0450(1972)011&lt;1048:TLSEBA&gt;2.0.CO;2","ISSN":"0021-8952","issue":"7","journalAbbreviation":"J. Appl. Meteor.","page":"1048-1062","source":"journals.ametsoc.org (Atypon)","title":"The Local Surface Energy Balance and Subsurface Temperature Regime in Antarctica","volume":"11","author":[{"family":"Schlatter","given":"Thomas W."}],"issued":{"date-parts":[["1972",10,1]]}},"suppress-author":true}],"schema":"https://github.com/citation-style-language/schema/raw/master/csl-citation.json"} </w:instrText>
      </w:r>
      <w:r w:rsidR="004A1BC0">
        <w:fldChar w:fldCharType="separate"/>
      </w:r>
      <w:r w:rsidR="004B46B0" w:rsidRPr="004B46B0">
        <w:rPr>
          <w:vertAlign w:val="superscript"/>
        </w:rPr>
        <w:t>17</w:t>
      </w:r>
      <w:r w:rsidR="004A1BC0">
        <w:fldChar w:fldCharType="end"/>
      </w:r>
      <w:r w:rsidR="004A1BC0">
        <w:t xml:space="preserve">. </w:t>
      </w:r>
      <w:r w:rsidR="0032483E">
        <w:t>S</w:t>
      </w:r>
      <w:r w:rsidR="00050237">
        <w:t xml:space="preserve">ingle-scattering extinction coefficient </w:t>
      </w:r>
      <m:oMath>
        <m:sSub>
          <m:sSubPr>
            <m:ctrlPr>
              <w:rPr>
                <w:rFonts w:ascii="Cambria Math" w:hAnsi="Cambria Math"/>
                <w:i/>
              </w:rPr>
            </m:ctrlPr>
          </m:sSubPr>
          <m:e>
            <m:r>
              <w:rPr>
                <w:rFonts w:ascii="Cambria Math" w:hAnsi="Cambria Math"/>
              </w:rPr>
              <m:t>Q</m:t>
            </m:r>
          </m:e>
          <m:sub>
            <m:r>
              <m:rPr>
                <m:sty m:val="p"/>
              </m:rPr>
              <w:rPr>
                <w:rFonts w:ascii="Cambria Math" w:hAnsi="Cambria Math"/>
              </w:rPr>
              <m:t>ext</m:t>
            </m:r>
          </m:sub>
        </m:sSub>
      </m:oMath>
      <w:r w:rsidR="00050237">
        <w:t>,</w:t>
      </w:r>
      <w:r w:rsidR="00050237" w:rsidRPr="00050237">
        <w:t xml:space="preserve"> </w:t>
      </w:r>
      <w:r w:rsidR="00050237">
        <w:t xml:space="preserve">single-scattering co-albedo </w:t>
      </w:r>
      <m:oMath>
        <m:r>
          <w:rPr>
            <w:rFonts w:ascii="Cambria Math" w:hAnsi="Cambria Math"/>
          </w:rPr>
          <m:t>1-ω</m:t>
        </m:r>
      </m:oMath>
      <w:r w:rsidR="00050237">
        <w:t xml:space="preserve">, and asymmetry parameter </w:t>
      </w:r>
      <m:oMath>
        <m:r>
          <w:rPr>
            <w:rFonts w:ascii="Cambria Math" w:hAnsi="Cambria Math"/>
          </w:rPr>
          <m:t>g</m:t>
        </m:r>
      </m:oMath>
      <w:r w:rsidR="00050237">
        <w:t>,</w:t>
      </w:r>
      <w:r w:rsidR="00757EA8">
        <w:t xml:space="preserve"> are computed as functions of grain size using Mie scattering algorithms provided as MATLAB code by </w:t>
      </w:r>
      <w:r w:rsidR="00757EA8" w:rsidRPr="006C2CB3">
        <w:t>Mätzler</w:t>
      </w:r>
      <w:r w:rsidR="00757EA8">
        <w:fldChar w:fldCharType="begin"/>
      </w:r>
      <w:r w:rsidR="004B46B0">
        <w:instrText xml:space="preserve"> ADDIN ZOTERO_ITEM CSL_CITATION {"citationID":"PB49UlQE","properties":{"formattedCitation":"\\super 18\\nosupersub{}","plainCitation":"18","noteIndex":0},"citationItems":[{"id":2527,"uris":["http://zotero.org/users/1282866/items/XSJ3W6K4"],"uri":["http://zotero.org/users/1282866/items/XSJ3W6K4"],"itemData":{"id":2527,"type":"report","abstract":"A set of MATLAB Functions for Mie calculations (Mätzler, 2002a) and for applica- tions to microwave radiation in rain (Mätzler, 2002b) has been improved and expanded by including magnetic and metal-like media and coated spheres. The appendix includes a discussion of the basic behaviour or the Riccati-Bessel and related Functions needed in the computations of Mie Coefficients. The applications of the Mie Functions are directed toward the study of radiative properties of precipitation. Functions have been developed to compute propagation parameters for freezing rain and melting graupel, assuming Marshall-Palmer drop- size distribution, including functions to compute the complex dielectric permittivi- ties of ice and water. Other applications can be envisaged if the dielectric or refrac- tive properties of the particles and their size distributions are known.","event-place":"Bern, Switzerland. https://boris.unibe.ch/146550/","genre":"Research Report","note":"DOI: 10.7892/BORIS.146550\nmedium: application/pdf\npublisher: Institute of Applied Physics, University of Bern","number":"2002-11","page":"24","publisher":"Institut für Angewandte Physik","publisher-place":"Bern, Switzerland. https://boris.unibe.ch/146550/","source":"DOI.org (Datacite)","title":"MATLAB Functions for Mie Scattering and Absorption, Version 2","URL":"https://boris.unibe.ch/146550/","author":[{"family":"Mätzler","given":"Christian"}],"issued":{"date-parts":[["2002",8]]}},"suppress-author":true}],"schema":"https://github.com/citation-style-language/schema/raw/master/csl-citation.json"} </w:instrText>
      </w:r>
      <w:r w:rsidR="00757EA8">
        <w:fldChar w:fldCharType="separate"/>
      </w:r>
      <w:r w:rsidR="004B46B0" w:rsidRPr="004B46B0">
        <w:rPr>
          <w:vertAlign w:val="superscript"/>
        </w:rPr>
        <w:t>18</w:t>
      </w:r>
      <w:r w:rsidR="00757EA8">
        <w:fldChar w:fldCharType="end"/>
      </w:r>
      <w:r w:rsidR="00757EA8">
        <w:t xml:space="preserve"> and the complex index of refraction of pure ice from Warren and Brandt</w:t>
      </w:r>
      <w:r w:rsidR="00757EA8">
        <w:fldChar w:fldCharType="begin"/>
      </w:r>
      <w:r w:rsidR="004B46B0">
        <w:instrText xml:space="preserve"> ADDIN ZOTERO_ITEM CSL_CITATION {"citationID":"2UiCY0AS","properties":{"formattedCitation":"\\super 11\\nosupersub{}","plainCitation":"11","noteIndex":0},"citationItems":[{"id":1479,"uris":["http://zotero.org/users/1282866/items/N5JJ3IUC"],"uri":["http://zotero.org/users/1282866/items/N5JJ3IUC"],"itemData":{"id":1479,"type":"article-journal","abstract":"A compilation of the spectral absorption coefficient of ice Ih is presented for temperatures near the melting point, superseding the compilation of Warren (1984). Significant changes are made to nearly all spectral regions. The blue and near-ultraviolet absorption is much weaker than the prior estimates, which were already very small. The near-infrared absorption coefficient differs by as much as a factor of 2 from the prior compilation at some wavelengths. The midinfrared absorption coefficient is rather uncertain in the weakly absorbing regions near 9 and 20 μm. New far-infrared measurements at low temperatures are extrapolated to higher temperatures, which shifts the peak positions. New microwave measurements find absorption much weaker than previously reported, by factors of 2–5. The real part of the index of refraction is computed using Kramers-Kronig analysis; it differs from the prior compilation only in the far infrared. Tables of the revised optical constants are available on a website.","container-title":"Journal of Geophysical Research: Atmospheres","DOI":"10.1029/2007JD009744","ISSN":"2156-2202","issue":"D14","journalAbbreviation":"J. Geophys. Res.","language":"en","page":"D14220","source":"Wiley Online Library","title":"Optical constants of ice from the ultraviolet to the microwave: A revised compilation","title-short":"Optical constants of ice from the ultraviolet to the microwave","volume":"113","author":[{"family":"Warren","given":"Stephen G."},{"family":"Brandt","given":"Richard E."}],"issued":{"date-parts":[["2008",7,27]]}},"suppress-author":true}],"schema":"https://github.com/citation-style-language/schema/raw/master/csl-citation.json"} </w:instrText>
      </w:r>
      <w:r w:rsidR="00757EA8">
        <w:fldChar w:fldCharType="separate"/>
      </w:r>
      <w:r w:rsidR="004B46B0" w:rsidRPr="004B46B0">
        <w:rPr>
          <w:vertAlign w:val="superscript"/>
        </w:rPr>
        <w:t>11</w:t>
      </w:r>
      <w:r w:rsidR="00757EA8">
        <w:fldChar w:fldCharType="end"/>
      </w:r>
      <w:r w:rsidR="00757EA8">
        <w:t xml:space="preserve">. </w:t>
      </w:r>
      <w:r w:rsidR="009F5A80">
        <w:t xml:space="preserve">The Mie solutions at each wavelength are integrated over a Gaussian size distribution (N=1000) of scattering radii </w:t>
      </w:r>
      <m:oMath>
        <m:r>
          <m:rPr>
            <m:scr m:val="script"/>
          </m:rPr>
          <w:rPr>
            <w:rFonts w:ascii="Cambria Math" w:hAnsi="Cambria Math"/>
          </w:rPr>
          <m:t>N</m:t>
        </m:r>
        <m:r>
          <m:rPr>
            <m:sty m:val="p"/>
          </m:rPr>
          <w:rPr>
            <w:rFonts w:ascii="Cambria Math" w:hAnsi="Cambria Math"/>
          </w:rPr>
          <m:t>(</m:t>
        </m:r>
        <m:r>
          <w:rPr>
            <w:rFonts w:ascii="Cambria Math" w:hAnsi="Cambria Math"/>
          </w:rPr>
          <m:t>μ=2.0±0.3</m:t>
        </m:r>
        <m:r>
          <m:rPr>
            <m:sty m:val="p"/>
          </m:rPr>
          <w:rPr>
            <w:rFonts w:ascii="Cambria Math" w:hAnsi="Cambria Math"/>
          </w:rPr>
          <m:t xml:space="preserve"> mm)</m:t>
        </m:r>
      </m:oMath>
      <w:r w:rsidR="009F5A80">
        <w:t xml:space="preserve"> to eliminate ripples associated with Bessel function solutions to the Mie equations</w:t>
      </w:r>
      <w:r w:rsidR="009F5A80">
        <w:fldChar w:fldCharType="begin"/>
      </w:r>
      <w:r w:rsidR="004B46B0">
        <w:instrText xml:space="preserve"> ADDIN ZOTERO_ITEM CSL_CITATION {"citationID":"7wSJEIPg","properties":{"formattedCitation":"\\super 19\\nosupersub{}","plainCitation":"19","noteIndex":0},"citationItems":[{"id":1868,"uris":["http://zotero.org/users/1282866/items/D38LLTFS"],"uri":["http://zotero.org/users/1282866/items/D38LLTFS"],"itemData":{"id":1868,"type":"book","ISBN":"978-3-527-61815-6","language":"en","publisher":"John Wiley &amp; Sons, Ltd","title":"Absorption and Scattering of Light by Small Particles","author":[{"family":"Bohren","given":"Craig F."},{"family":"Huffman","given":"Donald R."}],"issued":{"date-parts":[["2007"]]}}}],"schema":"https://github.com/citation-style-language/schema/raw/master/csl-citation.json"} </w:instrText>
      </w:r>
      <w:r w:rsidR="009F5A80">
        <w:fldChar w:fldCharType="separate"/>
      </w:r>
      <w:r w:rsidR="004B46B0" w:rsidRPr="004B46B0">
        <w:rPr>
          <w:vertAlign w:val="superscript"/>
        </w:rPr>
        <w:t>19</w:t>
      </w:r>
      <w:r w:rsidR="009F5A80">
        <w:fldChar w:fldCharType="end"/>
      </w:r>
      <w:r w:rsidR="009F5A80" w:rsidRPr="004F5BC5" w:rsidDel="001704EB">
        <w:t xml:space="preserve"> </w:t>
      </w:r>
      <w:r w:rsidR="005C52D0">
        <w:t>(</w:t>
      </w:r>
      <w:r w:rsidR="00C24AB9">
        <w:fldChar w:fldCharType="begin"/>
      </w:r>
      <w:r w:rsidR="00C24AB9">
        <w:instrText xml:space="preserve"> REF _Ref47367486 </w:instrText>
      </w:r>
      <w:r w:rsidR="00601F9E">
        <w:instrText xml:space="preserve"> \* MERGEFORMAT </w:instrText>
      </w:r>
      <w:r w:rsidR="00C24AB9">
        <w:fldChar w:fldCharType="separate"/>
      </w:r>
      <w:r w:rsidR="00752C6E">
        <w:t>Figure S9</w:t>
      </w:r>
      <w:r w:rsidR="00C24AB9">
        <w:fldChar w:fldCharType="end"/>
      </w:r>
      <w:r w:rsidR="005C52D0">
        <w:t>)</w:t>
      </w:r>
      <w:r w:rsidR="000B114A">
        <w:t>.</w:t>
      </w:r>
      <w:r w:rsidR="005E26B1">
        <w:t xml:space="preserve"> </w:t>
      </w:r>
    </w:p>
    <w:p w14:paraId="36246F3C" w14:textId="5DE7B14E" w:rsidR="00D968A7" w:rsidRDefault="004473B4" w:rsidP="00974896">
      <w:r>
        <w:t>T</w:t>
      </w:r>
      <w:r w:rsidR="004A1BC0">
        <w:t xml:space="preserve">he spectral flux extinction coefficients are </w:t>
      </w:r>
      <w:r w:rsidR="00757EA8">
        <w:t>applied</w:t>
      </w:r>
      <w:r w:rsidR="004A1BC0">
        <w:t xml:space="preserve"> </w:t>
      </w:r>
      <w:r w:rsidR="00757EA8">
        <w:t xml:space="preserve">to </w:t>
      </w:r>
      <w:r w:rsidR="004A1BC0">
        <w:t>a</w:t>
      </w:r>
      <w:r w:rsidR="00757EA8">
        <w:t xml:space="preserve"> downwelling </w:t>
      </w:r>
      <w:r w:rsidR="004A1BC0">
        <w:t>solar irradiance profile</w:t>
      </w:r>
      <w:r w:rsidR="00757EA8">
        <w:t xml:space="preserve"> for an Arctic mid-winter atmosphere. At the start of each model timestep,</w:t>
      </w:r>
      <w:r w:rsidR="004A1BC0">
        <w:t xml:space="preserve"> the </w:t>
      </w:r>
      <w:r w:rsidR="00757EA8">
        <w:t>two-stream model is solved using the observed broadband albedo</w:t>
      </w:r>
      <w:r w:rsidR="00B17EEE">
        <w:t xml:space="preserve"> as an upper boundary condition</w:t>
      </w:r>
      <w:r w:rsidR="00757EA8">
        <w:t xml:space="preserve">. The spectral flux extinction coefficients are combined with the </w:t>
      </w:r>
      <w:r w:rsidR="004A1BC0">
        <w:t xml:space="preserve">modeled ice </w:t>
      </w:r>
      <w:r w:rsidR="00264973">
        <w:t xml:space="preserve">and liquid water </w:t>
      </w:r>
      <w:r w:rsidR="00757EA8">
        <w:t xml:space="preserve">fraction of each vertical layer </w:t>
      </w:r>
      <w:r w:rsidR="004A1BC0">
        <w:t>to compute a</w:t>
      </w:r>
      <w:r w:rsidR="00264973">
        <w:t>n effective</w:t>
      </w:r>
      <w:r w:rsidR="004A1BC0">
        <w:t xml:space="preserve"> bulk extinction coefficient</w:t>
      </w:r>
      <w:r w:rsidR="00264973">
        <w:t>:</w:t>
      </w:r>
    </w:p>
    <w:p w14:paraId="53DC48EF" w14:textId="2ABC44ED" w:rsidR="00D968A7" w:rsidRPr="00D968A7" w:rsidRDefault="00202492" w:rsidP="00234B3E">
      <w:pPr>
        <w:pStyle w:val="MyEquation"/>
      </w:pPr>
      <m:oMathPara>
        <m:oMath>
          <m:eqArr>
            <m:eqArrPr>
              <m:maxDist m:val="1"/>
              <m:ctrlPr/>
            </m:eqArrPr>
            <m:e>
              <m:r>
                <w:rPr>
                  <w:rFonts w:eastAsiaTheme="minorEastAsia"/>
                </w:rPr>
                <m:t>K</m:t>
              </m:r>
              <m:d>
                <m:dPr>
                  <m:ctrlPr>
                    <w:rPr>
                      <w:rFonts w:eastAsiaTheme="minorEastAsia"/>
                    </w:rPr>
                  </m:ctrlPr>
                </m:dPr>
                <m:e>
                  <m:r>
                    <w:rPr>
                      <w:rFonts w:eastAsiaTheme="minorEastAsia"/>
                    </w:rPr>
                    <m:t>z</m:t>
                  </m:r>
                </m:e>
              </m:d>
              <m:r>
                <w:rPr>
                  <w:rFonts w:eastAsiaTheme="minorEastAsia"/>
                </w:rPr>
                <m:t>=</m:t>
              </m:r>
              <m:sSub>
                <m:sSubPr>
                  <m:ctrlPr/>
                </m:sSubPr>
                <m:e>
                  <m:r>
                    <m:t>Θ</m:t>
                  </m:r>
                </m:e>
                <m:sub>
                  <m:r>
                    <m:t>m</m:t>
                  </m:r>
                </m:sub>
              </m:sSub>
              <m:d>
                <m:dPr>
                  <m:ctrlPr>
                    <w:rPr>
                      <w:rFonts w:eastAsiaTheme="minorEastAsia"/>
                    </w:rPr>
                  </m:ctrlPr>
                </m:dPr>
                <m:e>
                  <m:r>
                    <w:rPr>
                      <w:rFonts w:eastAsiaTheme="minorEastAsia"/>
                    </w:rPr>
                    <m:t>z</m:t>
                  </m:r>
                </m:e>
              </m:d>
              <m:r>
                <w:rPr>
                  <w:rFonts w:eastAsiaTheme="minorEastAsia"/>
                </w:rPr>
                <m:t>η</m:t>
              </m:r>
              <m:d>
                <m:dPr>
                  <m:ctrlPr>
                    <w:rPr>
                      <w:rFonts w:eastAsiaTheme="minorEastAsia"/>
                    </w:rPr>
                  </m:ctrlPr>
                </m:dPr>
                <m:e>
                  <m:r>
                    <w:rPr>
                      <w:rFonts w:eastAsiaTheme="minorEastAsia"/>
                    </w:rPr>
                    <m:t>z</m:t>
                  </m:r>
                </m:e>
              </m:d>
              <m:r>
                <w:rPr>
                  <w:rFonts w:eastAsiaTheme="minorEastAsia"/>
                </w:rPr>
                <m:t>#</m:t>
              </m:r>
              <m:d>
                <m:dPr>
                  <m:ctrlPr/>
                </m:dPr>
                <m:e>
                  <w:bookmarkStart w:id="13" w:name="eq12"/>
                  <m:r>
                    <w:fldChar w:fldCharType="begin"/>
                  </m:r>
                  <m:r>
                    <m:t xml:space="preserve"> SEQ Equation \* ARABIC </m:t>
                  </m:r>
                  <m:r>
                    <w:fldChar w:fldCharType="separate"/>
                  </m:r>
                  <m:r>
                    <w:rPr>
                      <w:noProof/>
                    </w:rPr>
                    <m:t>11</m:t>
                  </m:r>
                  <m:r>
                    <w:fldChar w:fldCharType="end"/>
                  </m:r>
                  <w:bookmarkEnd w:id="13"/>
                </m:e>
              </m:d>
              <m:ctrlPr>
                <w:rPr>
                  <w:rFonts w:eastAsiaTheme="minorEastAsia"/>
                </w:rPr>
              </m:ctrlPr>
            </m:e>
          </m:eqArr>
        </m:oMath>
      </m:oMathPara>
    </w:p>
    <w:p w14:paraId="3D02EC2D" w14:textId="77777777" w:rsidR="00416CF0" w:rsidRPr="00416CF0" w:rsidRDefault="00264973" w:rsidP="00BB5112">
      <w:r>
        <w:t xml:space="preserve">where </w:t>
      </w:r>
    </w:p>
    <w:p w14:paraId="3BDFAF3D" w14:textId="0F529C8B" w:rsidR="00416CF0" w:rsidRPr="00416CF0" w:rsidRDefault="00202492" w:rsidP="00BB5112">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θ</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θ</m:t>
                  </m:r>
                </m:e>
                <m:sub>
                  <m:r>
                    <m:rPr>
                      <m:sty m:val="p"/>
                    </m:rP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ρ</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ρ</m:t>
                      </m:r>
                    </m:e>
                    <m:sub>
                      <m:r>
                        <m:rPr>
                          <m:sty m:val="p"/>
                        </m:rPr>
                        <w:rPr>
                          <w:rFonts w:ascii="Cambria Math" w:hAnsi="Cambria Math"/>
                        </w:rPr>
                        <m:t>w</m:t>
                      </m:r>
                    </m:sub>
                  </m:sSub>
                </m:den>
              </m:f>
              <m:r>
                <w:rPr>
                  <w:rFonts w:ascii="Cambria Math" w:hAnsi="Cambria Math"/>
                </w:rPr>
                <m:t>#</m:t>
              </m:r>
              <m:d>
                <m:dPr>
                  <m:ctrlPr>
                    <w:rPr>
                      <w:rFonts w:ascii="Cambria Math" w:hAnsi="Cambria Math"/>
                      <w:i/>
                    </w:rPr>
                  </m:ctrlPr>
                </m:dPr>
                <m:e>
                  <m:r>
                    <w:rPr>
                      <w:rFonts w:ascii="Cambria Math" w:hAnsi="Cambria Math"/>
                    </w:rPr>
                    <m:t>12</m:t>
                  </m:r>
                </m:e>
              </m:d>
            </m:e>
          </m:eqArr>
        </m:oMath>
      </m:oMathPara>
    </w:p>
    <w:p w14:paraId="2796A401" w14:textId="4333FC80" w:rsidR="00264973" w:rsidRDefault="00264973" w:rsidP="00BB5112">
      <w:r w:rsidRPr="00455A24">
        <w:t xml:space="preserve">is the </w:t>
      </w:r>
      <w:r>
        <w:t>total equivalent liquid water content of the layer</w:t>
      </w:r>
      <w:r w:rsidR="009F5B33">
        <w:t>.</w:t>
      </w:r>
      <w:r>
        <w:t xml:space="preserve"> </w:t>
      </w:r>
      <w:r w:rsidR="009F5B33">
        <w:t xml:space="preserve">The bulk </w:t>
      </w:r>
      <w:r>
        <w:t>extinction coefficient</w:t>
      </w:r>
      <w:r w:rsidR="00C826EC">
        <w:t>,</w:t>
      </w:r>
      <w:r w:rsidR="009F5B33">
        <w:t xml:space="preserve"> </w:t>
      </w:r>
      <m:oMath>
        <m:r>
          <w:rPr>
            <w:rFonts w:ascii="Cambria Math" w:hAnsi="Cambria Math"/>
          </w:rPr>
          <m:t>η(z)</m:t>
        </m:r>
      </m:oMath>
      <w:r w:rsidR="009F5B33">
        <w:t>, is</w:t>
      </w:r>
      <w:r w:rsidR="00C826EC">
        <w:t xml:space="preserve"> calculated</w:t>
      </w:r>
      <w:r>
        <w:t xml:space="preserve"> </w:t>
      </w:r>
      <w:r w:rsidR="00757EA8">
        <w:t>following</w:t>
      </w:r>
      <w:r>
        <w:t xml:space="preserve"> Brandt and Warren</w:t>
      </w:r>
      <w:r>
        <w:fldChar w:fldCharType="begin"/>
      </w:r>
      <w:r w:rsidR="004B46B0">
        <w:instrText xml:space="preserve"> ADDIN ZOTERO_ITEM CSL_CITATION {"citationID":"B2OEAbVo","properties":{"formattedCitation":"\\super 20\\nosupersub{}","plainCitation":"20","noteIndex":0},"citationItems":[{"id":1231,"uris":["http://zotero.org/users/1282866/items/UR5UI8UE"],"uri":["http://zotero.org/users/1282866/items/UR5UI8UE"],"itemData":{"id":1231,"type":"article-journal","abstract":"Abstract\nObservations of temperature maxima at about 10 cm depth in cold Antarctic snow during summer have previously been explained by proposing that solar heating is distributed with depth whereas thermal infrared cooling is localized at the surface (the “solid-state greenhouse”). An increase in temperature from the surface to 10 cm depth (ΔΤ ≈ 4 K) found by Rusin (1961) on the Antarctic Plateau was successfully reproduced by Schlatter (1972) in a combined radiative-transfer and heat-transfer model. However, when we improve the model’s spectral resolution, solving for solar radiative fluxes separately in 118 wavelength bands instead of just one “average” wavelength, ΔΤ shrinks to 0.2 Κ and moves toward the surface, indicating that the solid-state greenhouse is largely an artifact of inadequate spectral resolution. The agreement between Schlatter’s broad-band model and Rusin’s measurement suggests that the measurement is inaccurate, perhaps due to solar heating of the buried thermistors. Similar broad-band models which have been applied to the icy surface of Jupiter’s satellite Europa are also shown to overestimate the solid-state greenhouse by a factor of about 6.\nThe reason that the solid-state greenhouse effect is insignificant in the case of Antarctic snow is that the wavelengths which do penetrate deeply into snow (visible light) are essentially not absorbed and are scattered back to the surface, whereas the wavelengths that are absorbed by snow (near-infrared) are absorbed in the top few millimeters.\n\nThe conditions needed to obtain a significant solid-state greenhouse are examined. The phenomenon becomes important if the scattering coefficient is small (as in blue ice) or if the thermal conductivity is low (as in low-density snow, such as near-surface depth hoar).","container-title":"Journal of Glaciology","DOI":"10.3189/S0022143000015756","ISSN":"0022-1430, 1727-5652","issue":"131","language":"en","page":"99-110","source":"Cambridge Core","title":"Solar-heating rates and temperature profiles in Antarctic snow and ice","volume":"39","author":[{"family":"Brandt","given":"Richard E."},{"family":"Warren","given":"Stephen G."}],"issued":{"date-parts":[["1993"]],"season":"ed"}},"suppress-author":true}],"schema":"https://github.com/citation-style-language/schema/raw/master/csl-citation.json"} </w:instrText>
      </w:r>
      <w:r>
        <w:fldChar w:fldCharType="separate"/>
      </w:r>
      <w:r w:rsidR="004B46B0" w:rsidRPr="004B46B0">
        <w:rPr>
          <w:vertAlign w:val="superscript"/>
        </w:rPr>
        <w:t>20</w:t>
      </w:r>
      <w:r>
        <w:fldChar w:fldCharType="end"/>
      </w:r>
      <w:r>
        <w:t>:</w:t>
      </w:r>
    </w:p>
    <w:p w14:paraId="31534E49" w14:textId="764CDE35" w:rsidR="00D968A7" w:rsidRPr="00416CF0" w:rsidRDefault="00202492" w:rsidP="00234B3E">
      <w:pPr>
        <w:pStyle w:val="MyEquation"/>
        <w:rPr>
          <w:rFonts w:eastAsiaTheme="minorEastAsia"/>
          <w:i w:val="0"/>
          <w:iCs/>
        </w:rPr>
      </w:pPr>
      <m:oMathPara>
        <m:oMath>
          <m:eqArr>
            <m:eqArrPr>
              <m:maxDist m:val="1"/>
              <m:ctrlPr>
                <w:rPr>
                  <w:rFonts w:eastAsiaTheme="minorEastAsia"/>
                </w:rPr>
              </m:ctrlPr>
            </m:eqArrPr>
            <m:e>
              <m:r>
                <w:rPr>
                  <w:rFonts w:eastAsiaTheme="minorEastAsia"/>
                </w:rPr>
                <m:t>η</m:t>
              </m:r>
              <m:d>
                <m:dPr>
                  <m:ctrlPr>
                    <w:rPr>
                      <w:rFonts w:eastAsiaTheme="minorEastAsia"/>
                    </w:rPr>
                  </m:ctrlPr>
                </m:dPr>
                <m:e>
                  <m:r>
                    <w:rPr>
                      <w:rFonts w:eastAsiaTheme="minorEastAsia"/>
                    </w:rPr>
                    <m:t>z</m:t>
                  </m:r>
                </m:e>
              </m:d>
              <m:r>
                <w:rPr>
                  <w:rFonts w:eastAsiaTheme="minorEastAsia"/>
                </w:rPr>
                <m:t>=-</m:t>
              </m:r>
              <m:f>
                <m:fPr>
                  <m:ctrlPr>
                    <w:rPr>
                      <w:rFonts w:eastAsiaTheme="minorEastAsia"/>
                      <w:iCs/>
                    </w:rPr>
                  </m:ctrlPr>
                </m:fPr>
                <m:num>
                  <m:r>
                    <w:rPr>
                      <w:rFonts w:eastAsiaTheme="minorEastAsia"/>
                    </w:rPr>
                    <m:t>1</m:t>
                  </m:r>
                </m:num>
                <m:den>
                  <m:r>
                    <w:rPr>
                      <w:rFonts w:eastAsiaTheme="minorEastAsia"/>
                    </w:rPr>
                    <m:t>Δz</m:t>
                  </m:r>
                </m:den>
              </m:f>
              <m:func>
                <m:funcPr>
                  <m:ctrlPr>
                    <w:rPr>
                      <w:rFonts w:eastAsiaTheme="minorEastAsia"/>
                    </w:rPr>
                  </m:ctrlPr>
                </m:funcPr>
                <m:fName>
                  <m:r>
                    <w:rPr>
                      <w:rFonts w:eastAsiaTheme="minorEastAsia"/>
                    </w:rPr>
                    <m:t>ln</m:t>
                  </m:r>
                </m:fName>
                <m:e>
                  <m:d>
                    <m:dPr>
                      <m:begChr m:val="["/>
                      <m:endChr m:val="]"/>
                      <m:ctrlPr>
                        <w:rPr>
                          <w:rFonts w:eastAsiaTheme="minorEastAsia"/>
                        </w:rPr>
                      </m:ctrlPr>
                    </m:dPr>
                    <m:e>
                      <m:f>
                        <m:fPr>
                          <m:ctrlPr>
                            <w:rPr>
                              <w:rFonts w:eastAsiaTheme="minorEastAsia"/>
                              <w:iCs/>
                            </w:rPr>
                          </m:ctrlPr>
                        </m:fPr>
                        <m:num>
                          <m:r>
                            <w:rPr>
                              <w:rFonts w:eastAsiaTheme="minorEastAsia"/>
                            </w:rPr>
                            <m:t>∫</m:t>
                          </m:r>
                          <m:sSubSup>
                            <m:sSubSupPr>
                              <m:ctrlPr>
                                <w:rPr>
                                  <w:rFonts w:eastAsiaTheme="minorEastAsia"/>
                                </w:rPr>
                              </m:ctrlPr>
                            </m:sSubSupPr>
                            <m:e>
                              <m:r>
                                <w:rPr>
                                  <w:rFonts w:eastAsiaTheme="minorEastAsia"/>
                                </w:rPr>
                                <m:t>Q</m:t>
                              </m:r>
                            </m:e>
                            <m:sub>
                              <m:r>
                                <w:rPr>
                                  <w:rFonts w:eastAsiaTheme="minorEastAsia"/>
                                </w:rPr>
                                <m:t>λ</m:t>
                              </m:r>
                            </m:sub>
                            <m:sup>
                              <m:r>
                                <w:rPr>
                                  <w:rFonts w:eastAsiaTheme="minorEastAsia"/>
                                </w:rPr>
                                <m:t>↓</m:t>
                              </m:r>
                            </m:sup>
                          </m:sSubSup>
                          <m:func>
                            <m:funcPr>
                              <m:ctrlPr>
                                <w:rPr>
                                  <w:rFonts w:eastAsiaTheme="minorEastAsia"/>
                                </w:rPr>
                              </m:ctrlPr>
                            </m:funcPr>
                            <m:fName>
                              <m:r>
                                <w:rPr>
                                  <w:rFonts w:eastAsiaTheme="minorEastAsia"/>
                                </w:rPr>
                                <m:t>exp</m:t>
                              </m:r>
                            </m:fName>
                            <m:e>
                              <m:d>
                                <m:dPr>
                                  <m:begChr m:val="["/>
                                  <m:endChr m:val="]"/>
                                  <m:ctrlPr>
                                    <w:rPr>
                                      <w:rFonts w:eastAsiaTheme="minorEastAsia"/>
                                      <w:iCs/>
                                    </w:rPr>
                                  </m:ctrlPr>
                                </m:dPr>
                                <m:e>
                                  <m:r>
                                    <w:rPr>
                                      <w:rFonts w:eastAsiaTheme="minorEastAsia"/>
                                    </w:rPr>
                                    <m:t>-</m:t>
                                  </m:r>
                                  <m:sSub>
                                    <m:sSubPr>
                                      <m:ctrlPr>
                                        <w:rPr>
                                          <w:rFonts w:eastAsiaTheme="minorEastAsia"/>
                                          <w:iCs/>
                                        </w:rPr>
                                      </m:ctrlPr>
                                    </m:sSubPr>
                                    <m:e>
                                      <m:r>
                                        <w:rPr>
                                          <w:rFonts w:eastAsiaTheme="minorEastAsia"/>
                                        </w:rPr>
                                        <m:t>k</m:t>
                                      </m:r>
                                    </m:e>
                                    <m:sub>
                                      <m:r>
                                        <w:rPr>
                                          <w:rFonts w:eastAsiaTheme="minorEastAsia"/>
                                        </w:rPr>
                                        <m:t>λ</m:t>
                                      </m:r>
                                    </m:sub>
                                  </m:sSub>
                                  <m:d>
                                    <m:dPr>
                                      <m:ctrlPr>
                                        <w:rPr>
                                          <w:rFonts w:eastAsiaTheme="minorEastAsia"/>
                                          <w:iCs/>
                                        </w:rPr>
                                      </m:ctrlPr>
                                    </m:dPr>
                                    <m:e>
                                      <m:r>
                                        <w:rPr>
                                          <w:rFonts w:eastAsiaTheme="minorEastAsia"/>
                                        </w:rPr>
                                        <m:t>z+dz</m:t>
                                      </m:r>
                                    </m:e>
                                  </m:d>
                                </m:e>
                              </m:d>
                            </m:e>
                          </m:func>
                          <m:r>
                            <w:rPr>
                              <w:rFonts w:eastAsiaTheme="minorEastAsia"/>
                            </w:rPr>
                            <m:t>dλ</m:t>
                          </m:r>
                        </m:num>
                        <m:den>
                          <m:r>
                            <w:rPr>
                              <w:rFonts w:eastAsiaTheme="minorEastAsia"/>
                            </w:rPr>
                            <m:t>∫</m:t>
                          </m:r>
                          <m:sSubSup>
                            <m:sSubSupPr>
                              <m:ctrlPr>
                                <w:rPr>
                                  <w:rFonts w:eastAsiaTheme="minorEastAsia"/>
                                </w:rPr>
                              </m:ctrlPr>
                            </m:sSubSupPr>
                            <m:e>
                              <m:r>
                                <w:rPr>
                                  <w:rFonts w:eastAsiaTheme="minorEastAsia"/>
                                </w:rPr>
                                <m:t>Q</m:t>
                              </m:r>
                            </m:e>
                            <m:sub>
                              <m:r>
                                <w:rPr>
                                  <w:rFonts w:eastAsiaTheme="minorEastAsia"/>
                                </w:rPr>
                                <m:t>λ</m:t>
                              </m:r>
                            </m:sub>
                            <m:sup>
                              <m:r>
                                <w:rPr>
                                  <w:rFonts w:eastAsiaTheme="minorEastAsia"/>
                                </w:rPr>
                                <m:t>↓</m:t>
                              </m:r>
                            </m:sup>
                          </m:sSubSup>
                          <m:func>
                            <m:funcPr>
                              <m:ctrlPr>
                                <w:rPr>
                                  <w:rFonts w:eastAsiaTheme="minorEastAsia"/>
                                </w:rPr>
                              </m:ctrlPr>
                            </m:funcPr>
                            <m:fName>
                              <m:r>
                                <w:rPr>
                                  <w:rFonts w:eastAsiaTheme="minorEastAsia"/>
                                </w:rPr>
                                <m:t>exp</m:t>
                              </m:r>
                            </m:fName>
                            <m:e>
                              <m:d>
                                <m:dPr>
                                  <m:begChr m:val="["/>
                                  <m:endChr m:val="]"/>
                                  <m:ctrlPr>
                                    <w:rPr>
                                      <w:rFonts w:eastAsiaTheme="minorEastAsia"/>
                                      <w:iCs/>
                                    </w:rPr>
                                  </m:ctrlPr>
                                </m:dPr>
                                <m:e>
                                  <m:r>
                                    <w:rPr>
                                      <w:rFonts w:eastAsiaTheme="minorEastAsia"/>
                                    </w:rPr>
                                    <m:t>-</m:t>
                                  </m:r>
                                  <m:sSub>
                                    <m:sSubPr>
                                      <m:ctrlPr>
                                        <w:rPr>
                                          <w:rFonts w:eastAsiaTheme="minorEastAsia"/>
                                          <w:iCs/>
                                        </w:rPr>
                                      </m:ctrlPr>
                                    </m:sSubPr>
                                    <m:e>
                                      <m:r>
                                        <w:rPr>
                                          <w:rFonts w:eastAsiaTheme="minorEastAsia"/>
                                        </w:rPr>
                                        <m:t>k</m:t>
                                      </m:r>
                                    </m:e>
                                    <m:sub>
                                      <m:r>
                                        <w:rPr>
                                          <w:rFonts w:eastAsiaTheme="minorEastAsia"/>
                                        </w:rPr>
                                        <m:t>λ</m:t>
                                      </m:r>
                                    </m:sub>
                                  </m:sSub>
                                  <m:d>
                                    <m:dPr>
                                      <m:ctrlPr>
                                        <w:rPr>
                                          <w:rFonts w:eastAsiaTheme="minorEastAsia"/>
                                          <w:iCs/>
                                        </w:rPr>
                                      </m:ctrlPr>
                                    </m:dPr>
                                    <m:e>
                                      <m:r>
                                        <w:rPr>
                                          <w:rFonts w:eastAsiaTheme="minorEastAsia"/>
                                        </w:rPr>
                                        <m:t>z</m:t>
                                      </m:r>
                                    </m:e>
                                  </m:d>
                                </m:e>
                              </m:d>
                            </m:e>
                          </m:func>
                          <m:r>
                            <w:rPr>
                              <w:rFonts w:eastAsiaTheme="minorEastAsia"/>
                            </w:rPr>
                            <m:t>dλ</m:t>
                          </m:r>
                        </m:den>
                      </m:f>
                      <m:ctrlPr>
                        <w:rPr>
                          <w:rFonts w:eastAsiaTheme="minorEastAsia"/>
                          <w:iCs/>
                        </w:rPr>
                      </m:ctrlPr>
                    </m:e>
                  </m:d>
                </m:e>
              </m:func>
              <m:r>
                <w:rPr>
                  <w:rFonts w:eastAsiaTheme="minorEastAsia"/>
                </w:rPr>
                <m:t>#</m:t>
              </m:r>
              <m:d>
                <m:dPr>
                  <m:ctrlPr>
                    <w:rPr>
                      <w:rFonts w:eastAsiaTheme="minorEastAsia"/>
                    </w:rPr>
                  </m:ctrlPr>
                </m:dPr>
                <m:e>
                  <w:bookmarkStart w:id="14" w:name="eq13"/>
                  <m:r>
                    <w:fldChar w:fldCharType="begin"/>
                  </m:r>
                  <m:r>
                    <m:t xml:space="preserve"> SEQ Equation \* ARABIC </m:t>
                  </m:r>
                  <m:r>
                    <w:fldChar w:fldCharType="separate"/>
                  </m:r>
                  <m:r>
                    <w:rPr>
                      <w:noProof/>
                    </w:rPr>
                    <m:t>12</m:t>
                  </m:r>
                  <m:r>
                    <w:fldChar w:fldCharType="end"/>
                  </m:r>
                  <w:bookmarkEnd w:id="14"/>
                </m:e>
              </m:d>
            </m:e>
          </m:eqArr>
        </m:oMath>
      </m:oMathPara>
    </w:p>
    <w:p w14:paraId="1C723B01" w14:textId="52EB4905" w:rsidR="00F0484D" w:rsidRDefault="00264973" w:rsidP="00BB5112">
      <w:pPr>
        <w:rPr>
          <w:sz w:val="22"/>
          <w:szCs w:val="22"/>
        </w:rPr>
      </w:pPr>
      <w:r w:rsidRPr="00264973">
        <w:t xml:space="preserve">where </w:t>
      </w:r>
      <m:oMath>
        <m:sSubSup>
          <m:sSubSupPr>
            <m:ctrlPr>
              <w:rPr>
                <w:rFonts w:ascii="Cambria Math" w:hAnsi="Cambria Math"/>
                <w:i/>
              </w:rPr>
            </m:ctrlPr>
          </m:sSubSupPr>
          <m:e>
            <m:r>
              <w:rPr>
                <w:rFonts w:ascii="Cambria Math" w:hAnsi="Cambria Math"/>
              </w:rPr>
              <m:t>Q</m:t>
            </m:r>
          </m:e>
          <m:sub>
            <m:r>
              <m:rPr>
                <m:sty m:val="p"/>
              </m:rPr>
              <w:rPr>
                <w:rFonts w:ascii="Cambria Math" w:hAnsi="Cambria Math"/>
              </w:rPr>
              <m:t>λ</m:t>
            </m:r>
          </m:sub>
          <m:sup>
            <m:r>
              <w:rPr>
                <w:rFonts w:ascii="Cambria Math" w:hAnsi="Cambria Math"/>
              </w:rPr>
              <m:t>↓</m:t>
            </m:r>
          </m:sup>
        </m:sSubSup>
      </m:oMath>
      <w:r w:rsidRPr="00264973">
        <w:t xml:space="preserve"> is incoming spectral irradiance at the ice surface</w:t>
      </w:r>
      <w:r w:rsidR="004C13D1">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λ</m:t>
            </m:r>
          </m:sub>
        </m:sSub>
      </m:oMath>
      <w:r>
        <w:t xml:space="preserve"> is the spectral flux extinction coefficient for wavelength </w:t>
      </w:r>
      <m:oMath>
        <m:r>
          <w:rPr>
            <w:rFonts w:ascii="Cambria Math" w:hAnsi="Cambria Math"/>
            <w:sz w:val="22"/>
            <w:szCs w:val="22"/>
          </w:rPr>
          <m:t>λ</m:t>
        </m:r>
      </m:oMath>
      <w:r w:rsidR="00F0484D">
        <w:rPr>
          <w:sz w:val="22"/>
          <w:szCs w:val="22"/>
        </w:rPr>
        <w:t>:</w:t>
      </w:r>
    </w:p>
    <w:p w14:paraId="221D16AF" w14:textId="4D1D78F9" w:rsidR="00D968A7" w:rsidRPr="00D968A7" w:rsidRDefault="00202492" w:rsidP="00234B3E">
      <w:pPr>
        <w:pStyle w:val="MyEquation"/>
        <w:rPr>
          <w:rFonts w:eastAsiaTheme="minorEastAsia"/>
        </w:rPr>
      </w:pPr>
      <m:oMathPara>
        <m:oMath>
          <m:eqArr>
            <m:eqArrPr>
              <m:maxDist m:val="1"/>
              <m:ctrlPr>
                <w:rPr>
                  <w:iCs/>
                </w:rPr>
              </m:ctrlPr>
            </m:eqArrPr>
            <m:e>
              <m:r>
                <w:rPr>
                  <w:rFonts w:eastAsiaTheme="minorEastAsia"/>
                </w:rPr>
                <m:t>k</m:t>
              </m:r>
              <m:d>
                <m:dPr>
                  <m:ctrlPr>
                    <w:rPr>
                      <w:rFonts w:eastAsiaTheme="minorEastAsia"/>
                    </w:rPr>
                  </m:ctrlPr>
                </m:dPr>
                <m:e>
                  <m:r>
                    <w:rPr>
                      <w:rFonts w:eastAsiaTheme="minorEastAsia"/>
                    </w:rPr>
                    <m:t>λ</m:t>
                  </m:r>
                </m:e>
              </m:d>
              <m:r>
                <m:t>=</m:t>
              </m:r>
              <m:sSub>
                <m:sSubPr>
                  <m:ctrlPr/>
                </m:sSubPr>
                <m:e>
                  <m:r>
                    <m:t>σ</m:t>
                  </m:r>
                </m:e>
                <m:sub>
                  <m:r>
                    <m:t>ext</m:t>
                  </m:r>
                </m:sub>
              </m:sSub>
              <m:rad>
                <m:radPr>
                  <m:degHide m:val="1"/>
                  <m:ctrlPr>
                    <w:rPr>
                      <w:iCs/>
                    </w:rPr>
                  </m:ctrlPr>
                </m:radPr>
                <m:deg/>
                <m:e>
                  <m:d>
                    <m:dPr>
                      <m:ctrlPr>
                        <w:rPr>
                          <w:iCs/>
                        </w:rPr>
                      </m:ctrlPr>
                    </m:dPr>
                    <m:e>
                      <m:r>
                        <m:t>1-ω</m:t>
                      </m:r>
                      <m:d>
                        <m:dPr>
                          <m:ctrlPr/>
                        </m:dPr>
                        <m:e>
                          <m:r>
                            <m:t>λ</m:t>
                          </m:r>
                        </m:e>
                      </m:d>
                    </m:e>
                  </m:d>
                  <m:d>
                    <m:dPr>
                      <m:ctrlPr>
                        <w:rPr>
                          <w:iCs/>
                        </w:rPr>
                      </m:ctrlPr>
                    </m:dPr>
                    <m:e>
                      <m:r>
                        <m:t>1-g</m:t>
                      </m:r>
                      <m:d>
                        <m:dPr>
                          <m:ctrlPr/>
                        </m:dPr>
                        <m:e>
                          <m:r>
                            <m:t>λ</m:t>
                          </m:r>
                        </m:e>
                      </m:d>
                      <m:r>
                        <m:t>ω</m:t>
                      </m:r>
                      <m:d>
                        <m:dPr>
                          <m:ctrlPr/>
                        </m:dPr>
                        <m:e>
                          <m:r>
                            <m:t>λ</m:t>
                          </m:r>
                        </m:e>
                      </m:d>
                    </m:e>
                  </m:d>
                </m:e>
              </m:rad>
              <m:r>
                <w:rPr>
                  <w:rFonts w:eastAsiaTheme="minorEastAsia"/>
                </w:rPr>
                <m:t>#</m:t>
              </m:r>
              <m:d>
                <m:dPr>
                  <m:ctrlPr>
                    <w:rPr>
                      <w:iCs/>
                    </w:rPr>
                  </m:ctrlPr>
                </m:dPr>
                <m:e>
                  <w:bookmarkStart w:id="15" w:name="eq14"/>
                  <m:r>
                    <w:fldChar w:fldCharType="begin"/>
                  </m:r>
                  <m:r>
                    <m:t xml:space="preserve"> SEQ Equation \* ARABIC </m:t>
                  </m:r>
                  <m:r>
                    <w:fldChar w:fldCharType="separate"/>
                  </m:r>
                  <m:r>
                    <w:rPr>
                      <w:noProof/>
                    </w:rPr>
                    <m:t>13</m:t>
                  </m:r>
                  <m:r>
                    <w:fldChar w:fldCharType="end"/>
                  </m:r>
                  <w:bookmarkEnd w:id="15"/>
                </m:e>
              </m:d>
              <m:ctrlPr>
                <w:rPr>
                  <w:rFonts w:eastAsiaTheme="minorEastAsia"/>
                </w:rPr>
              </m:ctrlPr>
            </m:e>
          </m:eqArr>
        </m:oMath>
      </m:oMathPara>
    </w:p>
    <w:p w14:paraId="603EDAFA" w14:textId="14823026" w:rsidR="00F57193" w:rsidRDefault="004C13D1" w:rsidP="00926561">
      <w:r>
        <w:t>and:</w:t>
      </w:r>
    </w:p>
    <w:p w14:paraId="4BFBF462" w14:textId="4CBEC6A0" w:rsidR="00F57193" w:rsidRDefault="00202492" w:rsidP="00926561">
      <m:oMathPara>
        <m:oMath>
          <m:sSub>
            <m:sSubPr>
              <m:ctrlPr>
                <w:rPr>
                  <w:rFonts w:ascii="Cambria Math" w:hAnsi="Cambria Math"/>
                </w:rPr>
              </m:ctrlPr>
            </m:sSubPr>
            <m:e>
              <m:r>
                <w:rPr>
                  <w:rFonts w:ascii="Cambria Math" w:hAnsi="Cambria Math"/>
                </w:rPr>
                <m:t>σ</m:t>
              </m:r>
            </m:e>
            <m:sub>
              <m:r>
                <w:rPr>
                  <w:rFonts w:ascii="Cambria Math" w:hAnsi="Cambria Math"/>
                </w:rPr>
                <m:t>ext</m:t>
              </m:r>
            </m:sub>
          </m:sSub>
          <m:r>
            <w:rPr>
              <w:rFonts w:asci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ext</m:t>
                  </m:r>
                </m:sub>
              </m:sSub>
              <m:d>
                <m:dPr>
                  <m:ctrlPr>
                    <w:rPr>
                      <w:rFonts w:ascii="Cambria Math" w:hAnsi="Cambria Math"/>
                    </w:rPr>
                  </m:ctrlPr>
                </m:dPr>
                <m:e>
                  <m:r>
                    <w:rPr>
                      <w:rFonts w:ascii="Cambria Math" w:hAnsi="Cambria Math"/>
                    </w:rPr>
                    <m:t>λ</m:t>
                  </m:r>
                </m:e>
              </m:d>
            </m:num>
            <m:den>
              <m:sSub>
                <m:sSubPr>
                  <m:ctrlPr>
                    <w:rPr>
                      <w:rFonts w:ascii="Cambria Math" w:hAnsi="Cambria Math"/>
                    </w:rPr>
                  </m:ctrlPr>
                </m:sSubPr>
                <m:e>
                  <m:r>
                    <w:rPr>
                      <w:rFonts w:ascii="Cambria Math" w:hAnsi="Cambria Math"/>
                    </w:rPr>
                    <m:t>r</m:t>
                  </m:r>
                </m:e>
                <m:sub>
                  <m:r>
                    <m:rPr>
                      <m:sty m:val="p"/>
                    </m:rPr>
                    <w:rPr>
                      <w:rFonts w:ascii="Cambria Math" w:hAnsi="Cambria Math"/>
                    </w:rPr>
                    <m:t>eff</m:t>
                  </m:r>
                </m:sub>
              </m:sSub>
            </m:den>
          </m:f>
        </m:oMath>
      </m:oMathPara>
    </w:p>
    <w:p w14:paraId="36883901" w14:textId="1DF4BDDF" w:rsidR="004C13D1" w:rsidRDefault="004C13D1" w:rsidP="00926561">
      <w:r>
        <w:t>is the single-scattering extinction coefficient.</w:t>
      </w:r>
    </w:p>
    <w:p w14:paraId="39E899F9" w14:textId="22AC60D1" w:rsidR="00FC6EC6" w:rsidRDefault="009F4C3A" w:rsidP="00926561">
      <w:r>
        <w:t xml:space="preserve">An empirical constraint on </w:t>
      </w:r>
      <m:oMath>
        <m:r>
          <w:rPr>
            <w:rFonts w:ascii="Cambria Math" w:hAnsi="Cambria Math"/>
          </w:rPr>
          <m:t>k</m:t>
        </m:r>
        <m:d>
          <m:dPr>
            <m:ctrlPr>
              <w:rPr>
                <w:rFonts w:ascii="Cambria Math" w:hAnsi="Cambria Math"/>
                <w:i/>
              </w:rPr>
            </m:ctrlPr>
          </m:dPr>
          <m:e>
            <m:r>
              <w:rPr>
                <w:rFonts w:ascii="Cambria Math" w:hAnsi="Cambria Math"/>
              </w:rPr>
              <m:t>λ</m:t>
            </m:r>
          </m:e>
        </m:d>
      </m:oMath>
      <w:r w:rsidR="003E246E">
        <w:t xml:space="preserve"> </w:t>
      </w:r>
      <w:r>
        <w:t xml:space="preserve">is given by </w:t>
      </w:r>
      <w:r w:rsidR="00FC6EC6">
        <w:t>a user-defined absorption coefficient profile</w:t>
      </w:r>
      <w:r w:rsidR="00B61968">
        <w:t xml:space="preserve"> fo</w:t>
      </w:r>
      <w:r w:rsidR="003E246E">
        <w:t xml:space="preserve">llowing </w:t>
      </w:r>
      <w:r w:rsidR="00FC6EC6">
        <w:t>Equation 15 of Warren et al.</w:t>
      </w:r>
      <w:r w:rsidR="00FC6EC6">
        <w:fldChar w:fldCharType="begin"/>
      </w:r>
      <w:r w:rsidR="004B46B0">
        <w:instrText xml:space="preserve"> ADDIN ZOTERO_ITEM CSL_CITATION {"citationID":"H2eltpux","properties":{"formattedCitation":"\\super 21\\nosupersub{}","plainCitation":"21","noteIndex":0},"citationItems":[{"id":1230,"uris":["http://zotero.org/users/1282866/items/295KB9E8"],"uri":["http://zotero.org/users/1282866/items/295KB9E8"],"itemData":{"id":1230,"type":"article-journal","abstract":"Snow is a scattering-dominated medium whose scattering is independent of wavelength at 350-600 nm. The attenuation of solar radiation in snow can be used to infer the spectral absorption coefficient of pure ice, by reference to a known value at 600 nm. The method is applied to clean Antarctic snow; the absorption minimum is at 390 nm, and the inferred absorption coefficient is lower than even the lowest values of the Antarctic Muon and Neutrino Detector Array (AMANDA) experiment on glacier ice: The absorption length is at least 700 m, by comparison with 240 m for AMANDA and 10 m from laboratory attenuation measurements.","container-title":"Applied Optics","DOI":"10.1364/AO.45.005320","ISSN":"2155-3165","issue":"21","journalAbbreviation":"Appl. Opt., AO","language":"EN","page":"5320-5334","source":"www.osapublishing.org","title":"Visible and near-ultraviolet absorption spectrum of ice from transmission of solar radiation into snow","volume":"45","author":[{"family":"Warren","given":"Stephen G."},{"family":"Brandt","given":"Richard E."},{"family":"Grenfell","given":"Thomas C."}],"issued":{"date-parts":[["2006",7,20]]}},"suppress-author":true}],"schema":"https://github.com/citation-style-language/schema/raw/master/csl-citation.json"} </w:instrText>
      </w:r>
      <w:r w:rsidR="00FC6EC6">
        <w:fldChar w:fldCharType="separate"/>
      </w:r>
      <w:r w:rsidR="004B46B0" w:rsidRPr="004B46B0">
        <w:rPr>
          <w:vertAlign w:val="superscript"/>
        </w:rPr>
        <w:t>21</w:t>
      </w:r>
      <w:r w:rsidR="00FC6EC6">
        <w:fldChar w:fldCharType="end"/>
      </w:r>
      <w:r w:rsidR="003E246E">
        <w:t>:</w:t>
      </w:r>
    </w:p>
    <w:p w14:paraId="30D3E92E" w14:textId="6FC3266A" w:rsidR="00FC6EC6" w:rsidRPr="003E246E" w:rsidRDefault="00202492" w:rsidP="00234B3E">
      <w:pPr>
        <w:pStyle w:val="MyEquation"/>
        <w:rPr>
          <w:rFonts w:ascii="Times New Roman" w:eastAsiaTheme="minorEastAsia" w:hAnsi="Times New Roman"/>
          <w:iCs/>
        </w:rPr>
      </w:pPr>
      <m:oMathPara>
        <m:oMath>
          <m:eqArr>
            <m:eqArrPr>
              <m:maxDist m:val="1"/>
              <m:ctrlPr>
                <w:rPr>
                  <w:rFonts w:eastAsiaTheme="minorEastAsia"/>
                </w:rPr>
              </m:ctrlPr>
            </m:eqArrPr>
            <m:e>
              <m:r>
                <m:t>k</m:t>
              </m:r>
              <m:d>
                <m:dPr>
                  <m:ctrlPr/>
                </m:dPr>
                <m:e>
                  <m:r>
                    <m:t>λ</m:t>
                  </m:r>
                </m:e>
              </m:d>
              <m:r>
                <m:t>=k</m:t>
              </m:r>
              <m:d>
                <m:dPr>
                  <m:ctrlPr/>
                </m:dPr>
                <m:e>
                  <m:sSub>
                    <m:sSubPr>
                      <m:ctrlPr/>
                    </m:sSubPr>
                    <m:e>
                      <m:r>
                        <m:t>λ</m:t>
                      </m:r>
                    </m:e>
                    <m:sub>
                      <m:r>
                        <m:t>0</m:t>
                      </m:r>
                    </m:sub>
                  </m:sSub>
                </m:e>
              </m:d>
              <m:rad>
                <m:radPr>
                  <m:degHide m:val="1"/>
                  <m:ctrlPr/>
                </m:radPr>
                <m:deg/>
                <m:e>
                  <m:f>
                    <m:fPr>
                      <m:ctrlPr/>
                    </m:fPr>
                    <m:num>
                      <m:sSub>
                        <m:sSubPr>
                          <m:ctrlPr>
                            <w:rPr>
                              <w:iCs/>
                            </w:rPr>
                          </m:ctrlPr>
                        </m:sSubPr>
                        <m:e>
                          <m:r>
                            <m:t>k</m:t>
                          </m:r>
                        </m:e>
                        <m:sub>
                          <m:r>
                            <m:t>abs</m:t>
                          </m:r>
                        </m:sub>
                      </m:sSub>
                      <m:d>
                        <m:dPr>
                          <m:ctrlPr/>
                        </m:dPr>
                        <m:e>
                          <m:r>
                            <m:t>λ</m:t>
                          </m:r>
                        </m:e>
                      </m:d>
                    </m:num>
                    <m:den>
                      <m:sSub>
                        <m:sSubPr>
                          <m:ctrlPr>
                            <w:rPr>
                              <w:iCs/>
                            </w:rPr>
                          </m:ctrlPr>
                        </m:sSubPr>
                        <m:e>
                          <m:r>
                            <m:t>k</m:t>
                          </m:r>
                        </m:e>
                        <m:sub>
                          <m:r>
                            <m:t>abs</m:t>
                          </m:r>
                        </m:sub>
                      </m:sSub>
                      <m:d>
                        <m:dPr>
                          <m:ctrlPr/>
                        </m:dPr>
                        <m:e>
                          <m:sSub>
                            <m:sSubPr>
                              <m:ctrlPr/>
                            </m:sSubPr>
                            <m:e>
                              <m:r>
                                <m:t>λ</m:t>
                              </m:r>
                            </m:e>
                            <m:sub>
                              <m:r>
                                <m:t>0</m:t>
                              </m:r>
                            </m:sub>
                          </m:sSub>
                        </m:e>
                      </m:d>
                    </m:den>
                  </m:f>
                </m:e>
              </m:rad>
              <m:r>
                <m:t>,  300&lt;λ&lt;700  #</m:t>
              </m:r>
              <m:d>
                <m:dPr>
                  <m:ctrlPr>
                    <w:rPr>
                      <w:rFonts w:eastAsiaTheme="minorEastAsia"/>
                    </w:rPr>
                  </m:ctrlPr>
                </m:dPr>
                <m:e>
                  <m:r>
                    <w:fldChar w:fldCharType="begin"/>
                  </m:r>
                  <m:r>
                    <m:t xml:space="preserve"> SEQ Equation \* ARABIC </m:t>
                  </m:r>
                  <m:r>
                    <w:fldChar w:fldCharType="separate"/>
                  </m:r>
                  <m:r>
                    <w:rPr>
                      <w:noProof/>
                    </w:rPr>
                    <m:t>14</m:t>
                  </m:r>
                  <m:r>
                    <w:fldChar w:fldCharType="end"/>
                  </m:r>
                </m:e>
              </m:d>
            </m:e>
          </m:eqArr>
        </m:oMath>
      </m:oMathPara>
    </w:p>
    <w:p w14:paraId="39AADD93" w14:textId="09E3ED35" w:rsidR="00E92843" w:rsidRDefault="003E246E" w:rsidP="00926561">
      <w:r>
        <w:rPr>
          <w:iCs/>
        </w:rPr>
        <w:t xml:space="preserve">where </w:t>
      </w:r>
      <m:oMath>
        <m:sSub>
          <m:sSubPr>
            <m:ctrlPr>
              <w:rPr>
                <w:rFonts w:ascii="Cambria Math" w:hAnsi="Cambria Math"/>
              </w:rPr>
            </m:ctrlPr>
          </m:sSubPr>
          <m:e>
            <m:r>
              <w:rPr>
                <w:rFonts w:ascii="Cambria Math" w:hAnsi="Cambria Math"/>
              </w:rPr>
              <m:t>λ</m:t>
            </m:r>
          </m:e>
          <m:sub>
            <m:r>
              <m:rPr>
                <m:sty m:val="p"/>
              </m:rPr>
              <w:rPr>
                <w:rFonts w:ascii="Cambria Math" w:hAnsi="Cambria Math"/>
              </w:rPr>
              <m:t>0</m:t>
            </m:r>
          </m:sub>
        </m:sSub>
        <m:r>
          <m:rPr>
            <m:sty m:val="p"/>
          </m:rPr>
          <w:rPr>
            <w:rFonts w:ascii="Cambria Math" w:hAnsi="Cambria Math"/>
          </w:rPr>
          <m:t>=600 nm</m:t>
        </m:r>
      </m:oMath>
      <w:r>
        <w:t xml:space="preserve"> is a reference wavelength</w:t>
      </w:r>
      <w:r w:rsidR="008F599B">
        <w:t xml:space="preserve">. </w:t>
      </w:r>
      <w:r w:rsidR="00800253">
        <w:t xml:space="preserve">In this study, values for </w:t>
      </w:r>
      <m:oMath>
        <m:sSub>
          <m:sSubPr>
            <m:ctrlPr>
              <w:rPr>
                <w:rFonts w:ascii="Cambria Math" w:hAnsi="Cambria Math"/>
                <w:iCs/>
              </w:rPr>
            </m:ctrlPr>
          </m:sSubPr>
          <m:e>
            <m:r>
              <w:rPr>
                <w:rFonts w:ascii="Cambria Math" w:hAnsi="Cambria Math"/>
              </w:rPr>
              <m:t>k</m:t>
            </m:r>
          </m:e>
          <m:sub>
            <m:r>
              <m:rPr>
                <m:sty m:val="p"/>
              </m:rPr>
              <w:rPr>
                <w:rFonts w:ascii="Cambria Math" w:hAnsi="Cambria Math"/>
              </w:rPr>
              <m:t>abs</m:t>
            </m:r>
          </m:sub>
        </m:sSub>
        <m:d>
          <m:dPr>
            <m:ctrlPr>
              <w:rPr>
                <w:rFonts w:ascii="Cambria Math" w:hAnsi="Cambria Math"/>
              </w:rPr>
            </m:ctrlPr>
          </m:dPr>
          <m:e>
            <m:r>
              <w:rPr>
                <w:rFonts w:ascii="Cambria Math" w:hAnsi="Cambria Math"/>
              </w:rPr>
              <m:t>λ</m:t>
            </m:r>
          </m:e>
        </m:d>
      </m:oMath>
      <w:r w:rsidR="00800253">
        <w:t xml:space="preserve"> used as input to Eq. </w:t>
      </w:r>
      <w:r w:rsidR="00800253">
        <w:fldChar w:fldCharType="begin"/>
      </w:r>
      <w:r w:rsidR="00800253">
        <w:instrText xml:space="preserve"> REF eq15 </w:instrText>
      </w:r>
      <w:r w:rsidR="00BB5112">
        <w:instrText xml:space="preserve"> \* MERGEFORMAT </w:instrText>
      </w:r>
      <w:r w:rsidR="00800253">
        <w:fldChar w:fldCharType="separate"/>
      </w:r>
      <m:oMath>
        <m:r>
          <m:rPr>
            <m:sty m:val="p"/>
          </m:rPr>
          <w:rPr>
            <w:rFonts w:ascii="Cambria Math" w:hAnsi="Cambria Math"/>
            <w:noProof/>
          </w:rPr>
          <m:t>1</m:t>
        </m:r>
      </m:oMath>
      <w:r w:rsidR="00800253">
        <w:fldChar w:fldCharType="end"/>
      </w:r>
      <w:r w:rsidR="00800253">
        <w:t xml:space="preserve"> </w:t>
      </w:r>
      <w:r w:rsidR="00285113">
        <w:t xml:space="preserve">are </w:t>
      </w:r>
      <w:r w:rsidR="00800253">
        <w:t>from measurements of flux attenuation within glacier ice in Greenland’s ablation zone</w:t>
      </w:r>
      <w:r w:rsidR="00735CA3">
        <w:fldChar w:fldCharType="begin"/>
      </w:r>
      <w:r w:rsidR="004B46B0">
        <w:instrText xml:space="preserve"> ADDIN ZOTERO_ITEM CSL_CITATION {"citationID":"kIvJf9hT","properties":{"formattedCitation":"\\super 9\\nosupersub{}","plainCitation":"9","noteIndex":0},"citationItems":[{"id":99,"uris":["http://zotero.org/users/1282866/items/LZKXD26A"],"uri":["http://zotero.org/users/1282866/items/LZKXD26A"],"itemData":{"id":99,"type":"article-journal","abstract":"Light transmission into bare glacial ice affects surface energy balance, bio-photochemical cycling, and light detection and ranging (LiDAR) laser elevation measurements but has not previously been reported for the Greenland Ice Sheet. We present in-ice solar irradiance measured over the spectral range 350–900 nm and 12–77 cm depth collected at a site in the western Greenland ablation zone. The acquired spectral irradiance measurements are used to calculate flux attenuation coefficients using an exponential decay Bouguer law model and are compared to values calculated from two-stream radiative transfer theory. Relative to asymptotic two-stream theory, our empirical attenuation coefficients are up to one order of magnitude larger in the range 350–530 nm, suggesting light absorbing particles embedded in ice enhance visible light absorption at our field site. The empirical coefficients accurately describe light attenuation in the ice interior but underestimate light attenuation near the ice surface. Consequently, Bouguer’s law overestimates transmitted flux by up to 50 % depending on wavelength. Refraction is unlikely to explain the discrepancy. Instead, vertical variation in the ice microstructure and the concentration of light absorbing particles appears to enhance near-surface attenuation at our field site. The magnitude of this near-surface attenuation implies that optical penetration depth is lower by up to 19 cm (28 %) at wavelengths relevant to visible-wavelength lidar altimetry of ice surface elevation (e.g. 532 nm for the Ice, Cloud, and Land Elevation Satellite-2) than is suggested by e-folding depths inferred from two stream theory for optically pure glacier ice. This enhanced near-surface attenuation implies shallower light transmission and therefore lower subsurface light availability for subsurface radiative heating and bio-photochemical cycling. We recommend radiative transfer models applied to bare ice in the Greenland Ice Sheet ablation zone account for vertical variation in light attenuation due to the vertical distribution of light absorbing particles and ice microstructure, and we provide new values of flux attenuation, absorption, and scattering coefficients to support model validation and parameterization.","container-title":"The Cryosphere Discussions","DOI":"10.5194/tc-2020-53","source":"DOI.org (Crossref)","title":"First spectral measurements of light attenuation in Greenland Ice Sheet bare ice suggest shallower subsurface radiative heating and ICESat-2 penetration depth in the ablation zone","URL":"https://www.the-cryosphere-discuss.net/tc-2020-53/","author":[{"family":"Cooper","given":"Matthew G."},{"family":"Smith","given":"Laurence C."},{"family":"Rennermalm","given":"Åsa K."},{"family":"Tedesco","given":"Marco"},{"family":"Muthyala","given":"Rohi"},{"family":"Leidman","given":"Sasha Z."},{"family":"Moustafa","given":"Samiah E."},{"family":"Fayne","given":"Jessica V."}],"accessed":{"date-parts":[["2020",3,25]]},"issued":{"date-parts":[["2020",3,17]]}}}],"schema":"https://github.com/citation-style-language/schema/raw/master/csl-citation.json"} </w:instrText>
      </w:r>
      <w:r w:rsidR="00735CA3">
        <w:fldChar w:fldCharType="separate"/>
      </w:r>
      <w:r w:rsidR="004B46B0" w:rsidRPr="004B46B0">
        <w:rPr>
          <w:vertAlign w:val="superscript"/>
        </w:rPr>
        <w:t>9</w:t>
      </w:r>
      <w:r w:rsidR="00735CA3">
        <w:fldChar w:fldCharType="end"/>
      </w:r>
      <w:r w:rsidR="00800253">
        <w:t>.</w:t>
      </w:r>
      <w:r w:rsidR="009C2DC7">
        <w:t xml:space="preserve"> </w:t>
      </w:r>
      <w:r w:rsidR="00265671">
        <w:t xml:space="preserve">Enhanced absorption of visible light due to impurities found on and within Greenland’s ablating ice surface including dust, black carbon, and microorganisms </w:t>
      </w:r>
      <w:r w:rsidR="009C2DC7">
        <w:t xml:space="preserve">is demonstrated by the higher values of </w:t>
      </w:r>
      <m:oMath>
        <m:r>
          <w:rPr>
            <w:rFonts w:ascii="Cambria Math" w:hAnsi="Cambria Math"/>
          </w:rPr>
          <m:t>k</m:t>
        </m:r>
        <m:d>
          <m:dPr>
            <m:ctrlPr>
              <w:rPr>
                <w:rFonts w:ascii="Cambria Math" w:hAnsi="Cambria Math"/>
              </w:rPr>
            </m:ctrlPr>
          </m:dPr>
          <m:e>
            <m:r>
              <w:rPr>
                <w:rFonts w:ascii="Cambria Math" w:hAnsi="Cambria Math"/>
              </w:rPr>
              <m:t>λ</m:t>
            </m:r>
          </m:e>
        </m:d>
      </m:oMath>
      <w:r w:rsidR="009C2DC7">
        <w:t xml:space="preserve"> from 0.3–0.6 um</w:t>
      </w:r>
      <w:r w:rsidR="00265671">
        <w:t xml:space="preserve"> (</w:t>
      </w:r>
      <w:r w:rsidR="00202492">
        <w:fldChar w:fldCharType="begin"/>
      </w:r>
      <w:r w:rsidR="00202492">
        <w:instrText xml:space="preserve"> REF _Ref47371014  \* MERGEFORMAT </w:instrText>
      </w:r>
      <w:r w:rsidR="00202492">
        <w:fldChar w:fldCharType="separate"/>
      </w:r>
      <w:r w:rsidR="00752C6E" w:rsidRPr="00735CA3">
        <w:t xml:space="preserve">Figure </w:t>
      </w:r>
      <w:r w:rsidR="00752C6E">
        <w:rPr>
          <w:noProof/>
        </w:rPr>
        <w:t>S10</w:t>
      </w:r>
      <w:r w:rsidR="00202492">
        <w:rPr>
          <w:noProof/>
        </w:rPr>
        <w:fldChar w:fldCharType="end"/>
      </w:r>
      <w:r w:rsidR="00265671">
        <w:t>).</w:t>
      </w:r>
    </w:p>
    <w:p w14:paraId="0A8B65B8" w14:textId="14027BD9" w:rsidR="00CA3F00" w:rsidRPr="00AC6229" w:rsidRDefault="00AC6229" w:rsidP="00AC6229">
      <w:pPr>
        <w:rPr>
          <w:kern w:val="28"/>
        </w:rPr>
      </w:pPr>
      <w:r>
        <w:rPr>
          <w:b/>
          <w:bCs/>
        </w:rPr>
        <w:t xml:space="preserve">2.1.3 </w:t>
      </w:r>
      <w:r w:rsidR="00CA3F00" w:rsidRPr="000844A9">
        <w:rPr>
          <w:b/>
        </w:rPr>
        <w:t xml:space="preserve">Numerical </w:t>
      </w:r>
      <w:r w:rsidR="00A70ACB">
        <w:rPr>
          <w:b/>
        </w:rPr>
        <w:t>implementation</w:t>
      </w:r>
    </w:p>
    <w:p w14:paraId="57A21AAA" w14:textId="3A34EC31" w:rsidR="00B61968" w:rsidRDefault="00110BE0" w:rsidP="00A70ACB">
      <w:r>
        <w:t xml:space="preserve">Equation (1) is </w:t>
      </w:r>
      <w:r w:rsidR="001F563C">
        <w:t>solved using</w:t>
      </w:r>
      <w:r w:rsidR="00C64A1D" w:rsidRPr="00200FDF">
        <w:t xml:space="preserve"> one-dimensional finite volume discretization</w:t>
      </w:r>
      <w:r w:rsidR="007A668A">
        <w:t xml:space="preserve"> and</w:t>
      </w:r>
      <w:r w:rsidR="00C64A1D" w:rsidRPr="00200FDF">
        <w:t xml:space="preserve"> fully implicit time stepping</w:t>
      </w:r>
      <w:r w:rsidR="00C64A1D">
        <w:t xml:space="preserve">. </w:t>
      </w:r>
      <w:r w:rsidR="00CA3F00">
        <w:t>The spectral model</w:t>
      </w:r>
      <w:r w:rsidR="00CA3F00" w:rsidRPr="00D95F62">
        <w:t xml:space="preserve"> </w:t>
      </w:r>
      <w:r w:rsidR="00CA3F00">
        <w:t xml:space="preserve">is discretized at </w:t>
      </w:r>
      <w:r w:rsidR="00B61968">
        <w:t>2</w:t>
      </w:r>
      <w:r w:rsidR="00CA3F00" w:rsidRPr="00D95F62">
        <w:t xml:space="preserve"> mm vertical grid</w:t>
      </w:r>
      <w:r w:rsidR="00CA3F00">
        <w:t xml:space="preserve"> </w:t>
      </w:r>
      <w:r w:rsidR="00970A00">
        <w:t>spacing</w:t>
      </w:r>
      <w:r w:rsidR="00CA3F00">
        <w:t xml:space="preserve"> to 12 m depth. </w:t>
      </w:r>
      <w:r w:rsidR="001F563C">
        <w:t>V</w:t>
      </w:r>
      <w:r w:rsidR="00CA3F00">
        <w:t xml:space="preserve">alues for </w:t>
      </w:r>
      <m:oMath>
        <m:r>
          <m:rPr>
            <m:sty m:val="p"/>
          </m:rPr>
          <w:rPr>
            <w:rFonts w:ascii="Cambria Math" w:hAnsi="Cambria Math"/>
          </w:rPr>
          <m:t>∂q/∂z</m:t>
        </m:r>
      </m:oMath>
      <w:r w:rsidR="00CA3F00">
        <w:t xml:space="preserve"> at each </w:t>
      </w:r>
      <w:r w:rsidR="00B61968">
        <w:t>2</w:t>
      </w:r>
      <w:r w:rsidR="00CA3F00">
        <w:t xml:space="preserve"> mm layer</w:t>
      </w:r>
      <w:r w:rsidR="001F563C">
        <w:t xml:space="preserve"> are obtained with a tri-diagonal matrix solver following </w:t>
      </w:r>
      <w:r w:rsidR="001F563C" w:rsidRPr="00CA3F00">
        <w:t>Appendix 1 of Schlatter</w:t>
      </w:r>
      <w:r w:rsidR="001F563C" w:rsidRPr="00CA3F00">
        <w:fldChar w:fldCharType="begin"/>
      </w:r>
      <w:r w:rsidR="004B46B0">
        <w:instrText xml:space="preserve"> ADDIN ZOTERO_ITEM CSL_CITATION {"citationID":"tfC2z8JT","properties":{"formattedCitation":"\\super 17\\nosupersub{}","plainCitation":"17","noteIndex":0},"citationItems":[{"id":1141,"uris":["http://zotero.org/users/1282866/items/S6HDXPEE"],"uri":["http://zotero.org/users/1282866/items/S6HDXPEE"],"itemData":{"id":1141,"type":"article-journal","abstract":"The physical processes occurring within a perennial snow cover and at its surface are discussed with particular emphasis on monthly variations in Antarctic snow. Results of a one-year simulation of physical processes In snow are compared with 1958 data at Mirny and Pionerskaya, Antarctica. The simulation demonstrates the following: first, solar radiation is effective to a depth of 50 cm or so, but longwave radiation cools the surface alone, causing the “greenhouse” effect first observed in snow at least four decades ago. Highest summertime temperature and initial snowmelt thus occur not at the surface but roughly 10 cm below It. Second, the percolation of meltwater with eventual refreezing during the subsequent winter is the most efficient mechanism for modifying the temperature profile at depths of several meters of more. Third, concerning the surface energy budget, at temperatures below −20C, atmospheric sensible heat flux approximately compensates net radiation throughout the year. When the temperature nears 0C (only in summer), the surplus of net radiation Is used primarily for changes of phase—sublimation and possibly melting; little energy is used to heat the snow. Then latent beat flux approximately compensates net radiation.","container-title":"Journal of Applied Meteorology","DOI":"10.1175/1520-0450(1972)011&lt;1048:TLSEBA&gt;2.0.CO;2","ISSN":"0021-8952","issue":"7","journalAbbreviation":"J. Appl. Meteor.","page":"1048-1062","source":"journals.ametsoc.org (Atypon)","title":"The Local Surface Energy Balance and Subsurface Temperature Regime in Antarctica","volume":"11","author":[{"family":"Schlatter","given":"Thomas W."}],"issued":{"date-parts":[["1972",10,1]]}},"suppress-author":true}],"schema":"https://github.com/citation-style-language/schema/raw/master/csl-citation.json"} </w:instrText>
      </w:r>
      <w:r w:rsidR="001F563C" w:rsidRPr="00CA3F00">
        <w:fldChar w:fldCharType="separate"/>
      </w:r>
      <w:r w:rsidR="004B46B0" w:rsidRPr="004B46B0">
        <w:rPr>
          <w:vertAlign w:val="superscript"/>
        </w:rPr>
        <w:t>17</w:t>
      </w:r>
      <w:r w:rsidR="001F563C" w:rsidRPr="00CA3F00">
        <w:fldChar w:fldCharType="end"/>
      </w:r>
      <w:r w:rsidR="001F563C">
        <w:t xml:space="preserve">. </w:t>
      </w:r>
      <w:r w:rsidR="00CA3F00">
        <w:t xml:space="preserve">The thermal model </w:t>
      </w:r>
      <w:r w:rsidR="00E92843">
        <w:t>is</w:t>
      </w:r>
      <w:r w:rsidR="00B61968">
        <w:t xml:space="preserve"> discretized at</w:t>
      </w:r>
      <w:r w:rsidR="00E92843">
        <w:t xml:space="preserve"> </w:t>
      </w:r>
      <w:r w:rsidR="00B61968">
        <w:t xml:space="preserve">2 cm vertical grid spacing to 20 m depth. Values for </w:t>
      </w:r>
      <m:oMath>
        <m:r>
          <m:rPr>
            <m:sty m:val="p"/>
          </m:rPr>
          <w:rPr>
            <w:rFonts w:ascii="Cambria Math" w:hAnsi="Cambria Math"/>
          </w:rPr>
          <m:t>∂T/∂t</m:t>
        </m:r>
      </m:oMath>
      <w:r w:rsidR="00B61968">
        <w:t xml:space="preserve"> are obtained</w:t>
      </w:r>
      <w:r w:rsidR="00E92843">
        <w:t xml:space="preserve"> </w:t>
      </w:r>
      <w:r w:rsidR="00B61968">
        <w:t xml:space="preserve">with a tri-diagonal matrix solver </w:t>
      </w:r>
      <w:r w:rsidR="00E92843">
        <w:t>usi</w:t>
      </w:r>
      <w:r w:rsidR="0016226D">
        <w:t>ng</w:t>
      </w:r>
      <w:r w:rsidR="00E92843">
        <w:t xml:space="preserve"> </w:t>
      </w:r>
      <w:r w:rsidR="00542D0D">
        <w:t xml:space="preserve">the finite </w:t>
      </w:r>
      <w:r w:rsidR="00C60A67">
        <w:t>control volume method</w:t>
      </w:r>
      <w:r w:rsidR="001F563C">
        <w:t xml:space="preserve"> described by Patankar</w:t>
      </w:r>
      <w:r w:rsidR="0016226D">
        <w:fldChar w:fldCharType="begin"/>
      </w:r>
      <w:r w:rsidR="004B46B0">
        <w:instrText xml:space="preserve"> ADDIN ZOTERO_ITEM CSL_CITATION {"citationID":"dW6ex3XU","properties":{"formattedCitation":"\\super 22\\nosupersub{}","plainCitation":"22","noteIndex":0},"citationItems":[{"id":2611,"uris":["http://zotero.org/users/1282866/items/YS58S6JU"],"uri":["http://zotero.org/users/1282866/items/YS58S6JU"],"itemData":{"id":2611,"type":"book","collection-title":"Series in Computational Methods in Mechanics and Thermal Sciences","ISBN":"0-89116-522-3","language":"En","number-of-pages":"197","publisher":"Hemisphere Publishing Corporation","title":"Numerical Heat Transfer and Fluid Flow","author":[{"family":"Patankar","given":"Suhas V."}],"issued":{"date-parts":[["1980"]]}}}],"schema":"https://github.com/citation-style-language/schema/raw/master/csl-citation.json"} </w:instrText>
      </w:r>
      <w:r w:rsidR="0016226D">
        <w:fldChar w:fldCharType="separate"/>
      </w:r>
      <w:r w:rsidR="004B46B0" w:rsidRPr="004B46B0">
        <w:rPr>
          <w:vertAlign w:val="superscript"/>
        </w:rPr>
        <w:t>22</w:t>
      </w:r>
      <w:r w:rsidR="0016226D">
        <w:fldChar w:fldCharType="end"/>
      </w:r>
      <w:r w:rsidR="00B61968">
        <w:t>.</w:t>
      </w:r>
      <w:r w:rsidR="00C60A67">
        <w:t xml:space="preserve"> </w:t>
      </w:r>
    </w:p>
    <w:p w14:paraId="00C9A731" w14:textId="1CB5A387" w:rsidR="000B114A" w:rsidRDefault="001F563C" w:rsidP="00A70ACB">
      <w:r>
        <w:t>At each timestep, the effective thermal conductivity (</w:t>
      </w: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v</m:t>
            </m:r>
          </m:sub>
        </m:sSub>
      </m:oMath>
      <w:r>
        <w:t xml:space="preserve">; Equation </w:t>
      </w:r>
      <w:r>
        <w:fldChar w:fldCharType="begin"/>
      </w:r>
      <w:r w:rsidR="00C6104F">
        <w:instrText xml:space="preserve"> REF eq1  \* MERGEFORMAT </w:instrText>
      </w:r>
      <w:r>
        <w:fldChar w:fldCharType="separate"/>
      </w:r>
      <m:oMath>
        <m:r>
          <m:rPr>
            <m:sty m:val="p"/>
          </m:rPr>
          <w:rPr>
            <w:rFonts w:ascii="Cambria Math" w:hAnsi="Cambria Math"/>
            <w:noProof/>
          </w:rPr>
          <m:t>1</m:t>
        </m:r>
        <m:r>
          <m:rPr>
            <m:sty m:val="p"/>
          </m:rPr>
          <w:rPr>
            <w:rFonts w:ascii="Cambria Math" w:hAnsi="Cambria Math"/>
            <w:noProof/>
          </w:rPr>
          <w:fldChar w:fldCharType="end"/>
        </m:r>
      </m:oMath>
      <w:r>
        <w:t>) and specific heat capacity (</w:t>
      </w:r>
      <m:oMath>
        <m:sSub>
          <m:sSubPr>
            <m:ctrlPr>
              <w:rPr>
                <w:rFonts w:ascii="Cambria Math" w:hAnsi="Cambria Math"/>
                <w:i/>
              </w:rPr>
            </m:ctrlPr>
          </m:sSubPr>
          <m:e>
            <m:r>
              <w:rPr>
                <w:rFonts w:ascii="Cambria Math" w:hAnsi="Cambria Math"/>
              </w:rPr>
              <m:t>C</m:t>
            </m:r>
          </m:e>
          <m:sub>
            <m:r>
              <m:rPr>
                <m:sty m:val="p"/>
              </m:rPr>
              <w:rPr>
                <w:rFonts w:ascii="Cambria Math" w:hAnsi="Cambria Math"/>
              </w:rPr>
              <m:t>v</m:t>
            </m:r>
          </m:sub>
        </m:sSub>
      </m:oMath>
      <w:r>
        <w:t xml:space="preserve">; Equation </w:t>
      </w:r>
      <w:r>
        <w:fldChar w:fldCharType="begin"/>
      </w:r>
      <w:r w:rsidR="00C6104F">
        <w:instrText xml:space="preserve"> REF eq1  \* MERGEFORMAT </w:instrText>
      </w:r>
      <w:r>
        <w:fldChar w:fldCharType="separate"/>
      </w:r>
      <m:oMath>
        <m:r>
          <m:rPr>
            <m:sty m:val="p"/>
          </m:rPr>
          <w:rPr>
            <w:rFonts w:ascii="Cambria Math" w:hAnsi="Cambria Math"/>
            <w:noProof/>
          </w:rPr>
          <m:t>1</m:t>
        </m:r>
        <m:r>
          <m:rPr>
            <m:sty m:val="p"/>
          </m:rPr>
          <w:rPr>
            <w:rFonts w:ascii="Cambria Math" w:hAnsi="Cambria Math"/>
            <w:noProof/>
          </w:rPr>
          <w:fldChar w:fldCharType="end"/>
        </m:r>
      </m:oMath>
      <w:r>
        <w:t xml:space="preserve">) are updated as functions of the </w:t>
      </w:r>
      <w:r w:rsidR="00C60A67">
        <w:t>evolving ice, air, and liquid water fractions</w:t>
      </w:r>
      <w:r>
        <w:t xml:space="preserve"> following Equation 8 and Equation 9</w:t>
      </w:r>
      <w:r w:rsidR="00E92843">
        <w:t xml:space="preserve">. </w:t>
      </w:r>
    </w:p>
    <w:p w14:paraId="0F3174B1" w14:textId="668F93BD" w:rsidR="000B114A" w:rsidRPr="000B114A" w:rsidRDefault="000B114A" w:rsidP="00A70ACB">
      <w:r w:rsidRPr="008D3C4B">
        <w:rPr>
          <w:iCs/>
        </w:rPr>
        <w:t xml:space="preserve">The upper boundary condition for Equation </w:t>
      </w:r>
      <w:r w:rsidR="00542D0D">
        <w:rPr>
          <w:iCs/>
        </w:rPr>
        <w:fldChar w:fldCharType="begin"/>
      </w:r>
      <w:r w:rsidR="00542D0D">
        <w:rPr>
          <w:iCs/>
        </w:rPr>
        <w:instrText xml:space="preserve"> REF eq1 </w:instrText>
      </w:r>
      <w:r w:rsidR="000844A9">
        <w:rPr>
          <w:iCs/>
        </w:rPr>
        <w:instrText xml:space="preserve"> \* MERGEFORMAT </w:instrText>
      </w:r>
      <w:r w:rsidR="00542D0D">
        <w:rPr>
          <w:iCs/>
        </w:rPr>
        <w:fldChar w:fldCharType="separate"/>
      </w:r>
      <m:oMath>
        <m:r>
          <m:rPr>
            <m:sty m:val="p"/>
          </m:rPr>
          <w:rPr>
            <w:rFonts w:ascii="Cambria Math" w:hAnsi="Cambria Math"/>
            <w:noProof/>
          </w:rPr>
          <m:t>1</m:t>
        </m:r>
      </m:oMath>
      <w:r w:rsidR="00542D0D">
        <w:rPr>
          <w:iCs/>
        </w:rPr>
        <w:fldChar w:fldCharType="end"/>
      </w:r>
      <w:r w:rsidRPr="008D3C4B">
        <w:rPr>
          <w:iCs/>
        </w:rPr>
        <w:t xml:space="preserve"> is the ice surface temperature</w:t>
      </w:r>
      <w:r w:rsidRPr="008D3C4B">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sfc</m:t>
            </m:r>
          </m:sub>
        </m:sSub>
      </m:oMath>
      <w:r w:rsidR="00542D0D">
        <w:t>, which</w:t>
      </w:r>
      <w:r w:rsidRPr="008D3C4B">
        <w:t xml:space="preserve"> is initially unknown. To estimate it, a surface energy budget is </w:t>
      </w:r>
      <w:r w:rsidR="001F563C">
        <w:t xml:space="preserve">cast in </w:t>
      </w:r>
      <w:r>
        <w:t>the following form:</w:t>
      </w:r>
    </w:p>
    <w:p w14:paraId="0101EEF2" w14:textId="4989E0AE" w:rsidR="000B114A" w:rsidRPr="000B114A" w:rsidRDefault="00202492" w:rsidP="00234B3E">
      <w:pPr>
        <w:pStyle w:val="MyEquation"/>
        <w:rPr>
          <w:rFonts w:ascii="Times New Roman" w:eastAsiaTheme="minorEastAsia" w:hAnsi="Times New Roman"/>
          <w:iCs/>
        </w:rPr>
      </w:pPr>
      <m:oMathPara>
        <m:oMath>
          <m:eqArr>
            <m:eqArrPr>
              <m:maxDist m:val="1"/>
              <m:ctrlPr>
                <w:rPr>
                  <w:rFonts w:eastAsiaTheme="minorEastAsia"/>
                </w:rPr>
              </m:ctrlPr>
            </m:eqArrPr>
            <m:e>
              <m:r>
                <w:rPr>
                  <w:rFonts w:eastAsiaTheme="minorEastAsia"/>
                </w:rPr>
                <m:t>χ</m:t>
              </m:r>
              <m:d>
                <m:dPr>
                  <m:ctrlPr>
                    <w:rPr>
                      <w:rFonts w:eastAsiaTheme="minorEastAsia"/>
                      <w:iCs/>
                    </w:rPr>
                  </m:ctrlPr>
                </m:dPr>
                <m:e>
                  <m:r>
                    <w:rPr>
                      <w:rFonts w:eastAsiaTheme="minorEastAsia"/>
                    </w:rPr>
                    <m:t>1-α</m:t>
                  </m:r>
                </m:e>
              </m:d>
              <m:sSub>
                <m:sSubPr>
                  <m:ctrlPr>
                    <w:rPr>
                      <w:rFonts w:eastAsiaTheme="minorEastAsia"/>
                      <w:iCs/>
                    </w:rPr>
                  </m:ctrlPr>
                </m:sSubPr>
                <m:e>
                  <m:r>
                    <w:rPr>
                      <w:rFonts w:eastAsiaTheme="minorEastAsia"/>
                    </w:rPr>
                    <m:t>Q</m:t>
                  </m:r>
                </m:e>
                <m:sub>
                  <m:r>
                    <w:rPr>
                      <w:rFonts w:eastAsiaTheme="minorEastAsia"/>
                    </w:rPr>
                    <m:t>si</m:t>
                  </m:r>
                </m:sub>
              </m:sSub>
              <m:r>
                <w:rPr>
                  <w:rFonts w:eastAsiaTheme="minorEastAsia"/>
                </w:rPr>
                <m:t>+</m:t>
              </m:r>
              <m:sSub>
                <m:sSubPr>
                  <m:ctrlPr>
                    <w:rPr>
                      <w:rFonts w:eastAsiaTheme="minorEastAsia"/>
                    </w:rPr>
                  </m:ctrlPr>
                </m:sSubPr>
                <m:e>
                  <m:r>
                    <w:rPr>
                      <w:rFonts w:eastAsiaTheme="minorEastAsia"/>
                    </w:rPr>
                    <m:t>Q</m:t>
                  </m:r>
                  <m:ctrlPr>
                    <w:rPr>
                      <w:rFonts w:eastAsiaTheme="minorEastAsia"/>
                      <w:iCs/>
                    </w:rPr>
                  </m:ctrlPr>
                </m:e>
                <m:sub>
                  <m:r>
                    <w:rPr>
                      <w:rFonts w:eastAsiaTheme="minorEastAsia"/>
                    </w:rPr>
                    <m:t>li</m:t>
                  </m:r>
                </m:sub>
              </m:sSub>
              <m:r>
                <w:rPr>
                  <w:rFonts w:eastAsiaTheme="minorEastAsia"/>
                </w:rPr>
                <m:t>-</m:t>
              </m:r>
              <m:r>
                <m:t>ε</m:t>
              </m:r>
              <m:r>
                <w:rPr>
                  <w:rFonts w:eastAsiaTheme="minorEastAsia"/>
                </w:rPr>
                <m:t>σ</m:t>
              </m:r>
              <m:sSubSup>
                <m:sSubSupPr>
                  <m:ctrlPr>
                    <w:rPr>
                      <w:rFonts w:eastAsiaTheme="minorEastAsia"/>
                    </w:rPr>
                  </m:ctrlPr>
                </m:sSubSupPr>
                <m:e>
                  <m:r>
                    <w:rPr>
                      <w:rFonts w:eastAsiaTheme="minorEastAsia"/>
                    </w:rPr>
                    <m:t>T</m:t>
                  </m:r>
                </m:e>
                <m:sub>
                  <m:r>
                    <w:rPr>
                      <w:rFonts w:eastAsiaTheme="minorEastAsia"/>
                    </w:rPr>
                    <m:t>sfc</m:t>
                  </m:r>
                  <m:ctrlPr>
                    <w:rPr>
                      <w:rFonts w:eastAsiaTheme="minorEastAsia"/>
                      <w:iCs/>
                    </w:rPr>
                  </m:ctrlPr>
                </m:sub>
                <m:sup>
                  <m:r>
                    <w:rPr>
                      <w:rFonts w:eastAsiaTheme="minorEastAsia"/>
                    </w:rPr>
                    <m:t>4</m:t>
                  </m:r>
                </m:sup>
              </m:sSubSup>
              <m:r>
                <w:rPr>
                  <w:rFonts w:eastAsiaTheme="minorEastAsia"/>
                </w:rPr>
                <m:t>+</m:t>
              </m:r>
              <m:sSub>
                <m:sSubPr>
                  <m:ctrlPr>
                    <w:rPr>
                      <w:rFonts w:eastAsiaTheme="minorEastAsia"/>
                    </w:rPr>
                  </m:ctrlPr>
                </m:sSubPr>
                <m:e>
                  <m:r>
                    <w:rPr>
                      <w:rFonts w:eastAsiaTheme="minorEastAsia"/>
                    </w:rPr>
                    <m:t>Q</m:t>
                  </m:r>
                </m:e>
                <m:sub>
                  <m:r>
                    <w:rPr>
                      <w:rFonts w:eastAsiaTheme="minorEastAsia"/>
                    </w:rPr>
                    <m:t>h</m:t>
                  </m:r>
                </m:sub>
              </m:sSub>
              <m:r>
                <w:rPr>
                  <w:rFonts w:eastAsiaTheme="minorEastAsia"/>
                </w:rPr>
                <m:t>+</m:t>
              </m:r>
              <m:sSub>
                <m:sSubPr>
                  <m:ctrlPr>
                    <w:rPr>
                      <w:rFonts w:eastAsiaTheme="minorEastAsia"/>
                    </w:rPr>
                  </m:ctrlPr>
                </m:sSubPr>
                <m:e>
                  <m:r>
                    <w:rPr>
                      <w:rFonts w:eastAsiaTheme="minorEastAsia"/>
                    </w:rPr>
                    <m:t>Q</m:t>
                  </m:r>
                </m:e>
                <m:sub>
                  <m:r>
                    <w:rPr>
                      <w:rFonts w:eastAsiaTheme="minorEastAsia"/>
                    </w:rPr>
                    <m:t>e</m:t>
                  </m:r>
                </m:sub>
              </m:sSub>
              <m:r>
                <w:rPr>
                  <w:rFonts w:eastAsiaTheme="minorEastAsia"/>
                </w:rPr>
                <m:t>+</m:t>
              </m:r>
              <m:sSub>
                <m:sSubPr>
                  <m:ctrlPr>
                    <w:rPr>
                      <w:rFonts w:eastAsiaTheme="minorEastAsia"/>
                    </w:rPr>
                  </m:ctrlPr>
                </m:sSubPr>
                <m:e>
                  <m:r>
                    <w:rPr>
                      <w:rFonts w:eastAsiaTheme="minorEastAsia"/>
                    </w:rPr>
                    <m:t>Q</m:t>
                  </m:r>
                </m:e>
                <m:sub>
                  <m:r>
                    <w:rPr>
                      <w:rFonts w:eastAsiaTheme="minorEastAsia"/>
                    </w:rPr>
                    <m:t>c</m:t>
                  </m:r>
                </m:sub>
              </m:sSub>
              <m:r>
                <w:rPr>
                  <w:rFonts w:eastAsiaTheme="minorEastAsia"/>
                </w:rPr>
                <m:t>=</m:t>
              </m:r>
              <m:sSub>
                <m:sSubPr>
                  <m:ctrlPr>
                    <w:rPr>
                      <w:rFonts w:eastAsiaTheme="minorEastAsia"/>
                    </w:rPr>
                  </m:ctrlPr>
                </m:sSubPr>
                <m:e>
                  <m:r>
                    <w:rPr>
                      <w:rFonts w:eastAsiaTheme="minorEastAsia"/>
                    </w:rPr>
                    <m:t>Q</m:t>
                  </m:r>
                </m:e>
                <m:sub>
                  <m:r>
                    <w:rPr>
                      <w:rFonts w:eastAsiaTheme="minorEastAsia"/>
                    </w:rPr>
                    <m:t>m</m:t>
                  </m:r>
                </m:sub>
              </m:sSub>
              <m:r>
                <w:rPr>
                  <w:rFonts w:eastAsiaTheme="minorEastAsia"/>
                </w:rPr>
                <m:t xml:space="preserve"> #</m:t>
              </m:r>
              <m:d>
                <m:dPr>
                  <m:ctrlPr>
                    <w:rPr>
                      <w:rFonts w:eastAsiaTheme="minorEastAsia"/>
                    </w:rPr>
                  </m:ctrlPr>
                </m:dPr>
                <m:e>
                  <w:bookmarkStart w:id="16" w:name="eq15"/>
                  <m:r>
                    <w:rPr>
                      <w:rFonts w:eastAsiaTheme="minorEastAsia"/>
                    </w:rPr>
                    <m:t>1</m:t>
                  </m:r>
                  <w:bookmarkEnd w:id="16"/>
                  <m:r>
                    <w:rPr>
                      <w:rFonts w:eastAsiaTheme="minorEastAsia"/>
                    </w:rPr>
                    <m:t>6</m:t>
                  </m:r>
                </m:e>
              </m:d>
              <m:ctrlPr>
                <w:rPr>
                  <w:rFonts w:eastAsiaTheme="minorEastAsia"/>
                  <w:iCs/>
                </w:rPr>
              </m:ctrlPr>
            </m:e>
          </m:eqArr>
        </m:oMath>
      </m:oMathPara>
    </w:p>
    <w:p w14:paraId="6652A288" w14:textId="09D96B69" w:rsidR="000844A9" w:rsidRDefault="000B114A" w:rsidP="000844A9">
      <w:r>
        <w:t xml:space="preserve">where </w:t>
      </w:r>
      <m:oMath>
        <m:r>
          <w:rPr>
            <w:rFonts w:ascii="Cambria Math" w:hAnsi="Cambria Math"/>
          </w:rPr>
          <m:t>χ</m:t>
        </m:r>
      </m:oMath>
      <w:r>
        <w:t xml:space="preserve"> [-] allocates the incoming shortwave solar radiation </w:t>
      </w:r>
      <m:oMath>
        <m:sSub>
          <m:sSubPr>
            <m:ctrlPr>
              <w:rPr>
                <w:rFonts w:ascii="Cambria Math" w:hAnsi="Cambria Math"/>
                <w:i/>
              </w:rPr>
            </m:ctrlPr>
          </m:sSubPr>
          <m:e>
            <m:r>
              <w:rPr>
                <w:rFonts w:ascii="Cambria Math" w:hAnsi="Cambria Math"/>
              </w:rPr>
              <m:t>Q</m:t>
            </m:r>
          </m:e>
          <m:sub>
            <m:r>
              <m:rPr>
                <m:sty m:val="p"/>
              </m:rPr>
              <w:rPr>
                <w:rFonts w:ascii="Cambria Math" w:hAnsi="Cambria Math"/>
              </w:rPr>
              <m:t>si</m:t>
            </m:r>
          </m:sub>
        </m:sSub>
      </m:oMath>
      <w:r>
        <w:t xml:space="preserve"> [W m</w:t>
      </w:r>
      <w:r w:rsidRPr="008D3C4B">
        <w:rPr>
          <w:vertAlign w:val="superscript"/>
        </w:rPr>
        <w:t>-2</w:t>
      </w:r>
      <w:r>
        <w:t xml:space="preserve">] into </w:t>
      </w:r>
      <w:r w:rsidR="009C4307">
        <w:t>a</w:t>
      </w:r>
      <w:r>
        <w:t xml:space="preserve"> surface component</w:t>
      </w:r>
      <w:r w:rsidR="009C4307">
        <w:t xml:space="preserve"> allocated to the upper grid cell,</w:t>
      </w:r>
      <w:r>
        <w:t xml:space="preserve"> and its subsurface component</w:t>
      </w:r>
      <w:r w:rsidR="009C4307">
        <w:t xml:space="preserve"> </w:t>
      </w:r>
      <m:oMath>
        <m:r>
          <m:rPr>
            <m:sty m:val="p"/>
          </m:rPr>
          <w:rPr>
            <w:rFonts w:ascii="Cambria Math" w:hAnsi="Cambria Math"/>
          </w:rPr>
          <m:t>∂q/∂z</m:t>
        </m:r>
      </m:oMath>
      <w:r>
        <w:t xml:space="preserve">, </w:t>
      </w:r>
      <m:oMath>
        <m:r>
          <w:rPr>
            <w:rFonts w:ascii="Cambria Math" w:hAnsi="Cambria Math"/>
          </w:rPr>
          <m:t>α</m:t>
        </m:r>
      </m:oMath>
      <w:r>
        <w:t xml:space="preserve"> </w:t>
      </w:r>
      <w:r w:rsidR="00902D49">
        <w:t xml:space="preserve">[-] </w:t>
      </w:r>
      <w:r>
        <w:t xml:space="preserve">is ice surface albedo, </w:t>
      </w:r>
      <m:oMath>
        <m:sSub>
          <m:sSubPr>
            <m:ctrlPr>
              <w:rPr>
                <w:rFonts w:ascii="Cambria Math" w:hAnsi="Cambria Math"/>
                <w:i/>
              </w:rPr>
            </m:ctrlPr>
          </m:sSubPr>
          <m:e>
            <m:r>
              <w:rPr>
                <w:rFonts w:ascii="Cambria Math" w:hAnsi="Cambria Math"/>
              </w:rPr>
              <m:t>Q</m:t>
            </m:r>
          </m:e>
          <m:sub>
            <m:r>
              <m:rPr>
                <m:sty m:val="p"/>
              </m:rPr>
              <w:rPr>
                <w:rFonts w:ascii="Cambria Math" w:hAnsi="Cambria Math"/>
              </w:rPr>
              <m:t>li</m:t>
            </m:r>
          </m:sub>
        </m:sSub>
      </m:oMath>
      <w:r>
        <w:t xml:space="preserve"> [W m</w:t>
      </w:r>
      <w:r w:rsidRPr="008D3C4B">
        <w:rPr>
          <w:vertAlign w:val="superscript"/>
        </w:rPr>
        <w:t>-2</w:t>
      </w:r>
      <w:r>
        <w:t xml:space="preserve">] is incoming longwave radiation, </w:t>
      </w:r>
      <m:oMath>
        <m:r>
          <w:rPr>
            <w:rFonts w:ascii="Cambria Math" w:hAnsi="Cambria Math"/>
          </w:rPr>
          <m:t>εσ</m:t>
        </m:r>
        <m:sSubSup>
          <m:sSubSupPr>
            <m:ctrlPr>
              <w:rPr>
                <w:rFonts w:ascii="Cambria Math" w:hAnsi="Cambria Math"/>
                <w:i/>
              </w:rPr>
            </m:ctrlPr>
          </m:sSubSupPr>
          <m:e>
            <m:r>
              <w:rPr>
                <w:rFonts w:ascii="Cambria Math" w:hAnsi="Cambria Math"/>
              </w:rPr>
              <m:t>T</m:t>
            </m:r>
          </m:e>
          <m:sub>
            <m:r>
              <m:rPr>
                <m:sty m:val="p"/>
              </m:rPr>
              <w:rPr>
                <w:rFonts w:ascii="Cambria Math" w:hAnsi="Cambria Math"/>
              </w:rPr>
              <m:t>sfc</m:t>
            </m:r>
            <m:ctrlPr>
              <w:rPr>
                <w:rFonts w:ascii="Cambria Math" w:hAnsi="Cambria Math"/>
              </w:rPr>
            </m:ctrlPr>
          </m:sub>
          <m:sup>
            <m:r>
              <w:rPr>
                <w:rFonts w:ascii="Cambria Math" w:hAnsi="Cambria Math"/>
              </w:rPr>
              <m:t>4</m:t>
            </m:r>
          </m:sup>
        </m:sSubSup>
      </m:oMath>
      <w:r>
        <w:t xml:space="preserve"> [W m</w:t>
      </w:r>
      <w:r w:rsidRPr="008D3C4B">
        <w:rPr>
          <w:vertAlign w:val="superscript"/>
        </w:rPr>
        <w:t>-2</w:t>
      </w:r>
      <w:r>
        <w:t xml:space="preserve">] is longwave radiation emitted by the ice surface, </w:t>
      </w:r>
      <m:oMath>
        <m:r>
          <w:rPr>
            <w:rFonts w:ascii="Cambria Math" w:hAnsi="Cambria Math"/>
          </w:rPr>
          <m:t>ε</m:t>
        </m:r>
      </m:oMath>
      <w:r>
        <w:t xml:space="preserve"> [-] is the ice surface emissivity, </w:t>
      </w:r>
      <m:oMath>
        <m:r>
          <w:rPr>
            <w:rFonts w:ascii="Cambria Math" w:hAnsi="Cambria Math"/>
          </w:rPr>
          <m:t>σ</m:t>
        </m:r>
      </m:oMath>
      <w:r>
        <w:t xml:space="preserve"> [W m</w:t>
      </w:r>
      <w:r w:rsidRPr="008D3C4B">
        <w:rPr>
          <w:vertAlign w:val="superscript"/>
        </w:rPr>
        <w:t>-2</w:t>
      </w:r>
      <w:r>
        <w:t xml:space="preserve"> K</w:t>
      </w:r>
      <w:r w:rsidRPr="008D3C4B">
        <w:rPr>
          <w:vertAlign w:val="superscript"/>
        </w:rPr>
        <w:t>-4</w:t>
      </w:r>
      <w:r>
        <w:t xml:space="preserve">] is the Stefan-Boltzmann constant, </w:t>
      </w:r>
      <m:oMath>
        <m:sSub>
          <m:sSubPr>
            <m:ctrlPr>
              <w:rPr>
                <w:rFonts w:ascii="Cambria Math" w:hAnsi="Cambria Math"/>
                <w:i/>
              </w:rPr>
            </m:ctrlPr>
          </m:sSubPr>
          <m:e>
            <m:r>
              <w:rPr>
                <w:rFonts w:ascii="Cambria Math" w:hAnsi="Cambria Math"/>
              </w:rPr>
              <m:t>T</m:t>
            </m:r>
          </m:e>
          <m:sub>
            <m:r>
              <m:rPr>
                <m:sty m:val="p"/>
              </m:rPr>
              <w:rPr>
                <w:rFonts w:ascii="Cambria Math" w:hAnsi="Cambria Math"/>
              </w:rPr>
              <m:t>sfc</m:t>
            </m:r>
          </m:sub>
        </m:sSub>
      </m:oMath>
      <w:r>
        <w:t xml:space="preserve"> [K] is the ice surface temperature, </w:t>
      </w:r>
      <m:oMath>
        <m:sSub>
          <m:sSubPr>
            <m:ctrlPr>
              <w:rPr>
                <w:rFonts w:ascii="Cambria Math" w:hAnsi="Cambria Math"/>
                <w:i/>
              </w:rPr>
            </m:ctrlPr>
          </m:sSubPr>
          <m:e>
            <m:r>
              <w:rPr>
                <w:rFonts w:ascii="Cambria Math" w:hAnsi="Cambria Math"/>
              </w:rPr>
              <m:t>Q</m:t>
            </m:r>
          </m:e>
          <m:sub>
            <m:r>
              <m:rPr>
                <m:sty m:val="p"/>
              </m:rPr>
              <w:rPr>
                <w:rFonts w:ascii="Cambria Math" w:hAnsi="Cambria Math"/>
              </w:rPr>
              <m:t>h</m:t>
            </m:r>
          </m:sub>
        </m:sSub>
      </m:oMath>
      <w:r>
        <w:t xml:space="preserve"> [W m</w:t>
      </w:r>
      <w:r w:rsidRPr="008D3C4B">
        <w:rPr>
          <w:vertAlign w:val="superscript"/>
        </w:rPr>
        <w:t>-2</w:t>
      </w:r>
      <w:r>
        <w:t xml:space="preserve">] is the sensible heat flux, </w:t>
      </w:r>
      <m:oMath>
        <m:sSub>
          <m:sSubPr>
            <m:ctrlPr>
              <w:rPr>
                <w:rFonts w:ascii="Cambria Math" w:hAnsi="Cambria Math"/>
                <w:i/>
              </w:rPr>
            </m:ctrlPr>
          </m:sSubPr>
          <m:e>
            <m:r>
              <w:rPr>
                <w:rFonts w:ascii="Cambria Math" w:hAnsi="Cambria Math"/>
              </w:rPr>
              <m:t>Q</m:t>
            </m:r>
          </m:e>
          <m:sub>
            <m:r>
              <m:rPr>
                <m:sty m:val="p"/>
              </m:rPr>
              <w:rPr>
                <w:rFonts w:ascii="Cambria Math" w:hAnsi="Cambria Math"/>
              </w:rPr>
              <m:t>e</m:t>
            </m:r>
          </m:sub>
        </m:sSub>
      </m:oMath>
      <w:r>
        <w:t xml:space="preserve"> [W m</w:t>
      </w:r>
      <w:r w:rsidRPr="008D3C4B">
        <w:rPr>
          <w:vertAlign w:val="superscript"/>
        </w:rPr>
        <w:t>-2</w:t>
      </w:r>
      <w:r>
        <w:t xml:space="preserve">] is the latent heat flux, </w:t>
      </w:r>
      <m:oMath>
        <m:sSub>
          <m:sSubPr>
            <m:ctrlPr>
              <w:rPr>
                <w:rFonts w:ascii="Cambria Math" w:hAnsi="Cambria Math"/>
                <w:i/>
              </w:rPr>
            </m:ctrlPr>
          </m:sSubPr>
          <m:e>
            <m:r>
              <w:rPr>
                <w:rFonts w:ascii="Cambria Math" w:hAnsi="Cambria Math"/>
              </w:rPr>
              <m:t>Q</m:t>
            </m:r>
          </m:e>
          <m:sub>
            <m:r>
              <m:rPr>
                <m:sty m:val="p"/>
              </m:rPr>
              <w:rPr>
                <w:rFonts w:ascii="Cambria Math" w:hAnsi="Cambria Math"/>
              </w:rPr>
              <m:t>c</m:t>
            </m:r>
          </m:sub>
        </m:sSub>
      </m:oMath>
      <w:r>
        <w:t xml:space="preserve"> [W m</w:t>
      </w:r>
      <w:r w:rsidRPr="008D3C4B">
        <w:rPr>
          <w:vertAlign w:val="superscript"/>
        </w:rPr>
        <w:t>-2</w:t>
      </w:r>
      <w:r>
        <w:t xml:space="preserve">] is the conductive heat flux, and </w:t>
      </w: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oMath>
      <w:r>
        <w:t xml:space="preserve"> [W m</w:t>
      </w:r>
      <w:r w:rsidRPr="008D3C4B">
        <w:rPr>
          <w:vertAlign w:val="superscript"/>
        </w:rPr>
        <w:t>-2</w:t>
      </w:r>
      <w:r>
        <w:t xml:space="preserve">] is energy available for meltwater production. </w:t>
      </w:r>
      <w:r w:rsidR="00E92FC7">
        <w:t>T</w:t>
      </w:r>
      <w:r w:rsidR="00902D49">
        <w:t xml:space="preserve">he methods used to obtain </w:t>
      </w:r>
      <m:oMath>
        <m:sSub>
          <m:sSubPr>
            <m:ctrlPr>
              <w:rPr>
                <w:rFonts w:ascii="Cambria Math" w:hAnsi="Cambria Math"/>
                <w:i/>
              </w:rPr>
            </m:ctrlPr>
          </m:sSubPr>
          <m:e>
            <m:r>
              <w:rPr>
                <w:rFonts w:ascii="Cambria Math" w:hAnsi="Cambria Math"/>
              </w:rPr>
              <m:t>Q</m:t>
            </m:r>
          </m:e>
          <m:sub>
            <m:r>
              <m:rPr>
                <m:sty m:val="p"/>
              </m:rPr>
              <w:rPr>
                <w:rFonts w:ascii="Cambria Math" w:hAnsi="Cambria Math"/>
              </w:rPr>
              <m:t>h</m:t>
            </m:r>
          </m:sub>
        </m:sSub>
      </m:oMath>
      <w:r w:rsidR="00902D49">
        <w:t xml:space="preserve"> and </w:t>
      </w:r>
      <m:oMath>
        <m:sSub>
          <m:sSubPr>
            <m:ctrlPr>
              <w:rPr>
                <w:rFonts w:ascii="Cambria Math" w:hAnsi="Cambria Math"/>
                <w:i/>
              </w:rPr>
            </m:ctrlPr>
          </m:sSubPr>
          <m:e>
            <m:r>
              <w:rPr>
                <w:rFonts w:ascii="Cambria Math" w:hAnsi="Cambria Math"/>
              </w:rPr>
              <m:t>Q</m:t>
            </m:r>
          </m:e>
          <m:sub>
            <m:r>
              <m:rPr>
                <m:sty m:val="p"/>
              </m:rPr>
              <w:rPr>
                <w:rFonts w:ascii="Cambria Math" w:hAnsi="Cambria Math"/>
              </w:rPr>
              <m:t>e</m:t>
            </m:r>
          </m:sub>
        </m:sSub>
      </m:oMath>
      <w:r w:rsidR="00902D49">
        <w:t xml:space="preserve"> </w:t>
      </w:r>
      <w:r w:rsidR="00E92FC7">
        <w:t>are</w:t>
      </w:r>
      <w:r w:rsidR="00902D49">
        <w:t xml:space="preserve"> </w:t>
      </w:r>
      <w:r w:rsidR="00E92FC7">
        <w:t>described</w:t>
      </w:r>
      <w:r w:rsidR="00902D49">
        <w:t xml:space="preserve"> in Liston et al.</w:t>
      </w:r>
      <w:r w:rsidR="00902D49">
        <w:fldChar w:fldCharType="begin"/>
      </w:r>
      <w:r w:rsidR="004B46B0">
        <w:instrText xml:space="preserve"> ADDIN ZOTERO_ITEM CSL_CITATION {"citationID":"yRJiAU9L","properties":{"formattedCitation":"\\super 10\\nosupersub{}","plainCitation":"10","noteIndex":0},"citationItems":[{"id":1990,"uris":["http://zotero.org/users/1282866/items/L8BTXGUM"],"uri":["http://zotero.org/users/1282866/items/L8BTXGUM"],"itemData":{"id":1990,"type":"article-journal","abstract":"In the Jutulgryta area of Dronning Maud Land, Antarctica, subsurface melting of the ice sheet has been observed. The melting takes place during the summer months in blue-ice areas under conditions of below-freezing air and surface temperatures. Adjacent snow-covered regions, having the same meteorological and climatic conditions, experience little or no subsurface melting. To help explain and understand the observed melt-rate differences in the blue-ice and snow-covered areas, a physically based numerical model of the coupled atmosphere, radiation, snow and blue-ice system has been developed. The model comprises a heat-transfer equation which includes a spectrally dependent solar-radiation source term. The penetration of radiation into the snow and blue ice depends on the solar-radiation spectrum, the surface albedo and the snow and blue-ice grain-sizes and densities. In addition, the model uses a complete surface energy balance to define the surface boundary conditions. It is run over the full annual cycle, simulating temperature profiles and melting and freezing quantities throughout the summer and winter seasons. The model is driven and validated using field observations collected during the Norwegian Antarctic Research Expedition (NARE) 1996‐97. The simulations suggest that the observed differences between subsurface snow and blue-ice melting can be explained largely by radiative and heat-transfer interactions resulting from differences in albedo, grain-size and density between the two mediums.","container-title":"Journal of Glaciology","DOI":"10.3189/S0022143000001775","ISSN":"0022-1430, 1727-5652","issue":"150","journalAbbreviation":"Journal of Glaciology","language":"en","page":"273-285","source":"Cambridge Core","title":"Below-surface ice melt on the coastal Antarctic ice sheet","volume":"45","author":[{"family":"Liston","given":"Glen E."},{"family":"Winther","given":"Jan-Gunnar"},{"family":"Bruland","given":"Oddbjørn"},{"family":"Elvehøy","given":"Hallgeir"},{"family":"Sand","given":"Knut"}],"issued":{"date-parts":[["1999",1,1]]}},"suppress-author":true}],"schema":"https://github.com/citation-style-language/schema/raw/master/csl-citation.json"} </w:instrText>
      </w:r>
      <w:r w:rsidR="00902D49">
        <w:fldChar w:fldCharType="separate"/>
      </w:r>
      <w:r w:rsidR="004B46B0" w:rsidRPr="004B46B0">
        <w:rPr>
          <w:vertAlign w:val="superscript"/>
        </w:rPr>
        <w:t>10</w:t>
      </w:r>
      <w:r w:rsidR="00902D49">
        <w:fldChar w:fldCharType="end"/>
      </w:r>
      <w:r w:rsidR="005571DE">
        <w:t>.</w:t>
      </w:r>
      <w:r w:rsidR="000844A9">
        <w:t xml:space="preserve"> </w:t>
      </w:r>
    </w:p>
    <w:p w14:paraId="7DBD3E43" w14:textId="3D36BBB3" w:rsidR="000B114A" w:rsidRDefault="000844A9" w:rsidP="00A70ACB">
      <w:r>
        <w:t xml:space="preserve">The bottom boundary condition </w:t>
      </w:r>
      <w:r w:rsidRPr="008D3C4B">
        <w:rPr>
          <w:iCs/>
        </w:rPr>
        <w:t xml:space="preserve">for Equation </w:t>
      </w:r>
      <w:r>
        <w:rPr>
          <w:iCs/>
        </w:rPr>
        <w:fldChar w:fldCharType="begin"/>
      </w:r>
      <w:r>
        <w:rPr>
          <w:iCs/>
        </w:rPr>
        <w:instrText xml:space="preserve"> REF eq1  \* MERGEFORMAT </w:instrText>
      </w:r>
      <w:r>
        <w:rPr>
          <w:iCs/>
        </w:rPr>
        <w:fldChar w:fldCharType="separate"/>
      </w:r>
      <m:oMath>
        <m:r>
          <m:rPr>
            <m:sty m:val="p"/>
          </m:rPr>
          <w:rPr>
            <w:rFonts w:ascii="Cambria Math" w:hAnsi="Cambria Math"/>
            <w:noProof/>
          </w:rPr>
          <m:t>1</m:t>
        </m:r>
      </m:oMath>
      <w:r>
        <w:rPr>
          <w:iCs/>
        </w:rPr>
        <w:fldChar w:fldCharType="end"/>
      </w:r>
      <w:r w:rsidRPr="008D3C4B">
        <w:rPr>
          <w:iCs/>
        </w:rPr>
        <w:t xml:space="preserve"> </w:t>
      </w:r>
      <w:r>
        <w:t>is:</w:t>
      </w:r>
    </w:p>
    <w:p w14:paraId="539CD5C4" w14:textId="2E596433" w:rsidR="00432985" w:rsidRPr="00432985" w:rsidRDefault="00202492" w:rsidP="000844A9">
      <m:oMathPara>
        <m:oMath>
          <m:eqArr>
            <m:eqArrPr>
              <m:maxDist m:val="1"/>
              <m:ctrlPr>
                <w:rPr>
                  <w:rFonts w:ascii="Cambria Math" w:hAnsi="Cambria Math"/>
                  <w:i/>
                </w:rPr>
              </m:ctrlPr>
            </m:eqArr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m:rPr>
                                  <m:sty m:val="p"/>
                                </m:rPr>
                                <w:rPr>
                                  <w:rFonts w:ascii="Cambria Math" w:hAnsi="Cambria Math"/>
                                </w:rPr>
                                <m:t>i</m:t>
                              </m:r>
                            </m:sub>
                          </m:sSub>
                        </m:num>
                        <m:den>
                          <m:r>
                            <w:rPr>
                              <w:rFonts w:ascii="Cambria Math" w:hAnsi="Cambria Math"/>
                            </w:rPr>
                            <m:t>dz</m:t>
                          </m:r>
                        </m:den>
                      </m:f>
                    </m:e>
                  </m:d>
                </m:e>
                <m:sub>
                  <m:sSub>
                    <m:sSubPr>
                      <m:ctrlPr>
                        <w:rPr>
                          <w:rFonts w:ascii="Cambria Math" w:hAnsi="Cambria Math"/>
                          <w:i/>
                        </w:rPr>
                      </m:ctrlPr>
                    </m:sSubPr>
                    <m:e>
                      <m:r>
                        <w:rPr>
                          <w:rFonts w:ascii="Cambria Math" w:hAnsi="Cambria Math"/>
                        </w:rPr>
                        <m:t>z</m:t>
                      </m:r>
                    </m:e>
                    <m:sub>
                      <m:r>
                        <m:rPr>
                          <m:sty m:val="p"/>
                        </m:rPr>
                        <w:rPr>
                          <w:rFonts w:ascii="Cambria Math" w:hAnsi="Cambria Math"/>
                        </w:rPr>
                        <m:t>max</m:t>
                      </m:r>
                    </m:sub>
                  </m:sSub>
                </m:sub>
              </m:sSub>
              <m:r>
                <w:rPr>
                  <w:rFonts w:ascii="Cambria Math" w:hAnsi="Cambria Math"/>
                </w:rPr>
                <m:t>=0.0#</m:t>
              </m:r>
              <m:d>
                <m:dPr>
                  <m:ctrlPr>
                    <w:rPr>
                      <w:rFonts w:ascii="Cambria Math" w:hAnsi="Cambria Math"/>
                      <w:i/>
                    </w:rPr>
                  </m:ctrlPr>
                </m:dPr>
                <m:e>
                  <m:r>
                    <w:rPr>
                      <w:rFonts w:ascii="Cambria Math" w:hAnsi="Cambria Math"/>
                    </w:rPr>
                    <m:t>17</m:t>
                  </m:r>
                </m:e>
              </m:d>
            </m:e>
          </m:eqArr>
        </m:oMath>
      </m:oMathPara>
    </w:p>
    <w:p w14:paraId="30F94E90" w14:textId="31E6C6B5" w:rsidR="000844A9" w:rsidRDefault="000844A9" w:rsidP="000844A9">
      <w:r>
        <w:t xml:space="preserve">where </w:t>
      </w:r>
      <m:oMath>
        <m:sSub>
          <m:sSubPr>
            <m:ctrlPr>
              <w:rPr>
                <w:rFonts w:ascii="Cambria Math" w:hAnsi="Cambria Math"/>
                <w:i/>
              </w:rPr>
            </m:ctrlPr>
          </m:sSubPr>
          <m:e>
            <m:r>
              <w:rPr>
                <w:rFonts w:ascii="Cambria Math" w:hAnsi="Cambria Math"/>
              </w:rPr>
              <m:t>z</m:t>
            </m:r>
          </m:e>
          <m:sub>
            <m:r>
              <m:rPr>
                <m:sty m:val="p"/>
              </m:rPr>
              <w:rPr>
                <w:rFonts w:ascii="Cambria Math" w:hAnsi="Cambria Math"/>
              </w:rPr>
              <m:t>max</m:t>
            </m:r>
          </m:sub>
        </m:sSub>
      </m:oMath>
      <w:r>
        <w:t xml:space="preserve"> is 20.0 m and the model is initialized with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max</m:t>
                </m:r>
              </m:sub>
            </m:sSub>
          </m:e>
        </m:d>
        <m:r>
          <w:rPr>
            <w:rFonts w:ascii="Cambria Math" w:hAnsi="Cambria Math"/>
          </w:rPr>
          <m:t>=-8.0°</m:t>
        </m:r>
        <m:r>
          <m:rPr>
            <m:sty m:val="p"/>
          </m:rPr>
          <w:rPr>
            <w:rFonts w:ascii="Cambria Math" w:hAnsi="Cambria Math"/>
          </w:rPr>
          <m:t>C</m:t>
        </m:r>
      </m:oMath>
      <w:r>
        <w:rPr>
          <w:iCs/>
        </w:rPr>
        <w:t xml:space="preserve"> based on observations of ice temperature </w:t>
      </w:r>
      <w:r w:rsidR="00B61968">
        <w:rPr>
          <w:iCs/>
        </w:rPr>
        <w:t>in the western Greenland ablation zone</w:t>
      </w:r>
      <w:r>
        <w:rPr>
          <w:iCs/>
        </w:rPr>
        <w:fldChar w:fldCharType="begin"/>
      </w:r>
      <w:r w:rsidR="004B46B0">
        <w:rPr>
          <w:iCs/>
        </w:rPr>
        <w:instrText xml:space="preserve"> ADDIN ZOTERO_ITEM CSL_CITATION {"citationID":"69jK01CY","properties":{"formattedCitation":"\\super 23\\nosupersub{}","plainCitation":"23","noteIndex":0},"citationItems":[{"id":2623,"uris":["http://zotero.org/users/1282866/items/PK5P75PA"],"uri":["http://zotero.org/users/1282866/items/PK5P75PA"],"itemData":{"id":2623,"type":"article-journal","abstract":"Abstract. To assess the influence of various heat transfer processes on the\nthermal structure of near-surface ice in Greenland's ablation zone, we\ncompare in situ measurements with thermal modeling experiments. A total of\nseven temperature strings were installed at three different field sites,\neach with between 17 and 32 sensors and extending up to 21 m below the\nice surface. In one string, temperatures were measured every 30 min, and\nthe record is continuous for more than 3 years. We use these measured\nice temperatures to constrain our modeling experiments, focusing on four\nisolated processes and assessing the relative importance of each for the\nnear-surface ice temperature: (1) the moving boundary of an ablating surface,\n(2) thermal insulation by snow, (3) radiative energy input, and (4) subsurface\nice temperature gradients below the seasonally active near-surface layer. In\naddition to these four processes, transient heating events were observed in\ntwo of the temperature strings. Despite no observations of meltwater\npathways to the subsurface, these heating events are likely the refreezing\nof liquid water below 5–10 m of cold ice. Together with subsurface\nrefreezing, the five heat transfer mechanisms presented here account for\nmeasured differences of up to 3 </w:instrText>
      </w:r>
      <w:r w:rsidR="004B46B0">
        <w:rPr>
          <w:rFonts w:ascii="Cambria Math" w:hAnsi="Cambria Math" w:cs="Cambria Math"/>
          <w:iCs/>
        </w:rPr>
        <w:instrText>∘</w:instrText>
      </w:r>
      <w:r w:rsidR="004B46B0">
        <w:rPr>
          <w:iCs/>
        </w:rPr>
        <w:instrText xml:space="preserve">C between the mean annual air\ntemperature and the ice temperature at the depth where annual temperature\nvariability is dissipated. Thus, in Greenland's ablation zone, the mean\nannual air temperature is not a reliable predictor of the near-surface ice\ntemperature, as is commonly assumed.","container-title":"The Cryosphere","DOI":"10.5194/tc-12-3215-2018","ISSN":"1994-0424","issue":"10","journalAbbreviation":"The Cryosphere","language":"en","page":"3215-3227","source":"DOI.org (Crossref)","title":"Processes influencing heat transfer in the near-surface ice of Greenland's ablation zone","volume":"12","author":[{"family":"Hills","given":"Benjamin H."},{"family":"Harper","given":"Joel T."},{"family":"Meierbachtol","given":"Toby W."},{"family":"Johnson","given":"Jesse V."},{"family":"Humphrey","given":"Neil F."},{"family":"Wright","given":"Patrick J."}],"issued":{"date-parts":[["2018",10,8]]}}}],"schema":"https://github.com/citation-style-language/schema/raw/master/csl-citation.json"} </w:instrText>
      </w:r>
      <w:r>
        <w:rPr>
          <w:iCs/>
        </w:rPr>
        <w:fldChar w:fldCharType="separate"/>
      </w:r>
      <w:r w:rsidR="004B46B0" w:rsidRPr="004B46B0">
        <w:rPr>
          <w:vertAlign w:val="superscript"/>
        </w:rPr>
        <w:t>23</w:t>
      </w:r>
      <w:r>
        <w:rPr>
          <w:iCs/>
        </w:rPr>
        <w:fldChar w:fldCharType="end"/>
      </w:r>
      <w:r>
        <w:rPr>
          <w:iCs/>
        </w:rPr>
        <w:t>.</w:t>
      </w:r>
    </w:p>
    <w:p w14:paraId="034F6493" w14:textId="7150CEDF" w:rsidR="000844A9" w:rsidRDefault="001E6C49" w:rsidP="00A70ACB">
      <w:r>
        <w:t>For SkinModel simulations, i</w:t>
      </w:r>
      <w:r w:rsidR="000B114A">
        <w:t xml:space="preserve">f the resulting value for </w:t>
      </w:r>
      <m:oMath>
        <m:sSub>
          <m:sSubPr>
            <m:ctrlPr>
              <w:rPr>
                <w:rFonts w:ascii="Cambria Math" w:hAnsi="Cambria Math"/>
              </w:rPr>
            </m:ctrlPr>
          </m:sSubPr>
          <m:e>
            <m:r>
              <w:rPr>
                <w:rFonts w:ascii="Cambria Math" w:hAnsi="Cambria Math"/>
              </w:rPr>
              <m:t>T</m:t>
            </m:r>
          </m:e>
          <m:sub>
            <m:r>
              <m:rPr>
                <m:sty m:val="p"/>
              </m:rPr>
              <w:rPr>
                <w:rFonts w:ascii="Cambria Math" w:hAnsi="Cambria Math"/>
              </w:rPr>
              <m:t>sfc</m:t>
            </m:r>
          </m:sub>
        </m:sSub>
      </m:oMath>
      <w:r w:rsidR="000B114A">
        <w:t xml:space="preserve"> is greater than 0</w:t>
      </w:r>
      <w:r w:rsidR="000B114A" w:rsidRPr="008D3C4B">
        <w:rPr>
          <w:vertAlign w:val="superscript"/>
        </w:rPr>
        <w:t>o</w:t>
      </w:r>
      <w:r w:rsidR="000B114A">
        <w:t>C, then its value is converted to melt energy</w:t>
      </w:r>
      <w:r w:rsidR="00970A00">
        <w:t xml:space="preserve"> and</w:t>
      </w:r>
      <w:r w:rsidR="000B114A">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sfc</m:t>
            </m:r>
          </m:sub>
        </m:sSub>
      </m:oMath>
      <w:r w:rsidR="000B114A">
        <w:t xml:space="preserve"> is set to </w:t>
      </w:r>
      <w:r w:rsidR="00970A00">
        <w:t>0</w:t>
      </w:r>
      <w:r w:rsidR="00970A00" w:rsidRPr="008D3C4B">
        <w:rPr>
          <w:vertAlign w:val="superscript"/>
        </w:rPr>
        <w:t>o</w:t>
      </w:r>
      <w:r w:rsidR="00970A00">
        <w:t>C</w:t>
      </w:r>
      <w:r w:rsidR="000B114A">
        <w:t xml:space="preserve">. If </w:t>
      </w:r>
      <m:oMath>
        <m:sSub>
          <m:sSubPr>
            <m:ctrlPr>
              <w:rPr>
                <w:rFonts w:ascii="Cambria Math" w:hAnsi="Cambria Math"/>
              </w:rPr>
            </m:ctrlPr>
          </m:sSubPr>
          <m:e>
            <m:r>
              <w:rPr>
                <w:rFonts w:ascii="Cambria Math" w:hAnsi="Cambria Math"/>
              </w:rPr>
              <m:t>T</m:t>
            </m:r>
          </m:e>
          <m:sub>
            <m:r>
              <m:rPr>
                <m:sty m:val="p"/>
              </m:rPr>
              <w:rPr>
                <w:rFonts w:ascii="Cambria Math" w:hAnsi="Cambria Math"/>
              </w:rPr>
              <m:t>sfc</m:t>
            </m:r>
          </m:sub>
        </m:sSub>
      </m:oMath>
      <w:r w:rsidR="000B114A">
        <w:t xml:space="preserve"> is less than 0</w:t>
      </w:r>
      <w:r w:rsidR="000B114A" w:rsidRPr="008D3C4B">
        <w:rPr>
          <w:vertAlign w:val="superscript"/>
        </w:rPr>
        <w:t>o</w:t>
      </w:r>
      <w:r w:rsidR="000B114A">
        <w:t>C, then the energy deficit available to freeze liquid water</w:t>
      </w:r>
      <w:r w:rsidR="004C134F">
        <w:t xml:space="preserve"> is computed.</w:t>
      </w:r>
      <w:r w:rsidR="000B114A">
        <w:t xml:space="preserve"> </w:t>
      </w:r>
      <w:r>
        <w:t xml:space="preserve">For IceModel simulations, the value for </w:t>
      </w:r>
      <m:oMath>
        <m:sSub>
          <m:sSubPr>
            <m:ctrlPr>
              <w:rPr>
                <w:rFonts w:ascii="Cambria Math" w:hAnsi="Cambria Math"/>
              </w:rPr>
            </m:ctrlPr>
          </m:sSubPr>
          <m:e>
            <m:r>
              <w:rPr>
                <w:rFonts w:ascii="Cambria Math" w:hAnsi="Cambria Math"/>
              </w:rPr>
              <m:t>T</m:t>
            </m:r>
          </m:e>
          <m:sub>
            <m:r>
              <m:rPr>
                <m:sty m:val="p"/>
              </m:rPr>
              <w:rPr>
                <w:rFonts w:ascii="Cambria Math" w:hAnsi="Cambria Math"/>
              </w:rPr>
              <m:t>sfc</m:t>
            </m:r>
          </m:sub>
        </m:sSub>
      </m:oMath>
      <w:r>
        <w:t xml:space="preserve"> is used as the upper boundary condition on </w:t>
      </w:r>
      <w:r w:rsidRPr="008D3C4B">
        <w:rPr>
          <w:iCs/>
        </w:rPr>
        <w:t xml:space="preserve">Equation </w:t>
      </w:r>
      <w:r>
        <w:rPr>
          <w:iCs/>
        </w:rPr>
        <w:fldChar w:fldCharType="begin"/>
      </w:r>
      <w:r>
        <w:rPr>
          <w:iCs/>
        </w:rPr>
        <w:instrText xml:space="preserve"> REF eq1  \* MERGEFORMAT </w:instrText>
      </w:r>
      <w:r>
        <w:rPr>
          <w:iCs/>
        </w:rPr>
        <w:fldChar w:fldCharType="separate"/>
      </w:r>
      <m:oMath>
        <m:r>
          <m:rPr>
            <m:sty m:val="p"/>
          </m:rPr>
          <w:rPr>
            <w:rFonts w:ascii="Cambria Math" w:hAnsi="Cambria Math"/>
            <w:noProof/>
          </w:rPr>
          <m:t>1</m:t>
        </m:r>
      </m:oMath>
      <w:r>
        <w:rPr>
          <w:iCs/>
        </w:rPr>
        <w:fldChar w:fldCharType="end"/>
      </w:r>
      <w:r>
        <w:rPr>
          <w:iCs/>
        </w:rPr>
        <w:t xml:space="preserve">, and </w:t>
      </w:r>
      <w:r>
        <w:t xml:space="preserve">a tri-diagonal matrix solver is used to obtain values for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oMath>
      <w:r>
        <w:t xml:space="preserve"> at </w:t>
      </w:r>
      <w:r w:rsidR="00700F73">
        <w:t xml:space="preserve">each </w:t>
      </w:r>
      <w:r>
        <w:t xml:space="preserve">vertical </w:t>
      </w:r>
      <w:r w:rsidR="00700F73">
        <w:t>node</w:t>
      </w:r>
      <w:r>
        <w:t xml:space="preserve">. If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oMath>
      <w:r>
        <w:t xml:space="preserve"> is less than 0</w:t>
      </w:r>
      <w:r w:rsidRPr="008D3C4B">
        <w:rPr>
          <w:vertAlign w:val="superscript"/>
        </w:rPr>
        <w:t>o</w:t>
      </w:r>
      <w:r>
        <w:t xml:space="preserve">C, then the energy deficit available to </w:t>
      </w:r>
      <w:r>
        <w:lastRenderedPageBreak/>
        <w:t xml:space="preserve">freeze liquid water is computed. If </w:t>
      </w:r>
      <m:oMath>
        <m:sSub>
          <m:sSubPr>
            <m:ctrlPr>
              <w:rPr>
                <w:rFonts w:ascii="Cambria Math" w:hAnsi="Cambria Math"/>
                <w:i/>
              </w:rPr>
            </m:ctrlPr>
          </m:sSubPr>
          <m:e>
            <m:r>
              <w:rPr>
                <w:rFonts w:ascii="Cambria Math" w:hAnsi="Cambria Math"/>
              </w:rPr>
              <m:t>T</m:t>
            </m:r>
          </m:e>
          <m:sub>
            <m:r>
              <m:rPr>
                <m:sty m:val="p"/>
              </m:rPr>
              <w:rPr>
                <w:rFonts w:ascii="Cambria Math" w:hAnsi="Cambria Math"/>
              </w:rPr>
              <m:t>i</m:t>
            </m:r>
          </m:sub>
        </m:sSub>
      </m:oMath>
      <w:r>
        <w:t xml:space="preserve"> is greater than 0</w:t>
      </w:r>
      <w:r w:rsidRPr="008D3C4B">
        <w:rPr>
          <w:vertAlign w:val="superscript"/>
        </w:rPr>
        <w:t>o</w:t>
      </w:r>
      <w:r>
        <w:t xml:space="preserve">C, then its value is converted to melt energy and </w:t>
      </w:r>
      <m:oMath>
        <m:sSub>
          <m:sSubPr>
            <m:ctrlPr>
              <w:rPr>
                <w:rFonts w:ascii="Cambria Math" w:hAnsi="Cambria Math"/>
              </w:rPr>
            </m:ctrlPr>
          </m:sSubPr>
          <m:e>
            <m:r>
              <w:rPr>
                <w:rFonts w:ascii="Cambria Math" w:hAnsi="Cambria Math"/>
              </w:rPr>
              <m:t>T</m:t>
            </m:r>
          </m:e>
          <m:sub>
            <m:r>
              <m:rPr>
                <m:sty m:val="p"/>
              </m:rPr>
              <w:rPr>
                <w:rFonts w:ascii="Cambria Math" w:hAnsi="Cambria Math"/>
              </w:rPr>
              <m:t>i</m:t>
            </m:r>
          </m:sub>
        </m:sSub>
      </m:oMath>
      <w:r>
        <w:t xml:space="preserve"> is set to 0</w:t>
      </w:r>
      <w:r w:rsidRPr="008D3C4B">
        <w:rPr>
          <w:vertAlign w:val="superscript"/>
        </w:rPr>
        <w:t>o</w:t>
      </w:r>
      <w:r>
        <w:t xml:space="preserve">C. </w:t>
      </w:r>
    </w:p>
    <w:p w14:paraId="2D702195" w14:textId="73D87FB3" w:rsidR="000844A9" w:rsidRDefault="00B61968" w:rsidP="00A70ACB">
      <w:r>
        <w:t>I</w:t>
      </w:r>
      <w:r w:rsidR="008D7E86" w:rsidRPr="00200FDF">
        <w:t>f the ice thickness of the topmost layer is less than 1 mm it is combined with the layer below. The two layers are combined by adding their ice and liquid water mass and updating the bulk density and thermodynamic properties using the combination formulas in Jordan et al.</w:t>
      </w:r>
      <w:r w:rsidR="009F7B22">
        <w:fldChar w:fldCharType="begin"/>
      </w:r>
      <w:r w:rsidR="004B46B0">
        <w:instrText xml:space="preserve"> ADDIN ZOTERO_ITEM CSL_CITATION {"citationID":"pcCnbJyU","properties":{"formattedCitation":"\\super 12\\nosupersub{}","plainCitation":"12","noteIndex":0},"citationItems":[{"id":7666,"uris":["http://zotero.org/users/1282866/items/MVH437HJ"],"uri":["http://zotero.org/users/1282866/items/MVH437HJ"],"itemData":{"id":7666,"type":"report","event-place":"Hanover, NH","genre":"Special Report","number":"91-16","publisher":"Cold Regions Research and Engineering Laboratory","publisher-place":"Hanover, NH","title":"A One-Dimensional Temperature Model For a Snowpack","URL":"http://hdl.handle.net/11681/11677","author":[{"family":"Jordan","given":"Rachel"}],"issued":{"date-parts":[["1991",10]]}}}],"schema":"https://github.com/citation-style-language/schema/raw/master/csl-citation.json"} </w:instrText>
      </w:r>
      <w:r w:rsidR="009F7B22">
        <w:fldChar w:fldCharType="separate"/>
      </w:r>
      <w:r w:rsidR="004B46B0" w:rsidRPr="004B46B0">
        <w:rPr>
          <w:vertAlign w:val="superscript"/>
        </w:rPr>
        <w:t>12</w:t>
      </w:r>
      <w:r w:rsidR="009F7B22">
        <w:fldChar w:fldCharType="end"/>
      </w:r>
      <w:r w:rsidR="008D7E86" w:rsidRPr="00200FDF">
        <w:t xml:space="preserve"> (Equations 136–139).  </w:t>
      </w:r>
    </w:p>
    <w:p w14:paraId="223AB3EC" w14:textId="7118525C" w:rsidR="008D7E86" w:rsidRPr="00200FDF" w:rsidRDefault="00B61968" w:rsidP="009F7B22">
      <w:r>
        <w:t>S</w:t>
      </w:r>
      <w:r w:rsidR="00473A28" w:rsidRPr="00200FDF">
        <w:t xml:space="preserve">equential </w:t>
      </w:r>
      <w:r w:rsidR="00A55971">
        <w:t>solutions to</w:t>
      </w:r>
      <w:r w:rsidR="00425B7D" w:rsidRPr="00200FDF">
        <w:t xml:space="preserve"> the coupled radiative, thermodynamic, and hydrologic </w:t>
      </w:r>
      <w:r w:rsidR="00A55971">
        <w:t>conservation equation</w:t>
      </w:r>
      <w:r w:rsidR="00E90B07">
        <w:t>s</w:t>
      </w:r>
      <w:r>
        <w:t xml:space="preserve"> are obtained with an operator splitting method</w:t>
      </w:r>
      <w:r w:rsidR="00E90B07">
        <w:fldChar w:fldCharType="begin"/>
      </w:r>
      <w:r w:rsidR="004B46B0">
        <w:instrText xml:space="preserve"> ADDIN ZOTERO_ITEM CSL_CITATION {"citationID":"BSR0QrQZ","properties":{"formattedCitation":"\\super 24\\nosupersub{}","plainCitation":"24","noteIndex":0},"citationItems":[{"id":2620,"uris":["http://zotero.org/users/1282866/items/VBC8EZVW"],"uri":["http://zotero.org/users/1282866/items/VBC8EZVW"],"itemData":{"id":2620,"type":"report","abstract":"This note describes the conservation equations and flux parameterizations used in the Structure for Unifying Multiple Modeling Alternatives (SUMMA). The processes considered here include radiation transfer through the vegetation canopy, within- and below-canopy turbulence, canopy interception, canopy transpiration, snow accumulation and ablation, and runoff generation.","language":"en","note":"dimensions: 668 KB\nmedium: application/pdf\nDOI: 10.5065/D6WQ01TD","page":"668 KB","publisher":"UCAR/NCAR","source":"DOI.org (Datacite)","title":"The structure for unifying multiple modeling alternatives (SUMMA), Version 1.0: Technical Description","title-short":"The structure for unifying multiple modeling alternatives (SUMMA), Version 1.0","URL":"http://opensky.ucar.edu/islandora/object/technotes:526","author":[{"family":"Clark","given":"Martyn"},{"family":"Nijssen","given":"Bart"},{"family":"Lundquist","given":"Jessica"},{"family":"Kavetski","given":"Dmitri"},{"family":"Rupp","given":"David"},{"family":"Woods","given":"Ross"},{"family":"Freer","given":"Jim"},{"family":"Gutmann","given":"Ethan"},{"family":"Wood","given":"Andy"},{"family":"Brekke","given":"Levi"},{"family":"Arnold","given":"Jeffrey"},{"family":"Gochis","given":"David"},{"family":"Rasmussen","given":"Roy"},{"family":"Tarboton","given":"David"},{"family":"Mahat","given":"Vinod"},{"family":"Flerchinger","given":"Gerald"},{"family":"Marks","given":"Danny"}],"accessed":{"date-parts":[["2020",7,16]]},"issued":{"date-parts":[["2015",3,1]]}}}],"schema":"https://github.com/citation-style-language/schema/raw/master/csl-citation.json"} </w:instrText>
      </w:r>
      <w:r w:rsidR="00E90B07">
        <w:fldChar w:fldCharType="separate"/>
      </w:r>
      <w:r w:rsidR="004B46B0" w:rsidRPr="004B46B0">
        <w:rPr>
          <w:vertAlign w:val="superscript"/>
        </w:rPr>
        <w:t>24</w:t>
      </w:r>
      <w:r w:rsidR="00E90B07">
        <w:fldChar w:fldCharType="end"/>
      </w:r>
      <w:r w:rsidR="00425B7D" w:rsidRPr="00200FDF">
        <w:t xml:space="preserve">. Within a timestep, the surface energy balance is computed, followed by the numerical </w:t>
      </w:r>
      <w:r w:rsidR="009C4307">
        <w:t xml:space="preserve">spectral and </w:t>
      </w:r>
      <w:r w:rsidR="00425B7D" w:rsidRPr="00200FDF">
        <w:t>thermodynamic</w:t>
      </w:r>
      <w:r w:rsidR="00E24C74">
        <w:t xml:space="preserve"> equation</w:t>
      </w:r>
      <w:r w:rsidR="009C4307">
        <w:t>s</w:t>
      </w:r>
      <w:r w:rsidR="00E24C74">
        <w:t>.</w:t>
      </w:r>
      <w:r w:rsidR="00425B7D" w:rsidRPr="00200FDF">
        <w:t xml:space="preserve"> </w:t>
      </w:r>
      <w:r w:rsidR="009C4307">
        <w:t>State variables are then updated</w:t>
      </w:r>
      <w:r w:rsidR="00AE6A9B">
        <w:t>, which</w:t>
      </w:r>
      <w:r w:rsidR="009C4307">
        <w:t xml:space="preserve"> includ</w:t>
      </w:r>
      <w:r w:rsidR="00AE6A9B">
        <w:t>e</w:t>
      </w:r>
      <w:r w:rsidR="009C4307">
        <w:t xml:space="preserve"> the</w:t>
      </w:r>
      <w:r w:rsidR="00425B7D" w:rsidRPr="00200FDF">
        <w:t xml:space="preserve"> ice, air, and liquid volumetric fractions, </w:t>
      </w:r>
      <w:r w:rsidR="009C4307">
        <w:t xml:space="preserve">the </w:t>
      </w:r>
      <w:r w:rsidR="00425B7D" w:rsidRPr="00200FDF">
        <w:t xml:space="preserve">enthalpy profile </w:t>
      </w:r>
      <w:r w:rsidR="009C4307">
        <w:t xml:space="preserve">that </w:t>
      </w:r>
      <w:r w:rsidR="00CD26F9">
        <w:t>account</w:t>
      </w:r>
      <w:r w:rsidR="009C4307">
        <w:t>s</w:t>
      </w:r>
      <w:r w:rsidR="00CD26F9">
        <w:t xml:space="preserve"> for release and consumption of latent heat</w:t>
      </w:r>
      <w:r w:rsidR="00CD0D46">
        <w:t xml:space="preserve">, </w:t>
      </w:r>
      <w:r w:rsidR="009C4307">
        <w:t>and the</w:t>
      </w:r>
      <w:r w:rsidR="00CD0D46">
        <w:t xml:space="preserve"> </w:t>
      </w:r>
      <w:r w:rsidR="00CD0D46" w:rsidRPr="00200FDF">
        <w:t>specific heat capacity, thermal conductivity, vapor diffusivity</w:t>
      </w:r>
      <w:r w:rsidR="00CD0D46">
        <w:t>,</w:t>
      </w:r>
      <w:r w:rsidR="00AE6A9B">
        <w:t xml:space="preserve"> and radiation extinction coefficient,</w:t>
      </w:r>
      <w:r w:rsidR="00CD0D46">
        <w:t xml:space="preserve"> which are used in the following time step.</w:t>
      </w:r>
    </w:p>
    <w:p w14:paraId="18C209E2" w14:textId="24C5CB45" w:rsidR="008D7E86" w:rsidRPr="00200FDF" w:rsidRDefault="00B85213" w:rsidP="000844A9">
      <w:r>
        <w:t>T</w:t>
      </w:r>
      <w:r w:rsidR="008D7E86" w:rsidRPr="00200FDF">
        <w:t>he mass fraction of each individual control volume is composed of partial fractions of ice, liquid water, and air</w:t>
      </w:r>
      <w:r>
        <w:fldChar w:fldCharType="begin"/>
      </w:r>
      <w:r w:rsidR="004B46B0">
        <w:instrText xml:space="preserve"> ADDIN ZOTERO_ITEM CSL_CITATION {"citationID":"sOVf2Bq6","properties":{"formattedCitation":"\\super 12\\nosupersub{}","plainCitation":"12","noteIndex":0},"citationItems":[{"id":7666,"uris":["http://zotero.org/users/1282866/items/MVH437HJ"],"uri":["http://zotero.org/users/1282866/items/MVH437HJ"],"itemData":{"id":7666,"type":"report","event-place":"Hanover, NH","genre":"Special Report","number":"91-16","publisher":"Cold Regions Research and Engineering Laboratory","publisher-place":"Hanover, NH","title":"A One-Dimensional Temperature Model For a Snowpack","URL":"http://hdl.handle.net/11681/11677","author":[{"family":"Jordan","given":"Rachel"}],"issued":{"date-parts":[["1991",10]]}}}],"schema":"https://github.com/citation-style-language/schema/raw/master/csl-citation.json"} </w:instrText>
      </w:r>
      <w:r>
        <w:fldChar w:fldCharType="separate"/>
      </w:r>
      <w:r w:rsidR="004B46B0" w:rsidRPr="004B46B0">
        <w:rPr>
          <w:vertAlign w:val="superscript"/>
        </w:rPr>
        <w:t>12</w:t>
      </w:r>
      <w:r>
        <w:fldChar w:fldCharType="end"/>
      </w:r>
      <w:r w:rsidR="008D7E86" w:rsidRPr="00200FDF">
        <w:t>:</w:t>
      </w:r>
    </w:p>
    <w:p w14:paraId="1A1B9B85" w14:textId="61867A70" w:rsidR="008D7E86" w:rsidRPr="00200FDF" w:rsidRDefault="00202492" w:rsidP="00234B3E">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γ</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m:rPr>
                      <m:sty m:val="p"/>
                    </m:rPr>
                    <w:rPr>
                      <w:rFonts w:ascii="Cambria Math" w:hAnsi="Cambria Math"/>
                    </w:rPr>
                    <m:t>k</m:t>
                  </m:r>
                </m:sub>
              </m:sSub>
              <m:sSub>
                <m:sSubPr>
                  <m:ctrlPr>
                    <w:rPr>
                      <w:rFonts w:ascii="Cambria Math" w:hAnsi="Cambria Math"/>
                    </w:rPr>
                  </m:ctrlPr>
                </m:sSubPr>
                <m:e>
                  <m:r>
                    <w:rPr>
                      <w:rFonts w:ascii="Cambria Math" w:hAnsi="Cambria Math"/>
                    </w:rPr>
                    <m:t>ρ</m:t>
                  </m:r>
                </m:e>
                <m:sub>
                  <m:r>
                    <m:rPr>
                      <m:sty m:val="p"/>
                    </m:rPr>
                    <w:rPr>
                      <w:rFonts w:ascii="Cambria Math" w:hAnsi="Cambria Math"/>
                    </w:rPr>
                    <m:t>k</m:t>
                  </m:r>
                </m:sub>
              </m:sSub>
              <m:r>
                <w:rPr>
                  <w:rFonts w:ascii="Cambria Math" w:hAnsi="Cambria Math"/>
                </w:rPr>
                <m:t xml:space="preserve">#(18) </m:t>
              </m:r>
            </m:e>
          </m:eqArr>
          <m:r>
            <w:rPr>
              <w:rFonts w:ascii="Cambria Math" w:hAnsi="Cambria Math"/>
            </w:rPr>
            <m:t xml:space="preserve"> </m:t>
          </m:r>
        </m:oMath>
      </m:oMathPara>
    </w:p>
    <w:p w14:paraId="54BC8545" w14:textId="7A342DC2" w:rsidR="008D7E86" w:rsidRPr="00200FDF" w:rsidRDefault="008D7E86" w:rsidP="00234B3E">
      <w:r w:rsidRPr="00200FDF">
        <w:t xml:space="preserve">where </w:t>
      </w:r>
      <m:oMath>
        <m:sSub>
          <m:sSubPr>
            <m:ctrlPr>
              <w:rPr>
                <w:rFonts w:ascii="Cambria Math" w:hAnsi="Cambria Math"/>
                <w:i/>
              </w:rPr>
            </m:ctrlPr>
          </m:sSubPr>
          <m:e>
            <m:r>
              <w:rPr>
                <w:rFonts w:ascii="Cambria Math" w:hAnsi="Cambria Math"/>
              </w:rPr>
              <m:t>θ</m:t>
            </m:r>
          </m:e>
          <m:sub>
            <m:r>
              <m:rPr>
                <m:sty m:val="p"/>
              </m:rPr>
              <w:rPr>
                <w:rFonts w:ascii="Cambria Math" w:hAnsi="Cambria Math"/>
              </w:rPr>
              <m:t>k</m:t>
            </m:r>
          </m:sub>
        </m:sSub>
      </m:oMath>
      <w:r w:rsidR="00425B7D">
        <w:t xml:space="preserve"> [</w:t>
      </w:r>
      <w:r w:rsidR="00425B7D" w:rsidRPr="00200FDF">
        <w:t>m</w:t>
      </w:r>
      <w:r w:rsidR="00425B7D" w:rsidRPr="00425B7D">
        <w:rPr>
          <w:vertAlign w:val="superscript"/>
        </w:rPr>
        <w:t>3</w:t>
      </w:r>
      <w:r w:rsidR="00425B7D">
        <w:rPr>
          <w:vertAlign w:val="superscript"/>
        </w:rPr>
        <w:t xml:space="preserve"> </w:t>
      </w:r>
      <w:r w:rsidR="00425B7D" w:rsidRPr="00200FDF">
        <w:t>m</w:t>
      </w:r>
      <w:r w:rsidR="00425B7D">
        <w:rPr>
          <w:vertAlign w:val="superscript"/>
        </w:rPr>
        <w:t>-3</w:t>
      </w:r>
      <w:r w:rsidR="00425B7D" w:rsidRPr="00425B7D">
        <w:t>]</w:t>
      </w:r>
      <w:r w:rsidR="00425B7D">
        <w:t xml:space="preserve">, </w:t>
      </w:r>
      <m:oMath>
        <m:sSub>
          <m:sSubPr>
            <m:ctrlPr>
              <w:rPr>
                <w:rFonts w:ascii="Cambria Math" w:hAnsi="Cambria Math"/>
                <w:i/>
              </w:rPr>
            </m:ctrlPr>
          </m:sSubPr>
          <m:e>
            <m:r>
              <w:rPr>
                <w:rFonts w:ascii="Cambria Math" w:hAnsi="Cambria Math"/>
              </w:rPr>
              <m:t>γ</m:t>
            </m:r>
          </m:e>
          <m:sub>
            <m:r>
              <m:rPr>
                <m:sty m:val="p"/>
              </m:rPr>
              <w:rPr>
                <w:rFonts w:ascii="Cambria Math" w:hAnsi="Cambria Math"/>
              </w:rPr>
              <m:t>k</m:t>
            </m:r>
          </m:sub>
        </m:sSub>
      </m:oMath>
      <w:r w:rsidR="00425B7D">
        <w:t xml:space="preserve"> [kg</w:t>
      </w:r>
      <w:r w:rsidR="00425B7D">
        <w:rPr>
          <w:vertAlign w:val="superscript"/>
        </w:rPr>
        <w:t xml:space="preserve"> </w:t>
      </w:r>
      <w:r w:rsidR="00425B7D" w:rsidRPr="00200FDF">
        <w:t>m</w:t>
      </w:r>
      <w:r w:rsidR="00425B7D">
        <w:rPr>
          <w:vertAlign w:val="superscript"/>
        </w:rPr>
        <w:t>-3</w:t>
      </w:r>
      <w:r w:rsidR="00425B7D">
        <w:t>]</w:t>
      </w:r>
      <w:r w:rsidRPr="00200FDF">
        <w:t xml:space="preserve"> and </w:t>
      </w:r>
      <m:oMath>
        <m:sSub>
          <m:sSubPr>
            <m:ctrlPr>
              <w:rPr>
                <w:rFonts w:ascii="Cambria Math" w:hAnsi="Cambria Math"/>
                <w:i/>
              </w:rPr>
            </m:ctrlPr>
          </m:sSubPr>
          <m:e>
            <m:r>
              <w:rPr>
                <w:rFonts w:ascii="Cambria Math" w:hAnsi="Cambria Math"/>
              </w:rPr>
              <m:t>ρ</m:t>
            </m:r>
          </m:e>
          <m:sub>
            <m:r>
              <m:rPr>
                <m:sty m:val="p"/>
              </m:rPr>
              <w:rPr>
                <w:rFonts w:ascii="Cambria Math" w:hAnsi="Cambria Math"/>
              </w:rPr>
              <m:t>k</m:t>
            </m:r>
          </m:sub>
        </m:sSub>
      </m:oMath>
      <w:r w:rsidRPr="00200FDF">
        <w:t xml:space="preserve"> </w:t>
      </w:r>
      <w:r w:rsidR="00425B7D">
        <w:t>[kg</w:t>
      </w:r>
      <w:r w:rsidR="00425B7D">
        <w:rPr>
          <w:vertAlign w:val="superscript"/>
        </w:rPr>
        <w:t xml:space="preserve"> </w:t>
      </w:r>
      <w:r w:rsidR="00425B7D" w:rsidRPr="00200FDF">
        <w:t>m</w:t>
      </w:r>
      <w:r w:rsidR="00425B7D">
        <w:rPr>
          <w:vertAlign w:val="superscript"/>
        </w:rPr>
        <w:t>-3</w:t>
      </w:r>
      <w:r w:rsidR="00425B7D">
        <w:t xml:space="preserve">] </w:t>
      </w:r>
      <w:r w:rsidRPr="00200FDF">
        <w:t xml:space="preserve">are </w:t>
      </w:r>
      <w:r w:rsidR="00425B7D">
        <w:t xml:space="preserve">respectively </w:t>
      </w:r>
      <w:r w:rsidRPr="00200FDF">
        <w:t xml:space="preserve">the </w:t>
      </w:r>
      <w:r w:rsidR="00FF1D82">
        <w:t xml:space="preserve">partial </w:t>
      </w:r>
      <w:r w:rsidR="00425B7D" w:rsidRPr="00200FDF">
        <w:t>volume fraction</w:t>
      </w:r>
      <w:r w:rsidR="00425B7D">
        <w:t>,</w:t>
      </w:r>
      <w:r w:rsidR="00425B7D" w:rsidRPr="00200FDF">
        <w:t xml:space="preserve"> </w:t>
      </w:r>
      <w:r w:rsidR="00FF1D82">
        <w:t>partial</w:t>
      </w:r>
      <w:r w:rsidRPr="00200FDF">
        <w:t xml:space="preserve"> densit</w:t>
      </w:r>
      <w:r w:rsidR="00425B7D">
        <w:t>y,</w:t>
      </w:r>
      <w:r w:rsidRPr="00200FDF">
        <w:t xml:space="preserve"> and intrinsic densit</w:t>
      </w:r>
      <w:r w:rsidR="00425B7D">
        <w:t>y</w:t>
      </w:r>
      <w:r w:rsidRPr="00200FDF">
        <w:t xml:space="preserve"> of </w:t>
      </w:r>
      <w:r w:rsidR="00425B7D" w:rsidRPr="00200FDF">
        <w:t xml:space="preserve">constituent </w:t>
      </w:r>
      <m:oMath>
        <m:r>
          <w:rPr>
            <w:rFonts w:ascii="Cambria Math" w:hAnsi="Cambria Math"/>
          </w:rPr>
          <m:t>k</m:t>
        </m:r>
      </m:oMath>
      <w:r w:rsidR="00425B7D">
        <w:t>.</w:t>
      </w:r>
      <w:r w:rsidRPr="00200FDF">
        <w:t xml:space="preserve"> </w:t>
      </w:r>
    </w:p>
    <w:p w14:paraId="5F518A5F" w14:textId="77777777" w:rsidR="008D7E86" w:rsidRPr="00200FDF" w:rsidRDefault="008D7E86" w:rsidP="00234B3E">
      <w:r w:rsidRPr="00200FDF">
        <w:t>The sum of the volume fractions is unity:</w:t>
      </w:r>
    </w:p>
    <w:p w14:paraId="52C44481" w14:textId="40A076C7" w:rsidR="00E24C74" w:rsidRPr="00E24C74" w:rsidRDefault="00202492" w:rsidP="00234B3E">
      <m:oMathPara>
        <m:oMath>
          <m:eqArr>
            <m:eqArrPr>
              <m:maxDist m:val="1"/>
              <m:ctrlPr>
                <w:rPr>
                  <w:rFonts w:ascii="Cambria Math" w:hAnsi="Cambria Math"/>
                  <w:i/>
                </w:rPr>
              </m:ctrlPr>
            </m:eqArrPr>
            <m:e>
              <m:nary>
                <m:naryPr>
                  <m:chr m:val="∑"/>
                  <m:supHide m:val="1"/>
                  <m:ctrlPr>
                    <w:rPr>
                      <w:rFonts w:ascii="Cambria Math" w:hAnsi="Cambria Math"/>
                    </w:rPr>
                  </m:ctrlPr>
                </m:naryPr>
                <m:sub>
                  <m:r>
                    <m:rPr>
                      <m:sty m:val="p"/>
                    </m:rPr>
                    <w:rPr>
                      <w:rFonts w:ascii="Cambria Math" w:hAnsi="Cambria Math"/>
                    </w:rPr>
                    <m:t>k</m:t>
                  </m:r>
                </m:sub>
                <m:sup/>
                <m:e>
                  <m:sSub>
                    <m:sSubPr>
                      <m:ctrlPr>
                        <w:rPr>
                          <w:rFonts w:ascii="Cambria Math" w:hAnsi="Cambria Math"/>
                        </w:rPr>
                      </m:ctrlPr>
                    </m:sSubPr>
                    <m:e>
                      <m:r>
                        <w:rPr>
                          <w:rFonts w:ascii="Cambria Math" w:hAnsi="Cambria Math"/>
                        </w:rPr>
                        <m:t>θ</m:t>
                      </m:r>
                    </m:e>
                    <m:sub>
                      <m:r>
                        <m:rPr>
                          <m:sty m:val="p"/>
                        </m:rPr>
                        <w:rPr>
                          <w:rFonts w:ascii="Cambria Math" w:hAnsi="Cambria Math"/>
                        </w:rPr>
                        <m:t>k</m:t>
                      </m:r>
                    </m:sub>
                  </m:sSub>
                  <m:r>
                    <m:rPr>
                      <m:sty m:val="p"/>
                    </m:rPr>
                    <w:rPr>
                      <w:rFonts w:ascii="Cambria Math" w:hAnsi="Cambria Math"/>
                    </w:rPr>
                    <m:t>=1</m:t>
                  </m:r>
                </m:e>
              </m:nary>
              <m:r>
                <w:rPr>
                  <w:rFonts w:ascii="Cambria Math" w:hAnsi="Cambria Math"/>
                </w:rPr>
                <m:t>#(19)</m:t>
              </m:r>
            </m:e>
          </m:eqArr>
        </m:oMath>
      </m:oMathPara>
    </w:p>
    <w:p w14:paraId="47296C0B" w14:textId="3475D169" w:rsidR="008D7E86" w:rsidRPr="00200FDF" w:rsidRDefault="008D7E86" w:rsidP="00234B3E">
      <w:r w:rsidRPr="00200FDF">
        <w:t xml:space="preserve">and the sum of the </w:t>
      </w:r>
      <w:r w:rsidR="00425B7D">
        <w:t>bulk</w:t>
      </w:r>
      <w:r w:rsidRPr="00200FDF">
        <w:t xml:space="preserve"> densities is the total density:</w:t>
      </w:r>
    </w:p>
    <w:p w14:paraId="43F695B7" w14:textId="5966FB01" w:rsidR="00E24C74" w:rsidRPr="00E24C74" w:rsidRDefault="00202492" w:rsidP="00234B3E">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ρ</m:t>
                  </m:r>
                </m:e>
                <m:sub>
                  <m:r>
                    <m:rPr>
                      <m:sty m:val="p"/>
                    </m:rPr>
                    <w:rPr>
                      <w:rFonts w:ascii="Cambria Math" w:hAnsi="Cambria Math"/>
                    </w:rPr>
                    <m:t>t</m:t>
                  </m:r>
                </m:sub>
              </m:sSub>
              <m:r>
                <m:rPr>
                  <m:sty m:val="p"/>
                </m:rPr>
                <w:rPr>
                  <w:rFonts w:ascii="Cambria Math" w:hAnsi="Cambria Math"/>
                </w:rPr>
                <m:t>=</m:t>
              </m:r>
              <m:nary>
                <m:naryPr>
                  <m:chr m:val="∑"/>
                  <m:supHide m:val="1"/>
                  <m:ctrlPr>
                    <w:rPr>
                      <w:rFonts w:ascii="Cambria Math" w:hAnsi="Cambria Math"/>
                    </w:rPr>
                  </m:ctrlPr>
                </m:naryPr>
                <m:sub>
                  <m:r>
                    <m:rPr>
                      <m:sty m:val="p"/>
                    </m:rPr>
                    <w:rPr>
                      <w:rFonts w:ascii="Cambria Math" w:hAnsi="Cambria Math"/>
                    </w:rPr>
                    <m:t>k</m:t>
                  </m:r>
                </m:sub>
                <m:sup/>
                <m:e>
                  <m:sSub>
                    <m:sSubPr>
                      <m:ctrlPr>
                        <w:rPr>
                          <w:rFonts w:ascii="Cambria Math" w:hAnsi="Cambria Math"/>
                        </w:rPr>
                      </m:ctrlPr>
                    </m:sSubPr>
                    <m:e>
                      <m:r>
                        <w:rPr>
                          <w:rFonts w:ascii="Cambria Math" w:hAnsi="Cambria Math"/>
                        </w:rPr>
                        <m:t>θ</m:t>
                      </m:r>
                    </m:e>
                    <m:sub>
                      <m:r>
                        <m:rPr>
                          <m:sty m:val="p"/>
                        </m:rPr>
                        <w:rPr>
                          <w:rFonts w:ascii="Cambria Math" w:hAnsi="Cambria Math"/>
                        </w:rPr>
                        <m:t>k</m:t>
                      </m:r>
                    </m:sub>
                  </m:sSub>
                  <m:sSub>
                    <m:sSubPr>
                      <m:ctrlPr>
                        <w:rPr>
                          <w:rFonts w:ascii="Cambria Math" w:hAnsi="Cambria Math"/>
                        </w:rPr>
                      </m:ctrlPr>
                    </m:sSubPr>
                    <m:e>
                      <m:r>
                        <w:rPr>
                          <w:rFonts w:ascii="Cambria Math" w:hAnsi="Cambria Math"/>
                        </w:rPr>
                        <m:t>ρ</m:t>
                      </m:r>
                    </m:e>
                    <m:sub>
                      <m:r>
                        <m:rPr>
                          <m:sty m:val="p"/>
                        </m:rPr>
                        <w:rPr>
                          <w:rFonts w:ascii="Cambria Math" w:hAnsi="Cambria Math"/>
                        </w:rPr>
                        <m:t>k</m:t>
                      </m:r>
                    </m:sub>
                  </m:sSub>
                  <m:r>
                    <m:rPr>
                      <m:sty m:val="p"/>
                    </m:rPr>
                    <w:rPr>
                      <w:rFonts w:ascii="Cambria Math" w:hAnsi="Cambria Math"/>
                    </w:rPr>
                    <m:t>=</m:t>
                  </m:r>
                  <m:nary>
                    <m:naryPr>
                      <m:chr m:val="∑"/>
                      <m:supHide m:val="1"/>
                      <m:ctrlPr>
                        <w:rPr>
                          <w:rFonts w:ascii="Cambria Math" w:hAnsi="Cambria Math"/>
                        </w:rPr>
                      </m:ctrlPr>
                    </m:naryPr>
                    <m:sub>
                      <m:r>
                        <m:rPr>
                          <m:sty m:val="p"/>
                        </m:rPr>
                        <w:rPr>
                          <w:rFonts w:ascii="Cambria Math" w:hAnsi="Cambria Math"/>
                        </w:rPr>
                        <m:t>k</m:t>
                      </m:r>
                    </m:sub>
                    <m:sup/>
                    <m:e>
                      <m:sSub>
                        <m:sSubPr>
                          <m:ctrlPr>
                            <w:rPr>
                              <w:rFonts w:ascii="Cambria Math" w:hAnsi="Cambria Math"/>
                            </w:rPr>
                          </m:ctrlPr>
                        </m:sSubPr>
                        <m:e>
                          <m:r>
                            <w:rPr>
                              <w:rFonts w:ascii="Cambria Math" w:hAnsi="Cambria Math"/>
                            </w:rPr>
                            <m:t>γ</m:t>
                          </m:r>
                        </m:e>
                        <m:sub>
                          <m:r>
                            <m:rPr>
                              <m:sty m:val="p"/>
                            </m:rPr>
                            <w:rPr>
                              <w:rFonts w:ascii="Cambria Math" w:hAnsi="Cambria Math"/>
                            </w:rPr>
                            <m:t>k</m:t>
                          </m:r>
                        </m:sub>
                      </m:sSub>
                    </m:e>
                  </m:nary>
                  <m:r>
                    <m:rPr>
                      <m:sty m:val="p"/>
                    </m:rPr>
                    <w:rPr>
                      <w:rFonts w:ascii="Cambria Math" w:hAnsi="Cambria Math"/>
                    </w:rPr>
                    <m:t>.</m:t>
                  </m:r>
                </m:e>
              </m:nary>
              <m:r>
                <w:rPr>
                  <w:rFonts w:ascii="Cambria Math" w:hAnsi="Cambria Math"/>
                </w:rPr>
                <m:t>#(20)</m:t>
              </m:r>
            </m:e>
          </m:eqArr>
        </m:oMath>
      </m:oMathPara>
    </w:p>
    <w:p w14:paraId="65700795" w14:textId="7BB437EC" w:rsidR="008D7E86" w:rsidRPr="00200FDF" w:rsidRDefault="008D7E86" w:rsidP="00234B3E">
      <w:r w:rsidRPr="00200FDF">
        <w:t xml:space="preserve">The </w:t>
      </w:r>
      <w:r w:rsidR="00AE6A9B">
        <w:t>glacier ice</w:t>
      </w:r>
      <w:r w:rsidRPr="00200FDF">
        <w:t xml:space="preserve"> density </w:t>
      </w:r>
      <m:oMath>
        <m:sSub>
          <m:sSubPr>
            <m:ctrlPr>
              <w:rPr>
                <w:rFonts w:ascii="Cambria Math" w:hAnsi="Cambria Math"/>
                <w:i/>
              </w:rPr>
            </m:ctrlPr>
          </m:sSubPr>
          <m:e>
            <m:r>
              <w:rPr>
                <w:rFonts w:ascii="Cambria Math" w:hAnsi="Cambria Math"/>
              </w:rPr>
              <m:t>ρ</m:t>
            </m:r>
          </m:e>
          <m:sub>
            <m:r>
              <m:rPr>
                <m:sty m:val="p"/>
              </m:rPr>
              <w:rPr>
                <w:rFonts w:ascii="Cambria Math" w:hAnsi="Cambria Math"/>
              </w:rPr>
              <m:t>s</m:t>
            </m:r>
          </m:sub>
        </m:sSub>
      </m:oMath>
      <w:r w:rsidRPr="00200FDF">
        <w:t xml:space="preserve"> is the combined liquid water and ice </w:t>
      </w:r>
      <w:r w:rsidR="00425B7D">
        <w:t xml:space="preserve">bulk </w:t>
      </w:r>
      <w:r w:rsidRPr="00200FDF">
        <w:t xml:space="preserve">densities i.e. </w:t>
      </w:r>
      <m:oMath>
        <m:sSub>
          <m:sSubPr>
            <m:ctrlPr>
              <w:rPr>
                <w:rFonts w:ascii="Cambria Math" w:hAnsi="Cambria Math"/>
                <w:i/>
              </w:rPr>
            </m:ctrlPr>
          </m:sSubPr>
          <m:e>
            <m:r>
              <w:rPr>
                <w:rFonts w:ascii="Cambria Math" w:hAnsi="Cambria Math"/>
              </w:rPr>
              <m:t>ρ</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m:t>
            </m:r>
          </m:sub>
        </m:sSub>
      </m:oMath>
      <w:r w:rsidR="00425B7D">
        <w:t>.</w:t>
      </w:r>
      <w:r w:rsidRPr="00200FDF">
        <w:t xml:space="preserve"> </w:t>
      </w:r>
    </w:p>
    <w:p w14:paraId="46F523A8" w14:textId="252E3AB8" w:rsidR="008D7E86" w:rsidRPr="00200FDF" w:rsidRDefault="008D7E86" w:rsidP="00234B3E">
      <w:r w:rsidRPr="00200FDF">
        <w:t xml:space="preserve">Porosity is the ratio of pore volume to total volume </w:t>
      </w:r>
      <w:r w:rsidR="00425B7D">
        <w:t>[</w:t>
      </w:r>
      <w:r w:rsidR="00425B7D" w:rsidRPr="00200FDF">
        <w:t>m</w:t>
      </w:r>
      <w:r w:rsidR="00425B7D" w:rsidRPr="00425B7D">
        <w:rPr>
          <w:vertAlign w:val="superscript"/>
        </w:rPr>
        <w:t>3</w:t>
      </w:r>
      <w:r w:rsidR="00425B7D">
        <w:rPr>
          <w:vertAlign w:val="superscript"/>
        </w:rPr>
        <w:t xml:space="preserve"> </w:t>
      </w:r>
      <w:r w:rsidR="00425B7D" w:rsidRPr="00200FDF">
        <w:t>m</w:t>
      </w:r>
      <w:r w:rsidR="00425B7D">
        <w:rPr>
          <w:vertAlign w:val="superscript"/>
        </w:rPr>
        <w:t>-3</w:t>
      </w:r>
      <w:r w:rsidR="00425B7D" w:rsidRPr="00425B7D">
        <w:t>]</w:t>
      </w:r>
      <w:r w:rsidRPr="00200FDF">
        <w:t>:</w:t>
      </w:r>
    </w:p>
    <w:p w14:paraId="08BD65A9" w14:textId="5B288D5D" w:rsidR="00E24C74" w:rsidRPr="00E24C74" w:rsidRDefault="00202492" w:rsidP="00234B3E">
      <w:pPr>
        <w:rPr>
          <w:iCs/>
        </w:rPr>
      </w:pPr>
      <m:oMathPara>
        <m:oMath>
          <m:eqArr>
            <m:eqArrPr>
              <m:maxDist m:val="1"/>
              <m:ctrlPr>
                <w:rPr>
                  <w:rFonts w:ascii="Cambria Math" w:hAnsi="Cambria Math"/>
                  <w:i/>
                  <w:iCs/>
                </w:rPr>
              </m:ctrlPr>
            </m:eqArrPr>
            <m:e>
              <m:sSub>
                <m:sSubPr>
                  <m:ctrlPr>
                    <w:rPr>
                      <w:rFonts w:ascii="Cambria Math" w:hAnsi="Cambria Math"/>
                      <w:iCs/>
                    </w:rPr>
                  </m:ctrlPr>
                </m:sSubPr>
                <m:e>
                  <m:r>
                    <w:rPr>
                      <w:rFonts w:ascii="Cambria Math" w:hAnsi="Cambria Math"/>
                    </w:rPr>
                    <m:t>ϕ</m:t>
                  </m:r>
                  <m:r>
                    <m:rPr>
                      <m:sty m:val="p"/>
                    </m:rPr>
                    <w:rPr>
                      <w:rFonts w:ascii="Cambria Math" w:hAnsi="Cambria Math"/>
                    </w:rPr>
                    <m:t>=1-</m:t>
                  </m:r>
                  <m:r>
                    <w:rPr>
                      <w:rFonts w:ascii="Cambria Math" w:hAnsi="Cambria Math"/>
                    </w:rPr>
                    <m:t>θ</m:t>
                  </m:r>
                </m:e>
                <m:sub>
                  <m:r>
                    <m:rPr>
                      <m:sty m:val="p"/>
                    </m:rPr>
                    <w:rPr>
                      <w:rFonts w:ascii="Cambria Math" w:hAnsi="Cambria Math"/>
                    </w:rPr>
                    <m:t>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w:rPr>
                          <w:rFonts w:ascii="Cambria Math" w:hAnsi="Cambria Math"/>
                        </w:rPr>
                        <m:t>γ</m:t>
                      </m:r>
                    </m:e>
                    <m:sub>
                      <m:r>
                        <m:rPr>
                          <m:sty m:val="p"/>
                        </m:rPr>
                        <w:rPr>
                          <w:rFonts w:ascii="Cambria Math" w:hAnsi="Cambria Math"/>
                        </w:rPr>
                        <m:t>i</m:t>
                      </m:r>
                    </m:sub>
                  </m:sSub>
                </m:num>
                <m:den>
                  <m:sSub>
                    <m:sSubPr>
                      <m:ctrlPr>
                        <w:rPr>
                          <w:rFonts w:ascii="Cambria Math" w:hAnsi="Cambria Math"/>
                          <w:iCs/>
                        </w:rPr>
                      </m:ctrlPr>
                    </m:sSubPr>
                    <m:e>
                      <m:r>
                        <w:rPr>
                          <w:rFonts w:ascii="Cambria Math" w:hAnsi="Cambria Math"/>
                        </w:rPr>
                        <m:t>ρ</m:t>
                      </m:r>
                    </m:e>
                    <m:sub>
                      <m:r>
                        <m:rPr>
                          <m:sty m:val="p"/>
                        </m:rPr>
                        <w:rPr>
                          <w:rFonts w:ascii="Cambria Math" w:hAnsi="Cambria Math"/>
                        </w:rPr>
                        <m:t>i</m:t>
                      </m:r>
                    </m:sub>
                  </m:sSub>
                </m:den>
              </m:f>
              <m:r>
                <w:rPr>
                  <w:rFonts w:ascii="Cambria Math" w:hAnsi="Cambria Math"/>
                </w:rPr>
                <m:t>#</m:t>
              </m:r>
              <m:d>
                <m:dPr>
                  <m:ctrlPr>
                    <w:rPr>
                      <w:rFonts w:ascii="Cambria Math" w:hAnsi="Cambria Math"/>
                      <w:i/>
                      <w:iCs/>
                    </w:rPr>
                  </m:ctrlPr>
                </m:dPr>
                <m:e>
                  <m:r>
                    <w:rPr>
                      <w:rFonts w:ascii="Cambria Math" w:hAnsi="Cambria Math"/>
                    </w:rPr>
                    <m:t>21</m:t>
                  </m:r>
                </m:e>
              </m:d>
            </m:e>
          </m:eqArr>
        </m:oMath>
      </m:oMathPara>
    </w:p>
    <w:p w14:paraId="4E798BDE" w14:textId="51083267" w:rsidR="008D7E86" w:rsidRPr="00200FDF" w:rsidRDefault="008D7E86" w:rsidP="00234B3E">
      <w:r w:rsidRPr="00200FDF">
        <w:t xml:space="preserve">The volume fractions </w:t>
      </w:r>
      <w:r w:rsidR="00202492">
        <w:t xml:space="preserve">are </w:t>
      </w:r>
      <w:r w:rsidRPr="00200FDF">
        <w:t xml:space="preserve">also expressed in terms of porosity and liquid saturation </w:t>
      </w:r>
      <m:oMath>
        <m:r>
          <w:rPr>
            <w:rFonts w:ascii="Cambria Math" w:hAnsi="Cambria Math"/>
          </w:rPr>
          <m:t>s</m:t>
        </m:r>
      </m:oMath>
      <w:r w:rsidRPr="00200FDF">
        <w:t xml:space="preserve">, or the volume of liquid water per unit volume of voids </w:t>
      </w:r>
      <w:r w:rsidR="00145D25">
        <w:t>[</w:t>
      </w:r>
      <w:r w:rsidR="00145D25" w:rsidRPr="00200FDF">
        <w:t>m</w:t>
      </w:r>
      <w:r w:rsidR="00145D25" w:rsidRPr="00425B7D">
        <w:rPr>
          <w:vertAlign w:val="superscript"/>
        </w:rPr>
        <w:t>3</w:t>
      </w:r>
      <w:r w:rsidR="00145D25">
        <w:rPr>
          <w:vertAlign w:val="superscript"/>
        </w:rPr>
        <w:t xml:space="preserve"> </w:t>
      </w:r>
      <w:r w:rsidR="00145D25" w:rsidRPr="00200FDF">
        <w:t>m</w:t>
      </w:r>
      <w:r w:rsidR="00145D25">
        <w:rPr>
          <w:vertAlign w:val="superscript"/>
        </w:rPr>
        <w:t>-3</w:t>
      </w:r>
      <w:r w:rsidR="00145D25" w:rsidRPr="00425B7D">
        <w:t>]</w:t>
      </w:r>
      <w:r w:rsidRPr="00200FDF">
        <w:t>:</w:t>
      </w:r>
    </w:p>
    <w:p w14:paraId="36166851" w14:textId="24941B11" w:rsidR="00E24C74" w:rsidRPr="00E24C74" w:rsidRDefault="00202492" w:rsidP="00234B3E">
      <w:pPr>
        <w:rPr>
          <w:iCs/>
        </w:rPr>
      </w:pPr>
      <m:oMathPara>
        <m:oMath>
          <m:eqArr>
            <m:eqArrPr>
              <m:maxDist m:val="1"/>
              <m:ctrlPr>
                <w:rPr>
                  <w:rFonts w:ascii="Cambria Math" w:hAnsi="Cambria Math"/>
                  <w:i/>
                </w:rPr>
              </m:ctrlPr>
            </m:eqArrPr>
            <m:e>
              <m:sSub>
                <m:sSubPr>
                  <m:ctrlPr>
                    <w:rPr>
                      <w:rFonts w:ascii="Cambria Math" w:hAnsi="Cambria Math"/>
                      <w:iCs/>
                    </w:rPr>
                  </m:ctrlPr>
                </m:sSubPr>
                <m:e>
                  <m:r>
                    <w:rPr>
                      <w:rFonts w:ascii="Cambria Math" w:hAnsi="Cambria Math"/>
                    </w:rPr>
                    <m:t>θ</m:t>
                  </m:r>
                </m:e>
                <m:sub>
                  <m:r>
                    <m:rPr>
                      <m:sty m:val="p"/>
                    </m:rPr>
                    <w:rPr>
                      <w:rFonts w:ascii="Cambria Math" w:hAnsi="Cambria Math"/>
                    </w:rPr>
                    <m:t>i</m:t>
                  </m:r>
                </m:sub>
              </m:sSub>
              <m:r>
                <m:rPr>
                  <m:sty m:val="p"/>
                  <m:aln/>
                </m:rPr>
                <w:rPr>
                  <w:rFonts w:ascii="Cambria Math" w:hAnsi="Cambria Math"/>
                </w:rPr>
                <m:t>=1-</m:t>
              </m:r>
              <m:r>
                <w:rPr>
                  <w:rFonts w:ascii="Cambria Math" w:hAnsi="Cambria Math"/>
                </w:rPr>
                <m:t>ϕ#</m:t>
              </m:r>
              <m:d>
                <m:dPr>
                  <m:ctrlPr>
                    <w:rPr>
                      <w:rFonts w:ascii="Cambria Math" w:hAnsi="Cambria Math"/>
                      <w:i/>
                    </w:rPr>
                  </m:ctrlPr>
                </m:dPr>
                <m:e>
                  <m:r>
                    <w:rPr>
                      <w:rFonts w:ascii="Cambria Math" w:hAnsi="Cambria Math"/>
                    </w:rPr>
                    <m:t>22</m:t>
                  </m:r>
                </m:e>
              </m:d>
              <m:ctrlPr>
                <w:rPr>
                  <w:rFonts w:ascii="Cambria Math" w:hAnsi="Cambria Math"/>
                  <w:i/>
                  <w:iCs/>
                </w:rPr>
              </m:ctrlPr>
            </m:e>
          </m:eqArr>
        </m:oMath>
      </m:oMathPara>
    </w:p>
    <w:p w14:paraId="07F68AB0" w14:textId="4C053898" w:rsidR="00E24C74" w:rsidRPr="00E24C74" w:rsidRDefault="00202492" w:rsidP="00234B3E">
      <m:oMathPara>
        <m:oMath>
          <m:sSub>
            <m:sSubPr>
              <m:ctrlPr>
                <w:rPr>
                  <w:rFonts w:ascii="Cambria Math" w:hAnsi="Cambria Math"/>
                  <w:iCs/>
                </w:rPr>
              </m:ctrlPr>
            </m:sSubPr>
            <m:e>
              <m:r>
                <w:rPr>
                  <w:rFonts w:ascii="Cambria Math" w:hAnsi="Cambria Math"/>
                </w:rPr>
                <m:t>θ</m:t>
              </m:r>
            </m:e>
            <m:sub>
              <m:r>
                <m:rPr>
                  <m:sty m:val="p"/>
                </m:rPr>
                <w:rPr>
                  <w:rFonts w:ascii="Cambria Math" w:hAnsi="Cambria Math"/>
                </w:rPr>
                <m:t>l</m:t>
              </m:r>
            </m:sub>
          </m:sSub>
          <m:r>
            <m:rPr>
              <m:sty m:val="p"/>
            </m:rPr>
            <w:rPr>
              <w:rFonts w:ascii="Cambria Math" w:hAnsi="Cambria Math"/>
            </w:rPr>
            <m:t>=</m:t>
          </m:r>
          <m:r>
            <w:rPr>
              <w:rFonts w:ascii="Cambria Math" w:hAnsi="Cambria Math"/>
            </w:rPr>
            <m:t>sϕ</m:t>
          </m:r>
        </m:oMath>
      </m:oMathPara>
    </w:p>
    <w:p w14:paraId="35C0C2A7" w14:textId="11383E91" w:rsidR="008D7E86" w:rsidRPr="00200FDF" w:rsidRDefault="00202492" w:rsidP="00234B3E">
      <w:pPr>
        <w:rPr>
          <w:iCs/>
        </w:rPr>
      </w:pPr>
      <m:oMathPara>
        <m:oMath>
          <m:sSub>
            <m:sSubPr>
              <m:ctrlPr>
                <w:rPr>
                  <w:rFonts w:ascii="Cambria Math" w:hAnsi="Cambria Math"/>
                  <w:iCs/>
                </w:rPr>
              </m:ctrlPr>
            </m:sSubPr>
            <m:e>
              <m:r>
                <w:rPr>
                  <w:rFonts w:ascii="Cambria Math" w:hAnsi="Cambria Math"/>
                </w:rPr>
                <m:t>θ</m:t>
              </m:r>
            </m:e>
            <m:sub>
              <m:r>
                <m:rPr>
                  <m:sty m:val="p"/>
                </m:rPr>
                <w:rPr>
                  <w:rFonts w:ascii="Cambria Math" w:hAnsi="Cambria Math"/>
                </w:rPr>
                <m:t>a</m:t>
              </m:r>
            </m:sub>
          </m:sSub>
          <m:r>
            <m:rPr>
              <m:sty m:val="p"/>
              <m:aln/>
            </m:rPr>
            <w:rPr>
              <w:rFonts w:ascii="Cambria Math" w:hAnsi="Cambria Math"/>
            </w:rPr>
            <m:t>=</m:t>
          </m:r>
          <m:r>
            <w:rPr>
              <w:rFonts w:ascii="Cambria Math" w:hAnsi="Cambria Math"/>
            </w:rPr>
            <m:t>ϕ</m:t>
          </m:r>
          <m:r>
            <m:rPr>
              <m:sty m:val="p"/>
            </m:rPr>
            <w:rPr>
              <w:rFonts w:ascii="Cambria Math" w:hAnsi="Cambria Math"/>
            </w:rPr>
            <m:t>-</m:t>
          </m:r>
          <m:r>
            <w:rPr>
              <w:rFonts w:ascii="Cambria Math" w:hAnsi="Cambria Math"/>
            </w:rPr>
            <m:t>sϕ</m:t>
          </m:r>
        </m:oMath>
      </m:oMathPara>
    </w:p>
    <w:p w14:paraId="009DCE6D" w14:textId="428269AB" w:rsidR="00970A00" w:rsidRPr="00096ADA" w:rsidRDefault="00CD26F9" w:rsidP="00096ADA">
      <w:r>
        <w:t xml:space="preserve">The liquid saturation </w:t>
      </w:r>
      <m:oMath>
        <m:r>
          <w:rPr>
            <w:rFonts w:ascii="Cambria Math" w:hAnsi="Cambria Math"/>
          </w:rPr>
          <m:t>s</m:t>
        </m:r>
      </m:oMath>
      <w:r>
        <w:t xml:space="preserve"> is set to </w:t>
      </w:r>
      <w:r w:rsidR="00AE7B30">
        <w:t xml:space="preserve">the residual liquid water holding capacity </w:t>
      </w:r>
      <w:r>
        <w:t>2% following Pettersson et al.</w:t>
      </w:r>
      <w:r>
        <w:fldChar w:fldCharType="begin"/>
      </w:r>
      <w:r w:rsidR="004B46B0">
        <w:instrText xml:space="preserve"> ADDIN ZOTERO_ITEM CSL_CITATION {"citationID":"s0CmSSOZ","properties":{"formattedCitation":"\\super 16\\nosupersub{}","plainCitation":"16","noteIndex":0},"citationItems":[{"id":1156,"uris":["http://zotero.org/users/1282866/items/MT8UQG47"],"uri":["http://zotero.org/users/1282866/items/MT8UQG47"],"itemData":{"id":1156,"type":"article-journal","abstract":"The volume fraction of liquid water in temperate glacier ice is important not only for the flow of glaciers and the analysis and processing of ground penetrating radar data from glaciers but also for the stability of the thermal layering in polythermal glaciers. However, little is known about the spatial variations of water content in glaciers. We use relative backscatter strength of ground-penetrating radar signals to estimate the spatial distribution of water content close to the cold-temperate transition on Storglaciären, northern Sweden, in an area close to the equilibrium line. The values of relative backscatter strength are calibrated using determinations of absolute water content from temperature measurements across the cold-temperate transition and the thermodynamic boundary condition at the freezing front. The results show a water content of 0.80%, 0.75%, and 0.58% at three calibration points and a mean water content of 0.8% with a standard deviation of ±0.26% for the extrapolated water content. The extrapolated water content shows a distinct pattern, with lower water content on one side of the glacier center line and higher water content on the other side, with higher water content on the northern side. We hypothesize that the different water contents result from the fact that the ice on either side of the center line originates from different cirques, thus implying spatial variations in the entrapment of water in the firn-ice transition process in the different cirques.","container-title":"Journal of Geophysical Research: Earth Surface","DOI":"10.1029/2003JF000110","ISSN":"2156-2202","issue":"F2","journalAbbreviation":"J. Geophys. Res.","language":"en","page":"F02009","source":"Wiley Online Library","title":"Spatial variability in water content at the cold-temperate transition surface of the polythermal Storglaciären, Sweden","volume":"109","author":[{"family":"Pettersson","given":"Rickard"},{"family":"Jansson","given":"Peter"},{"family":"Blatter","given":"Heinz"}],"issued":{"date-parts":[["2004",6,1]]}},"suppress-author":true}],"schema":"https://github.com/citation-style-language/schema/raw/master/csl-citation.json"} </w:instrText>
      </w:r>
      <w:r>
        <w:fldChar w:fldCharType="separate"/>
      </w:r>
      <w:r w:rsidR="004B46B0" w:rsidRPr="004B46B0">
        <w:rPr>
          <w:vertAlign w:val="superscript"/>
        </w:rPr>
        <w:t>16</w:t>
      </w:r>
      <w:r>
        <w:fldChar w:fldCharType="end"/>
      </w:r>
      <w:r>
        <w:t xml:space="preserve">. </w:t>
      </w:r>
      <w:r w:rsidR="00AE6A9B">
        <w:t>L</w:t>
      </w:r>
      <w:r w:rsidR="00E47876">
        <w:t xml:space="preserve">iquid water that exceeds </w:t>
      </w:r>
      <m:oMath>
        <m:r>
          <w:rPr>
            <w:rFonts w:ascii="Cambria Math" w:hAnsi="Cambria Math"/>
          </w:rPr>
          <m:t>ϕ</m:t>
        </m:r>
      </m:oMath>
      <w:r w:rsidR="00AE7B30">
        <w:t xml:space="preserve"> is drained into the layer below</w:t>
      </w:r>
      <w:r w:rsidR="00AE6A9B">
        <w:t>, following</w:t>
      </w:r>
      <w:r w:rsidR="00AE6A9B">
        <w:fldChar w:fldCharType="begin"/>
      </w:r>
      <w:r w:rsidR="004B46B0">
        <w:instrText xml:space="preserve"> ADDIN ZOTERO_ITEM CSL_CITATION {"citationID":"a7jA0CDU","properties":{"formattedCitation":"\\super 25\\nosupersub{}","plainCitation":"25","noteIndex":0},"citationItems":[{"id":2634,"uris":["http://zotero.org/users/1282866/items/GETB4C5U"],"uri":["http://zotero.org/users/1282866/items/GETB4C5U"],"itemData":{"id":2634,"type":"article-journal","container-title":"Frontiers in Earth Science","DOI":"10.3389/feart.2016.00110","ISSN":"2296-6463","journalAbbreviation":"Front. Earth Sci.","source":"DOI.org (Crossref)","title":"Liquid Water Flow and Retention on the Greenland Ice Sheet in the Regional Climate Model HIRHAM5: Local and Large-Scale Impacts","title-short":"Liquid Water Flow and Retention on the Greenland Ice Sheet in the Regional Climate Model HIRHAM5","URL":"http://journal.frontiersin.org/article/10.3389/feart.2016.00110/full","volume":"4","author":[{"family":"Langen","given":"Peter L."},{"family":"Fausto","given":"Robert S."},{"family":"Vandecrux","given":"Baptiste"},{"family":"Mottram","given":"Ruth H."},{"family":"Box","given":"Jason E."}],"accessed":{"date-parts":[["2020",7,13]]},"issued":{"date-parts":[["2017",1,12]]}}}],"schema":"https://github.com/citation-style-language/schema/raw/master/csl-citation.json"} </w:instrText>
      </w:r>
      <w:r w:rsidR="00AE6A9B">
        <w:fldChar w:fldCharType="separate"/>
      </w:r>
      <w:r w:rsidR="004B46B0" w:rsidRPr="004B46B0">
        <w:rPr>
          <w:vertAlign w:val="superscript"/>
        </w:rPr>
        <w:t>25</w:t>
      </w:r>
      <w:r w:rsidR="00AE6A9B">
        <w:fldChar w:fldCharType="end"/>
      </w:r>
      <w:r w:rsidR="009F7B22">
        <w:t>. If</w:t>
      </w:r>
      <w:r w:rsidR="00AE7B30">
        <w:t xml:space="preserve"> a sub-freezing layer is encountered</w:t>
      </w:r>
      <w:r w:rsidR="009F7B22">
        <w:t>,</w:t>
      </w:r>
      <w:r w:rsidR="00AE7B30">
        <w:t xml:space="preserve"> the liquid water is instantaneously drained from the ice column</w:t>
      </w:r>
      <w:r w:rsidR="00096ADA">
        <w:t>.</w:t>
      </w:r>
      <w:r w:rsidR="00970A00">
        <w:br w:type="page"/>
      </w:r>
    </w:p>
    <w:p w14:paraId="7150C032" w14:textId="1C5F3C94" w:rsidR="00970A00" w:rsidRDefault="00970A00" w:rsidP="00DD6C7E">
      <w:pPr>
        <w:pStyle w:val="Abstract"/>
        <w:rPr>
          <w:b/>
          <w:bCs/>
        </w:rPr>
      </w:pPr>
      <w:r>
        <w:rPr>
          <w:b/>
          <w:bCs/>
        </w:rPr>
        <w:lastRenderedPageBreak/>
        <w:t>References</w:t>
      </w:r>
    </w:p>
    <w:p w14:paraId="5F5F09CE" w14:textId="77777777" w:rsidR="004B46B0" w:rsidRPr="004B46B0" w:rsidRDefault="00970A00" w:rsidP="004B46B0">
      <w:pPr>
        <w:pStyle w:val="Bibliography"/>
      </w:pPr>
      <w:r>
        <w:fldChar w:fldCharType="begin"/>
      </w:r>
      <w:r w:rsidR="005015EC">
        <w:instrText xml:space="preserve"> ADDIN ZOTERO_BIBL {"uncited":[],"omitted":[],"custom":[]} CSL_BIBLIOGRAPHY </w:instrText>
      </w:r>
      <w:r>
        <w:fldChar w:fldCharType="separate"/>
      </w:r>
      <w:r w:rsidR="004B46B0" w:rsidRPr="004B46B0">
        <w:t>1.</w:t>
      </w:r>
      <w:r w:rsidR="004B46B0" w:rsidRPr="004B46B0">
        <w:tab/>
        <w:t xml:space="preserve">Smith, L. C. </w:t>
      </w:r>
      <w:r w:rsidR="004B46B0" w:rsidRPr="004B46B0">
        <w:rPr>
          <w:i/>
          <w:iCs/>
        </w:rPr>
        <w:t>et al.</w:t>
      </w:r>
      <w:r w:rsidR="004B46B0" w:rsidRPr="004B46B0">
        <w:t xml:space="preserve"> Direct measurements of meltwater runoff on the Greenland ice sheet surface. </w:t>
      </w:r>
      <w:r w:rsidR="004B46B0" w:rsidRPr="004B46B0">
        <w:rPr>
          <w:i/>
          <w:iCs/>
        </w:rPr>
        <w:t>PNAS</w:t>
      </w:r>
      <w:r w:rsidR="004B46B0" w:rsidRPr="004B46B0">
        <w:t xml:space="preserve"> </w:t>
      </w:r>
      <w:r w:rsidR="004B46B0" w:rsidRPr="004B46B0">
        <w:rPr>
          <w:b/>
          <w:bCs/>
        </w:rPr>
        <w:t>114</w:t>
      </w:r>
      <w:r w:rsidR="004B46B0" w:rsidRPr="004B46B0">
        <w:t>, E10622–E10631 (2017).</w:t>
      </w:r>
    </w:p>
    <w:p w14:paraId="5C07FD13" w14:textId="77777777" w:rsidR="004B46B0" w:rsidRPr="004B46B0" w:rsidRDefault="004B46B0" w:rsidP="004B46B0">
      <w:pPr>
        <w:pStyle w:val="Bibliography"/>
      </w:pPr>
      <w:r w:rsidRPr="004B46B0">
        <w:t>2.</w:t>
      </w:r>
      <w:r w:rsidRPr="004B46B0">
        <w:tab/>
        <w:t xml:space="preserve">Yang, K., Smith, L. C., Chu, V. W., Gleason, C. J. &amp; Li, M. A Caution on the Use of Surface Digital Elevation Models to Simulate Supraglacial Hydrology of the Greenland Ice Sheet. </w:t>
      </w:r>
      <w:r w:rsidRPr="004B46B0">
        <w:rPr>
          <w:i/>
          <w:iCs/>
        </w:rPr>
        <w:t>IEEE Journal of Selected Topics in Applied Earth Observations and Remote Sensing</w:t>
      </w:r>
      <w:r w:rsidRPr="004B46B0">
        <w:t xml:space="preserve"> </w:t>
      </w:r>
      <w:r w:rsidRPr="004B46B0">
        <w:rPr>
          <w:b/>
          <w:bCs/>
        </w:rPr>
        <w:t>8</w:t>
      </w:r>
      <w:r w:rsidRPr="004B46B0">
        <w:t>, 1–13 (2015).</w:t>
      </w:r>
    </w:p>
    <w:p w14:paraId="3984A88E" w14:textId="77777777" w:rsidR="004B46B0" w:rsidRPr="004B46B0" w:rsidRDefault="004B46B0" w:rsidP="004B46B0">
      <w:pPr>
        <w:pStyle w:val="Bibliography"/>
      </w:pPr>
      <w:r w:rsidRPr="004B46B0">
        <w:t>3.</w:t>
      </w:r>
      <w:r w:rsidRPr="004B46B0">
        <w:tab/>
        <w:t xml:space="preserve">Brodzik, M. J., Billingsley, B., Haran, T., Raup, B. &amp; Savoie, M. H. EASE-Grid 2.0: Incremental but Significant Improvements for Earth-Gridded Data Sets. </w:t>
      </w:r>
      <w:r w:rsidRPr="004B46B0">
        <w:rPr>
          <w:i/>
          <w:iCs/>
        </w:rPr>
        <w:t>IJGI</w:t>
      </w:r>
      <w:r w:rsidRPr="004B46B0">
        <w:t xml:space="preserve"> </w:t>
      </w:r>
      <w:r w:rsidRPr="004B46B0">
        <w:rPr>
          <w:b/>
          <w:bCs/>
        </w:rPr>
        <w:t>1</w:t>
      </w:r>
      <w:r w:rsidRPr="004B46B0">
        <w:t>, 32–45 (2012).</w:t>
      </w:r>
    </w:p>
    <w:p w14:paraId="31432395" w14:textId="77777777" w:rsidR="004B46B0" w:rsidRPr="004B46B0" w:rsidRDefault="004B46B0" w:rsidP="004B46B0">
      <w:pPr>
        <w:pStyle w:val="Bibliography"/>
      </w:pPr>
      <w:r w:rsidRPr="004B46B0">
        <w:t>4.</w:t>
      </w:r>
      <w:r w:rsidRPr="004B46B0">
        <w:tab/>
        <w:t xml:space="preserve">van As, D. Warming, glacier melt and surface energy budget from weather station observations in the Melville Bay region of northwest Greenland. </w:t>
      </w:r>
      <w:r w:rsidRPr="004B46B0">
        <w:rPr>
          <w:i/>
          <w:iCs/>
        </w:rPr>
        <w:t>Journal of Glaciology</w:t>
      </w:r>
      <w:r w:rsidRPr="004B46B0">
        <w:t xml:space="preserve"> </w:t>
      </w:r>
      <w:r w:rsidRPr="004B46B0">
        <w:rPr>
          <w:b/>
          <w:bCs/>
        </w:rPr>
        <w:t>57</w:t>
      </w:r>
      <w:r w:rsidRPr="004B46B0">
        <w:t>, 208–220 (2011).</w:t>
      </w:r>
    </w:p>
    <w:p w14:paraId="77B8D65B" w14:textId="77777777" w:rsidR="004B46B0" w:rsidRPr="004B46B0" w:rsidRDefault="004B46B0" w:rsidP="004B46B0">
      <w:pPr>
        <w:pStyle w:val="Bibliography"/>
      </w:pPr>
      <w:r w:rsidRPr="004B46B0">
        <w:t>5.</w:t>
      </w:r>
      <w:r w:rsidRPr="004B46B0">
        <w:tab/>
        <w:t xml:space="preserve">Muthyala, R. </w:t>
      </w:r>
      <w:r w:rsidRPr="004B46B0">
        <w:rPr>
          <w:i/>
          <w:iCs/>
        </w:rPr>
        <w:t>et al.</w:t>
      </w:r>
      <w:r w:rsidRPr="004B46B0">
        <w:t xml:space="preserve"> Seasonal Variability in In-situ Supraglacial Streamflow and Drivers in Southwest Greenland in 2016. </w:t>
      </w:r>
      <w:r w:rsidRPr="004B46B0">
        <w:rPr>
          <w:i/>
          <w:iCs/>
        </w:rPr>
        <w:t>The Cryosphere Discussions</w:t>
      </w:r>
      <w:r w:rsidRPr="004B46B0">
        <w:t xml:space="preserve"> 1–28 (2020) doi:10.5194/tc-2020-314.</w:t>
      </w:r>
    </w:p>
    <w:p w14:paraId="090448FD" w14:textId="77777777" w:rsidR="004B46B0" w:rsidRPr="004B46B0" w:rsidRDefault="004B46B0" w:rsidP="004B46B0">
      <w:pPr>
        <w:pStyle w:val="Bibliography"/>
      </w:pPr>
      <w:r w:rsidRPr="004B46B0">
        <w:t>6.</w:t>
      </w:r>
      <w:r w:rsidRPr="004B46B0">
        <w:tab/>
        <w:t xml:space="preserve">Rennermalm, Å. K. </w:t>
      </w:r>
      <w:r w:rsidRPr="004B46B0">
        <w:rPr>
          <w:i/>
          <w:iCs/>
        </w:rPr>
        <w:t>et al.</w:t>
      </w:r>
      <w:r w:rsidRPr="004B46B0">
        <w:t xml:space="preserve"> River discharge at station AK-004-001, 2008 - 2016, version 3.0. 1086494 data points (2017) doi:10.1594/PANGAEA.876357.</w:t>
      </w:r>
    </w:p>
    <w:p w14:paraId="0470C2FE" w14:textId="77777777" w:rsidR="004B46B0" w:rsidRPr="004B46B0" w:rsidRDefault="004B46B0" w:rsidP="004B46B0">
      <w:pPr>
        <w:pStyle w:val="Bibliography"/>
      </w:pPr>
      <w:r w:rsidRPr="004B46B0">
        <w:t>7.</w:t>
      </w:r>
      <w:r w:rsidRPr="004B46B0">
        <w:tab/>
        <w:t xml:space="preserve">Mankoff, K. D. </w:t>
      </w:r>
      <w:r w:rsidRPr="004B46B0">
        <w:rPr>
          <w:i/>
          <w:iCs/>
        </w:rPr>
        <w:t>et al.</w:t>
      </w:r>
      <w:r w:rsidRPr="004B46B0">
        <w:t xml:space="preserve"> Greenland liquid water discharge from 1958 through 2019. </w:t>
      </w:r>
      <w:r w:rsidRPr="004B46B0">
        <w:rPr>
          <w:i/>
          <w:iCs/>
        </w:rPr>
        <w:t>Earth System Science Data</w:t>
      </w:r>
      <w:r w:rsidRPr="004B46B0">
        <w:t xml:space="preserve"> </w:t>
      </w:r>
      <w:r w:rsidRPr="004B46B0">
        <w:rPr>
          <w:b/>
          <w:bCs/>
        </w:rPr>
        <w:t>12</w:t>
      </w:r>
      <w:r w:rsidRPr="004B46B0">
        <w:t>, 2811–2841 (2020).</w:t>
      </w:r>
    </w:p>
    <w:p w14:paraId="74F53CC6" w14:textId="77777777" w:rsidR="004B46B0" w:rsidRPr="004B46B0" w:rsidRDefault="004B46B0" w:rsidP="004B46B0">
      <w:pPr>
        <w:pStyle w:val="Bibliography"/>
      </w:pPr>
      <w:r w:rsidRPr="004B46B0">
        <w:t>8.</w:t>
      </w:r>
      <w:r w:rsidRPr="004B46B0">
        <w:tab/>
        <w:t xml:space="preserve">Yang, K. </w:t>
      </w:r>
      <w:r w:rsidRPr="004B46B0">
        <w:rPr>
          <w:i/>
          <w:iCs/>
        </w:rPr>
        <w:t>et al.</w:t>
      </w:r>
      <w:r w:rsidRPr="004B46B0">
        <w:t xml:space="preserve"> Surface meltwater runoff on the Greenland ice sheet estimated from remotely sensed supraglacial lake infilling rate. </w:t>
      </w:r>
      <w:r w:rsidRPr="004B46B0">
        <w:rPr>
          <w:i/>
          <w:iCs/>
        </w:rPr>
        <w:t>Remote Sensing of Environment</w:t>
      </w:r>
      <w:r w:rsidRPr="004B46B0">
        <w:t xml:space="preserve"> </w:t>
      </w:r>
      <w:r w:rsidRPr="004B46B0">
        <w:rPr>
          <w:b/>
          <w:bCs/>
        </w:rPr>
        <w:t>234</w:t>
      </w:r>
      <w:r w:rsidRPr="004B46B0">
        <w:t>, 111459 (2019).</w:t>
      </w:r>
    </w:p>
    <w:p w14:paraId="7F296219" w14:textId="77777777" w:rsidR="004B46B0" w:rsidRPr="004B46B0" w:rsidRDefault="004B46B0" w:rsidP="004B46B0">
      <w:pPr>
        <w:pStyle w:val="Bibliography"/>
      </w:pPr>
      <w:r w:rsidRPr="004B46B0">
        <w:lastRenderedPageBreak/>
        <w:t>9.</w:t>
      </w:r>
      <w:r w:rsidRPr="004B46B0">
        <w:tab/>
        <w:t xml:space="preserve">Cooper, M. G. </w:t>
      </w:r>
      <w:r w:rsidRPr="004B46B0">
        <w:rPr>
          <w:i/>
          <w:iCs/>
        </w:rPr>
        <w:t>et al.</w:t>
      </w:r>
      <w:r w:rsidRPr="004B46B0">
        <w:t xml:space="preserve"> First spectral measurements of light attenuation in Greenland Ice Sheet bare ice suggest shallower subsurface radiative heating and ICESat-2 penetration depth in the ablation zone. </w:t>
      </w:r>
      <w:r w:rsidRPr="004B46B0">
        <w:rPr>
          <w:i/>
          <w:iCs/>
        </w:rPr>
        <w:t>The Cryosphere Discussions</w:t>
      </w:r>
      <w:r w:rsidRPr="004B46B0">
        <w:t xml:space="preserve"> (2020) doi:10.5194/tc-2020-53.</w:t>
      </w:r>
    </w:p>
    <w:p w14:paraId="71A5681E" w14:textId="77777777" w:rsidR="004B46B0" w:rsidRPr="004B46B0" w:rsidRDefault="004B46B0" w:rsidP="004B46B0">
      <w:pPr>
        <w:pStyle w:val="Bibliography"/>
      </w:pPr>
      <w:r w:rsidRPr="004B46B0">
        <w:t>10.</w:t>
      </w:r>
      <w:r w:rsidRPr="004B46B0">
        <w:tab/>
        <w:t xml:space="preserve">Liston, G. E., Winther, J.-G., Bruland, O., Elvehøy, H. &amp; Sand, K. Below-surface ice melt on the coastal Antarctic ice sheet. </w:t>
      </w:r>
      <w:r w:rsidRPr="004B46B0">
        <w:rPr>
          <w:i/>
          <w:iCs/>
        </w:rPr>
        <w:t>Journal of Glaciology</w:t>
      </w:r>
      <w:r w:rsidRPr="004B46B0">
        <w:t xml:space="preserve"> </w:t>
      </w:r>
      <w:r w:rsidRPr="004B46B0">
        <w:rPr>
          <w:b/>
          <w:bCs/>
        </w:rPr>
        <w:t>45</w:t>
      </w:r>
      <w:r w:rsidRPr="004B46B0">
        <w:t>, 273–285 (1999).</w:t>
      </w:r>
    </w:p>
    <w:p w14:paraId="71983DA8" w14:textId="77777777" w:rsidR="004B46B0" w:rsidRPr="004B46B0" w:rsidRDefault="004B46B0" w:rsidP="004B46B0">
      <w:pPr>
        <w:pStyle w:val="Bibliography"/>
      </w:pPr>
      <w:r w:rsidRPr="004B46B0">
        <w:t>11.</w:t>
      </w:r>
      <w:r w:rsidRPr="004B46B0">
        <w:tab/>
        <w:t xml:space="preserve">Warren, S. G. &amp; Brandt, R. E. Optical constants of ice from the ultraviolet to the microwave: A revised compilation. </w:t>
      </w:r>
      <w:r w:rsidRPr="004B46B0">
        <w:rPr>
          <w:i/>
          <w:iCs/>
        </w:rPr>
        <w:t>J. Geophys. Res.</w:t>
      </w:r>
      <w:r w:rsidRPr="004B46B0">
        <w:t xml:space="preserve"> </w:t>
      </w:r>
      <w:r w:rsidRPr="004B46B0">
        <w:rPr>
          <w:b/>
          <w:bCs/>
        </w:rPr>
        <w:t>113</w:t>
      </w:r>
      <w:r w:rsidRPr="004B46B0">
        <w:t>, D14220 (2008).</w:t>
      </w:r>
    </w:p>
    <w:p w14:paraId="7882527C" w14:textId="77777777" w:rsidR="004B46B0" w:rsidRPr="004B46B0" w:rsidRDefault="004B46B0" w:rsidP="004B46B0">
      <w:pPr>
        <w:pStyle w:val="Bibliography"/>
      </w:pPr>
      <w:r w:rsidRPr="004B46B0">
        <w:t>12.</w:t>
      </w:r>
      <w:r w:rsidRPr="004B46B0">
        <w:tab/>
        <w:t xml:space="preserve">Jordan, R. </w:t>
      </w:r>
      <w:r w:rsidRPr="004B46B0">
        <w:rPr>
          <w:i/>
          <w:iCs/>
        </w:rPr>
        <w:t>A One-Dimensional Temperature Model For a Snowpack</w:t>
      </w:r>
      <w:r w:rsidRPr="004B46B0">
        <w:t>. http://hdl.handle.net/11681/11677 (1991).</w:t>
      </w:r>
    </w:p>
    <w:p w14:paraId="3AA35403" w14:textId="77777777" w:rsidR="004B46B0" w:rsidRPr="004B46B0" w:rsidRDefault="004B46B0" w:rsidP="004B46B0">
      <w:pPr>
        <w:pStyle w:val="Bibliography"/>
      </w:pPr>
      <w:r w:rsidRPr="004B46B0">
        <w:t>13.</w:t>
      </w:r>
      <w:r w:rsidRPr="004B46B0">
        <w:tab/>
        <w:t xml:space="preserve">Calonne, N. </w:t>
      </w:r>
      <w:r w:rsidRPr="004B46B0">
        <w:rPr>
          <w:i/>
          <w:iCs/>
        </w:rPr>
        <w:t>et al.</w:t>
      </w:r>
      <w:r w:rsidRPr="004B46B0">
        <w:t xml:space="preserve"> Thermal Conductivity of Snow, Firn, and Porous Ice From 3‐D Image‐Based Computations. </w:t>
      </w:r>
      <w:r w:rsidRPr="004B46B0">
        <w:rPr>
          <w:i/>
          <w:iCs/>
        </w:rPr>
        <w:t>Geophys. Res. Lett.</w:t>
      </w:r>
      <w:r w:rsidRPr="004B46B0">
        <w:t xml:space="preserve"> </w:t>
      </w:r>
      <w:r w:rsidRPr="004B46B0">
        <w:rPr>
          <w:b/>
          <w:bCs/>
        </w:rPr>
        <w:t>46</w:t>
      </w:r>
      <w:r w:rsidRPr="004B46B0">
        <w:t>, 13079–13089 (2019).</w:t>
      </w:r>
    </w:p>
    <w:p w14:paraId="26DABF66" w14:textId="77777777" w:rsidR="004B46B0" w:rsidRPr="004B46B0" w:rsidRDefault="004B46B0" w:rsidP="004B46B0">
      <w:pPr>
        <w:pStyle w:val="Bibliography"/>
      </w:pPr>
      <w:r w:rsidRPr="004B46B0">
        <w:t>14.</w:t>
      </w:r>
      <w:r w:rsidRPr="004B46B0">
        <w:tab/>
        <w:t>Anderson, E. A. A  point energy and mass balance model of a snow cover. (1976).</w:t>
      </w:r>
    </w:p>
    <w:p w14:paraId="30ED6A65" w14:textId="77777777" w:rsidR="004B46B0" w:rsidRPr="004B46B0" w:rsidRDefault="004B46B0" w:rsidP="004B46B0">
      <w:pPr>
        <w:pStyle w:val="Bibliography"/>
      </w:pPr>
      <w:r w:rsidRPr="004B46B0">
        <w:t>15.</w:t>
      </w:r>
      <w:r w:rsidRPr="004B46B0">
        <w:tab/>
        <w:t xml:space="preserve">Murray, F. W. On the Computation of Saturation Vapor Pressure. </w:t>
      </w:r>
      <w:r w:rsidRPr="004B46B0">
        <w:rPr>
          <w:i/>
          <w:iCs/>
        </w:rPr>
        <w:t>Journal of Applied Meteorology</w:t>
      </w:r>
      <w:r w:rsidRPr="004B46B0">
        <w:t xml:space="preserve"> </w:t>
      </w:r>
      <w:r w:rsidRPr="004B46B0">
        <w:rPr>
          <w:b/>
          <w:bCs/>
        </w:rPr>
        <w:t>6</w:t>
      </w:r>
      <w:r w:rsidRPr="004B46B0">
        <w:t>, 203–204 (1967).</w:t>
      </w:r>
    </w:p>
    <w:p w14:paraId="1F178354" w14:textId="77777777" w:rsidR="004B46B0" w:rsidRPr="004B46B0" w:rsidRDefault="004B46B0" w:rsidP="004B46B0">
      <w:pPr>
        <w:pStyle w:val="Bibliography"/>
      </w:pPr>
      <w:r w:rsidRPr="004B46B0">
        <w:t>16.</w:t>
      </w:r>
      <w:r w:rsidRPr="004B46B0">
        <w:tab/>
        <w:t xml:space="preserve">Pettersson, R., Jansson, P. &amp; Blatter, H. Spatial variability in water content at the cold-temperate transition surface of the polythermal Storglaciären, Sweden. </w:t>
      </w:r>
      <w:r w:rsidRPr="004B46B0">
        <w:rPr>
          <w:i/>
          <w:iCs/>
        </w:rPr>
        <w:t>J. Geophys. Res.</w:t>
      </w:r>
      <w:r w:rsidRPr="004B46B0">
        <w:t xml:space="preserve"> </w:t>
      </w:r>
      <w:r w:rsidRPr="004B46B0">
        <w:rPr>
          <w:b/>
          <w:bCs/>
        </w:rPr>
        <w:t>109</w:t>
      </w:r>
      <w:r w:rsidRPr="004B46B0">
        <w:t>, F02009 (2004).</w:t>
      </w:r>
    </w:p>
    <w:p w14:paraId="6415F0CD" w14:textId="77777777" w:rsidR="004B46B0" w:rsidRPr="004B46B0" w:rsidRDefault="004B46B0" w:rsidP="004B46B0">
      <w:pPr>
        <w:pStyle w:val="Bibliography"/>
      </w:pPr>
      <w:r w:rsidRPr="004B46B0">
        <w:t>17.</w:t>
      </w:r>
      <w:r w:rsidRPr="004B46B0">
        <w:tab/>
        <w:t xml:space="preserve">Schlatter, T. W. The Local Surface Energy Balance and Subsurface Temperature Regime in Antarctica. </w:t>
      </w:r>
      <w:r w:rsidRPr="004B46B0">
        <w:rPr>
          <w:i/>
          <w:iCs/>
        </w:rPr>
        <w:t>J. Appl. Meteor.</w:t>
      </w:r>
      <w:r w:rsidRPr="004B46B0">
        <w:t xml:space="preserve"> </w:t>
      </w:r>
      <w:r w:rsidRPr="004B46B0">
        <w:rPr>
          <w:b/>
          <w:bCs/>
        </w:rPr>
        <w:t>11</w:t>
      </w:r>
      <w:r w:rsidRPr="004B46B0">
        <w:t>, 1048–1062 (1972).</w:t>
      </w:r>
    </w:p>
    <w:p w14:paraId="38C3C6A9" w14:textId="77777777" w:rsidR="004B46B0" w:rsidRPr="004B46B0" w:rsidRDefault="004B46B0" w:rsidP="004B46B0">
      <w:pPr>
        <w:pStyle w:val="Bibliography"/>
      </w:pPr>
      <w:r w:rsidRPr="004B46B0">
        <w:t>18.</w:t>
      </w:r>
      <w:r w:rsidRPr="004B46B0">
        <w:tab/>
        <w:t xml:space="preserve">Mätzler, C. </w:t>
      </w:r>
      <w:r w:rsidRPr="004B46B0">
        <w:rPr>
          <w:i/>
          <w:iCs/>
        </w:rPr>
        <w:t>MATLAB Functions for Mie Scattering and Absorption, Version 2</w:t>
      </w:r>
      <w:r w:rsidRPr="004B46B0">
        <w:t>. 24 https://boris.unibe.ch/146550/ (2002) doi:10.7892/BORIS.146550.</w:t>
      </w:r>
    </w:p>
    <w:p w14:paraId="49A9013C" w14:textId="77777777" w:rsidR="004B46B0" w:rsidRPr="004B46B0" w:rsidRDefault="004B46B0" w:rsidP="004B46B0">
      <w:pPr>
        <w:pStyle w:val="Bibliography"/>
      </w:pPr>
      <w:r w:rsidRPr="004B46B0">
        <w:lastRenderedPageBreak/>
        <w:t>19.</w:t>
      </w:r>
      <w:r w:rsidRPr="004B46B0">
        <w:tab/>
        <w:t xml:space="preserve">Bohren, C. F. &amp; Huffman, D. R. </w:t>
      </w:r>
      <w:r w:rsidRPr="004B46B0">
        <w:rPr>
          <w:i/>
          <w:iCs/>
        </w:rPr>
        <w:t>Absorption and Scattering of Light by Small Particles</w:t>
      </w:r>
      <w:r w:rsidRPr="004B46B0">
        <w:t>. (John Wiley &amp; Sons, Ltd, 2007).</w:t>
      </w:r>
    </w:p>
    <w:p w14:paraId="73A12B58" w14:textId="77777777" w:rsidR="004B46B0" w:rsidRPr="004B46B0" w:rsidRDefault="004B46B0" w:rsidP="004B46B0">
      <w:pPr>
        <w:pStyle w:val="Bibliography"/>
      </w:pPr>
      <w:r w:rsidRPr="004B46B0">
        <w:t>20.</w:t>
      </w:r>
      <w:r w:rsidRPr="004B46B0">
        <w:tab/>
        <w:t xml:space="preserve">Brandt, R. E. &amp; Warren, S. G. Solar-heating rates and temperature profiles in Antarctic snow and ice. </w:t>
      </w:r>
      <w:r w:rsidRPr="004B46B0">
        <w:rPr>
          <w:i/>
          <w:iCs/>
        </w:rPr>
        <w:t>Journal of Glaciology</w:t>
      </w:r>
      <w:r w:rsidRPr="004B46B0">
        <w:t xml:space="preserve"> </w:t>
      </w:r>
      <w:r w:rsidRPr="004B46B0">
        <w:rPr>
          <w:b/>
          <w:bCs/>
        </w:rPr>
        <w:t>39</w:t>
      </w:r>
      <w:r w:rsidRPr="004B46B0">
        <w:t>, 99–110 (1993).</w:t>
      </w:r>
    </w:p>
    <w:p w14:paraId="0908B2ED" w14:textId="77777777" w:rsidR="004B46B0" w:rsidRPr="004B46B0" w:rsidRDefault="004B46B0" w:rsidP="004B46B0">
      <w:pPr>
        <w:pStyle w:val="Bibliography"/>
      </w:pPr>
      <w:r w:rsidRPr="004B46B0">
        <w:t>21.</w:t>
      </w:r>
      <w:r w:rsidRPr="004B46B0">
        <w:tab/>
        <w:t xml:space="preserve">Warren, S. G., Brandt, R. E. &amp; Grenfell, T. C. Visible and near-ultraviolet absorption spectrum of ice from transmission of solar radiation into snow. </w:t>
      </w:r>
      <w:r w:rsidRPr="004B46B0">
        <w:rPr>
          <w:i/>
          <w:iCs/>
        </w:rPr>
        <w:t>Appl. Opt., AO</w:t>
      </w:r>
      <w:r w:rsidRPr="004B46B0">
        <w:t xml:space="preserve"> </w:t>
      </w:r>
      <w:r w:rsidRPr="004B46B0">
        <w:rPr>
          <w:b/>
          <w:bCs/>
        </w:rPr>
        <w:t>45</w:t>
      </w:r>
      <w:r w:rsidRPr="004B46B0">
        <w:t>, 5320–5334 (2006).</w:t>
      </w:r>
    </w:p>
    <w:p w14:paraId="2DC4ED90" w14:textId="77777777" w:rsidR="004B46B0" w:rsidRPr="004B46B0" w:rsidRDefault="004B46B0" w:rsidP="004B46B0">
      <w:pPr>
        <w:pStyle w:val="Bibliography"/>
      </w:pPr>
      <w:r w:rsidRPr="004B46B0">
        <w:t>22.</w:t>
      </w:r>
      <w:r w:rsidRPr="004B46B0">
        <w:tab/>
        <w:t xml:space="preserve">Patankar, S. V. </w:t>
      </w:r>
      <w:r w:rsidRPr="004B46B0">
        <w:rPr>
          <w:i/>
          <w:iCs/>
        </w:rPr>
        <w:t>Numerical Heat Transfer and Fluid Flow</w:t>
      </w:r>
      <w:r w:rsidRPr="004B46B0">
        <w:t>. (Hemisphere Publishing Corporation, 1980).</w:t>
      </w:r>
    </w:p>
    <w:p w14:paraId="76DA8161" w14:textId="77777777" w:rsidR="004B46B0" w:rsidRPr="004B46B0" w:rsidRDefault="004B46B0" w:rsidP="004B46B0">
      <w:pPr>
        <w:pStyle w:val="Bibliography"/>
      </w:pPr>
      <w:r w:rsidRPr="004B46B0">
        <w:t>23.</w:t>
      </w:r>
      <w:r w:rsidRPr="004B46B0">
        <w:tab/>
        <w:t xml:space="preserve">Hills, B. H. </w:t>
      </w:r>
      <w:r w:rsidRPr="004B46B0">
        <w:rPr>
          <w:i/>
          <w:iCs/>
        </w:rPr>
        <w:t>et al.</w:t>
      </w:r>
      <w:r w:rsidRPr="004B46B0">
        <w:t xml:space="preserve"> Processes influencing heat transfer in the near-surface ice of Greenland’s ablation zone. </w:t>
      </w:r>
      <w:r w:rsidRPr="004B46B0">
        <w:rPr>
          <w:i/>
          <w:iCs/>
        </w:rPr>
        <w:t>The Cryosphere</w:t>
      </w:r>
      <w:r w:rsidRPr="004B46B0">
        <w:t xml:space="preserve"> </w:t>
      </w:r>
      <w:r w:rsidRPr="004B46B0">
        <w:rPr>
          <w:b/>
          <w:bCs/>
        </w:rPr>
        <w:t>12</w:t>
      </w:r>
      <w:r w:rsidRPr="004B46B0">
        <w:t>, 3215–3227 (2018).</w:t>
      </w:r>
    </w:p>
    <w:p w14:paraId="37A25ECC" w14:textId="77777777" w:rsidR="004B46B0" w:rsidRPr="004B46B0" w:rsidRDefault="004B46B0" w:rsidP="004B46B0">
      <w:pPr>
        <w:pStyle w:val="Bibliography"/>
      </w:pPr>
      <w:r w:rsidRPr="004B46B0">
        <w:t>24.</w:t>
      </w:r>
      <w:r w:rsidRPr="004B46B0">
        <w:tab/>
        <w:t xml:space="preserve">Clark, M. </w:t>
      </w:r>
      <w:r w:rsidRPr="004B46B0">
        <w:rPr>
          <w:i/>
          <w:iCs/>
        </w:rPr>
        <w:t>et al.</w:t>
      </w:r>
      <w:r w:rsidRPr="004B46B0">
        <w:t xml:space="preserve"> </w:t>
      </w:r>
      <w:r w:rsidRPr="004B46B0">
        <w:rPr>
          <w:i/>
          <w:iCs/>
        </w:rPr>
        <w:t>The structure for unifying multiple modeling alternatives (SUMMA), Version 1.0: Technical Description</w:t>
      </w:r>
      <w:r w:rsidRPr="004B46B0">
        <w:t>. 668 KB http://opensky.ucar.edu/islandora/object/technotes:526 (2015) doi:10.5065/D6WQ01TD.</w:t>
      </w:r>
    </w:p>
    <w:p w14:paraId="6B1B9BFD" w14:textId="77777777" w:rsidR="004B46B0" w:rsidRPr="004B46B0" w:rsidRDefault="004B46B0" w:rsidP="004B46B0">
      <w:pPr>
        <w:pStyle w:val="Bibliography"/>
      </w:pPr>
      <w:r w:rsidRPr="004B46B0">
        <w:t>25.</w:t>
      </w:r>
      <w:r w:rsidRPr="004B46B0">
        <w:tab/>
        <w:t xml:space="preserve">Langen, P. L., Fausto, R. S., Vandecrux, B., Mottram, R. H. &amp; Box, J. E. Liquid Water Flow and Retention on the Greenland Ice Sheet in the Regional Climate Model HIRHAM5: Local and Large-Scale Impacts. </w:t>
      </w:r>
      <w:r w:rsidRPr="004B46B0">
        <w:rPr>
          <w:i/>
          <w:iCs/>
        </w:rPr>
        <w:t>Front. Earth Sci.</w:t>
      </w:r>
      <w:r w:rsidRPr="004B46B0">
        <w:t xml:space="preserve"> </w:t>
      </w:r>
      <w:r w:rsidRPr="004B46B0">
        <w:rPr>
          <w:b/>
          <w:bCs/>
        </w:rPr>
        <w:t>4</w:t>
      </w:r>
      <w:r w:rsidRPr="004B46B0">
        <w:t>, (2017).</w:t>
      </w:r>
    </w:p>
    <w:p w14:paraId="0CA3AE4B" w14:textId="6C354DAC" w:rsidR="00970A00" w:rsidRPr="00970A00" w:rsidRDefault="00970A00" w:rsidP="00DD6C7E">
      <w:pPr>
        <w:pStyle w:val="Abstract"/>
      </w:pPr>
      <w:r>
        <w:fldChar w:fldCharType="end"/>
      </w:r>
    </w:p>
    <w:p w14:paraId="5653E8D0" w14:textId="6C17539E" w:rsidR="00DD6C7E" w:rsidRDefault="00DD6C7E" w:rsidP="00DD6C7E"/>
    <w:p w14:paraId="55EFCF5B" w14:textId="5720498B" w:rsidR="00DD6C7E" w:rsidRPr="00EB0B46" w:rsidRDefault="00DD6C7E" w:rsidP="00DD6C7E"/>
    <w:sectPr w:rsidR="00DD6C7E" w:rsidRPr="00EB0B46" w:rsidSect="00C65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4D"/>
    <w:rsid w:val="0000042C"/>
    <w:rsid w:val="00000B90"/>
    <w:rsid w:val="0001391B"/>
    <w:rsid w:val="000320A8"/>
    <w:rsid w:val="00050087"/>
    <w:rsid w:val="00050237"/>
    <w:rsid w:val="000505F5"/>
    <w:rsid w:val="000551BD"/>
    <w:rsid w:val="0006217B"/>
    <w:rsid w:val="00062E38"/>
    <w:rsid w:val="000673F8"/>
    <w:rsid w:val="00073483"/>
    <w:rsid w:val="00075E84"/>
    <w:rsid w:val="000844A9"/>
    <w:rsid w:val="00091C76"/>
    <w:rsid w:val="000958FB"/>
    <w:rsid w:val="00096ADA"/>
    <w:rsid w:val="000B114A"/>
    <w:rsid w:val="000B2724"/>
    <w:rsid w:val="000C04A1"/>
    <w:rsid w:val="000E75DB"/>
    <w:rsid w:val="0010133A"/>
    <w:rsid w:val="00102AAC"/>
    <w:rsid w:val="00110BE0"/>
    <w:rsid w:val="00126AA0"/>
    <w:rsid w:val="00133A1F"/>
    <w:rsid w:val="00141F32"/>
    <w:rsid w:val="00142882"/>
    <w:rsid w:val="00143E3C"/>
    <w:rsid w:val="00145D25"/>
    <w:rsid w:val="00147D3E"/>
    <w:rsid w:val="0015246B"/>
    <w:rsid w:val="0016226D"/>
    <w:rsid w:val="0016443B"/>
    <w:rsid w:val="00175695"/>
    <w:rsid w:val="00177C3B"/>
    <w:rsid w:val="0018354B"/>
    <w:rsid w:val="001872FC"/>
    <w:rsid w:val="0019081F"/>
    <w:rsid w:val="00191855"/>
    <w:rsid w:val="0019451E"/>
    <w:rsid w:val="00194AA0"/>
    <w:rsid w:val="001A4456"/>
    <w:rsid w:val="001B2306"/>
    <w:rsid w:val="001C4601"/>
    <w:rsid w:val="001D7DEA"/>
    <w:rsid w:val="001E0602"/>
    <w:rsid w:val="001E6C49"/>
    <w:rsid w:val="001E7F42"/>
    <w:rsid w:val="001F4B18"/>
    <w:rsid w:val="001F563C"/>
    <w:rsid w:val="00200FDF"/>
    <w:rsid w:val="00202492"/>
    <w:rsid w:val="002034BC"/>
    <w:rsid w:val="00204705"/>
    <w:rsid w:val="00207FC9"/>
    <w:rsid w:val="00216A1F"/>
    <w:rsid w:val="00216CF8"/>
    <w:rsid w:val="002216F2"/>
    <w:rsid w:val="00222998"/>
    <w:rsid w:val="00234B3E"/>
    <w:rsid w:val="00235F88"/>
    <w:rsid w:val="00262441"/>
    <w:rsid w:val="00263CB0"/>
    <w:rsid w:val="00264531"/>
    <w:rsid w:val="00264973"/>
    <w:rsid w:val="00265671"/>
    <w:rsid w:val="00271C50"/>
    <w:rsid w:val="00281915"/>
    <w:rsid w:val="00282978"/>
    <w:rsid w:val="00285113"/>
    <w:rsid w:val="0028555C"/>
    <w:rsid w:val="002944BE"/>
    <w:rsid w:val="00294603"/>
    <w:rsid w:val="002B456D"/>
    <w:rsid w:val="002D19D0"/>
    <w:rsid w:val="002D3F6E"/>
    <w:rsid w:val="002E471B"/>
    <w:rsid w:val="002E6136"/>
    <w:rsid w:val="002F4054"/>
    <w:rsid w:val="002F4F46"/>
    <w:rsid w:val="002F5673"/>
    <w:rsid w:val="002F6660"/>
    <w:rsid w:val="00304A97"/>
    <w:rsid w:val="003244F2"/>
    <w:rsid w:val="0032483E"/>
    <w:rsid w:val="0035010C"/>
    <w:rsid w:val="00366C46"/>
    <w:rsid w:val="003735BD"/>
    <w:rsid w:val="00375A37"/>
    <w:rsid w:val="00382F0F"/>
    <w:rsid w:val="00383671"/>
    <w:rsid w:val="00392AAB"/>
    <w:rsid w:val="003947AB"/>
    <w:rsid w:val="003B0D55"/>
    <w:rsid w:val="003B1350"/>
    <w:rsid w:val="003B5BBB"/>
    <w:rsid w:val="003B6BC3"/>
    <w:rsid w:val="003B7B09"/>
    <w:rsid w:val="003C2C6E"/>
    <w:rsid w:val="003C48D3"/>
    <w:rsid w:val="003D2E15"/>
    <w:rsid w:val="003E246E"/>
    <w:rsid w:val="003E6FC9"/>
    <w:rsid w:val="003F1CFC"/>
    <w:rsid w:val="00413E30"/>
    <w:rsid w:val="00416CF0"/>
    <w:rsid w:val="00423512"/>
    <w:rsid w:val="00425B7D"/>
    <w:rsid w:val="00426771"/>
    <w:rsid w:val="00432985"/>
    <w:rsid w:val="00433C95"/>
    <w:rsid w:val="0043497B"/>
    <w:rsid w:val="004372DE"/>
    <w:rsid w:val="0043783F"/>
    <w:rsid w:val="00442D59"/>
    <w:rsid w:val="004473B4"/>
    <w:rsid w:val="004517AE"/>
    <w:rsid w:val="004604DD"/>
    <w:rsid w:val="00463159"/>
    <w:rsid w:val="00471FF5"/>
    <w:rsid w:val="00473A28"/>
    <w:rsid w:val="00485B42"/>
    <w:rsid w:val="00491F2E"/>
    <w:rsid w:val="00495479"/>
    <w:rsid w:val="004A1BC0"/>
    <w:rsid w:val="004A1D76"/>
    <w:rsid w:val="004A72F9"/>
    <w:rsid w:val="004A7580"/>
    <w:rsid w:val="004B46B0"/>
    <w:rsid w:val="004B7F7B"/>
    <w:rsid w:val="004C134F"/>
    <w:rsid w:val="004C13D1"/>
    <w:rsid w:val="004C2012"/>
    <w:rsid w:val="004C4F54"/>
    <w:rsid w:val="004D1ACA"/>
    <w:rsid w:val="004F3145"/>
    <w:rsid w:val="004F7A81"/>
    <w:rsid w:val="005015EC"/>
    <w:rsid w:val="00501630"/>
    <w:rsid w:val="00511A3C"/>
    <w:rsid w:val="005150C4"/>
    <w:rsid w:val="005201BF"/>
    <w:rsid w:val="00520B08"/>
    <w:rsid w:val="00522245"/>
    <w:rsid w:val="005259AE"/>
    <w:rsid w:val="00532B6A"/>
    <w:rsid w:val="00534B5D"/>
    <w:rsid w:val="00542D0D"/>
    <w:rsid w:val="00544068"/>
    <w:rsid w:val="00551622"/>
    <w:rsid w:val="005571DE"/>
    <w:rsid w:val="005636B9"/>
    <w:rsid w:val="005641FD"/>
    <w:rsid w:val="005711BB"/>
    <w:rsid w:val="005803F6"/>
    <w:rsid w:val="00583FA5"/>
    <w:rsid w:val="00585B4A"/>
    <w:rsid w:val="005A1AA6"/>
    <w:rsid w:val="005A577B"/>
    <w:rsid w:val="005B0A29"/>
    <w:rsid w:val="005C23FE"/>
    <w:rsid w:val="005C52D0"/>
    <w:rsid w:val="005D19A9"/>
    <w:rsid w:val="005D1F40"/>
    <w:rsid w:val="005E26B1"/>
    <w:rsid w:val="005F0842"/>
    <w:rsid w:val="00601F9E"/>
    <w:rsid w:val="00602121"/>
    <w:rsid w:val="006219D2"/>
    <w:rsid w:val="00634501"/>
    <w:rsid w:val="00635387"/>
    <w:rsid w:val="006379E3"/>
    <w:rsid w:val="0064568C"/>
    <w:rsid w:val="00646CD0"/>
    <w:rsid w:val="0065027D"/>
    <w:rsid w:val="006678F7"/>
    <w:rsid w:val="00672B09"/>
    <w:rsid w:val="00685C63"/>
    <w:rsid w:val="00695530"/>
    <w:rsid w:val="00696CE8"/>
    <w:rsid w:val="006A050D"/>
    <w:rsid w:val="006A17B6"/>
    <w:rsid w:val="006A38EB"/>
    <w:rsid w:val="006A3CE2"/>
    <w:rsid w:val="006A45B9"/>
    <w:rsid w:val="006B4B46"/>
    <w:rsid w:val="006B5D5F"/>
    <w:rsid w:val="006D0C75"/>
    <w:rsid w:val="006D291D"/>
    <w:rsid w:val="006E1C44"/>
    <w:rsid w:val="006F4D80"/>
    <w:rsid w:val="00700F73"/>
    <w:rsid w:val="0070450D"/>
    <w:rsid w:val="0071449B"/>
    <w:rsid w:val="00735CA3"/>
    <w:rsid w:val="00736D0D"/>
    <w:rsid w:val="00740DB5"/>
    <w:rsid w:val="00741B89"/>
    <w:rsid w:val="00747B1D"/>
    <w:rsid w:val="00752C6E"/>
    <w:rsid w:val="00757C7A"/>
    <w:rsid w:val="00757EA8"/>
    <w:rsid w:val="00761298"/>
    <w:rsid w:val="0076520B"/>
    <w:rsid w:val="00771C8C"/>
    <w:rsid w:val="00773E43"/>
    <w:rsid w:val="00775209"/>
    <w:rsid w:val="007863F1"/>
    <w:rsid w:val="00794B9E"/>
    <w:rsid w:val="007A59B7"/>
    <w:rsid w:val="007A668A"/>
    <w:rsid w:val="007B67AE"/>
    <w:rsid w:val="007D6FAA"/>
    <w:rsid w:val="007E39D1"/>
    <w:rsid w:val="007F356A"/>
    <w:rsid w:val="007F462B"/>
    <w:rsid w:val="00800253"/>
    <w:rsid w:val="00802D9A"/>
    <w:rsid w:val="008039E1"/>
    <w:rsid w:val="008071AF"/>
    <w:rsid w:val="00817233"/>
    <w:rsid w:val="008225D9"/>
    <w:rsid w:val="0083202E"/>
    <w:rsid w:val="00841843"/>
    <w:rsid w:val="0087175A"/>
    <w:rsid w:val="00873431"/>
    <w:rsid w:val="00875F13"/>
    <w:rsid w:val="00876CF8"/>
    <w:rsid w:val="00894648"/>
    <w:rsid w:val="008A3596"/>
    <w:rsid w:val="008C33D5"/>
    <w:rsid w:val="008C65DA"/>
    <w:rsid w:val="008D3C4B"/>
    <w:rsid w:val="008D7E86"/>
    <w:rsid w:val="008F599B"/>
    <w:rsid w:val="009001DD"/>
    <w:rsid w:val="00902D49"/>
    <w:rsid w:val="0091647C"/>
    <w:rsid w:val="00926561"/>
    <w:rsid w:val="0093184A"/>
    <w:rsid w:val="009346B6"/>
    <w:rsid w:val="0095498D"/>
    <w:rsid w:val="00970A00"/>
    <w:rsid w:val="00974896"/>
    <w:rsid w:val="009807D8"/>
    <w:rsid w:val="0099753B"/>
    <w:rsid w:val="009A3528"/>
    <w:rsid w:val="009A5574"/>
    <w:rsid w:val="009B22A1"/>
    <w:rsid w:val="009B246D"/>
    <w:rsid w:val="009B42C0"/>
    <w:rsid w:val="009B6A66"/>
    <w:rsid w:val="009C2DC7"/>
    <w:rsid w:val="009C41CA"/>
    <w:rsid w:val="009C4307"/>
    <w:rsid w:val="009E1C4D"/>
    <w:rsid w:val="009E40DA"/>
    <w:rsid w:val="009F1E33"/>
    <w:rsid w:val="009F4C3A"/>
    <w:rsid w:val="009F51D0"/>
    <w:rsid w:val="009F5A80"/>
    <w:rsid w:val="009F5B33"/>
    <w:rsid w:val="009F7B22"/>
    <w:rsid w:val="00A10199"/>
    <w:rsid w:val="00A205A3"/>
    <w:rsid w:val="00A23E7B"/>
    <w:rsid w:val="00A36C60"/>
    <w:rsid w:val="00A45281"/>
    <w:rsid w:val="00A55971"/>
    <w:rsid w:val="00A62083"/>
    <w:rsid w:val="00A629CA"/>
    <w:rsid w:val="00A64F6D"/>
    <w:rsid w:val="00A70ACB"/>
    <w:rsid w:val="00A72EA1"/>
    <w:rsid w:val="00A7713A"/>
    <w:rsid w:val="00AA3A85"/>
    <w:rsid w:val="00AB6CCC"/>
    <w:rsid w:val="00AC0CA2"/>
    <w:rsid w:val="00AC6229"/>
    <w:rsid w:val="00AE6A9B"/>
    <w:rsid w:val="00AE7B30"/>
    <w:rsid w:val="00AF7059"/>
    <w:rsid w:val="00B17B80"/>
    <w:rsid w:val="00B17EEE"/>
    <w:rsid w:val="00B20AEF"/>
    <w:rsid w:val="00B25D3A"/>
    <w:rsid w:val="00B278A2"/>
    <w:rsid w:val="00B574FF"/>
    <w:rsid w:val="00B61968"/>
    <w:rsid w:val="00B85213"/>
    <w:rsid w:val="00B8563E"/>
    <w:rsid w:val="00B90488"/>
    <w:rsid w:val="00B9079C"/>
    <w:rsid w:val="00B92FBA"/>
    <w:rsid w:val="00B93210"/>
    <w:rsid w:val="00B936B6"/>
    <w:rsid w:val="00B9460A"/>
    <w:rsid w:val="00B96B4C"/>
    <w:rsid w:val="00BA1B54"/>
    <w:rsid w:val="00BA2B5A"/>
    <w:rsid w:val="00BA7299"/>
    <w:rsid w:val="00BB4157"/>
    <w:rsid w:val="00BB5112"/>
    <w:rsid w:val="00BC61DA"/>
    <w:rsid w:val="00BF586D"/>
    <w:rsid w:val="00C07563"/>
    <w:rsid w:val="00C14CA1"/>
    <w:rsid w:val="00C21B8E"/>
    <w:rsid w:val="00C24AB9"/>
    <w:rsid w:val="00C25207"/>
    <w:rsid w:val="00C2625F"/>
    <w:rsid w:val="00C40A86"/>
    <w:rsid w:val="00C40ABB"/>
    <w:rsid w:val="00C606CC"/>
    <w:rsid w:val="00C60A67"/>
    <w:rsid w:val="00C6104F"/>
    <w:rsid w:val="00C64A1D"/>
    <w:rsid w:val="00C65BA8"/>
    <w:rsid w:val="00C72203"/>
    <w:rsid w:val="00C7476E"/>
    <w:rsid w:val="00C826EC"/>
    <w:rsid w:val="00C82A00"/>
    <w:rsid w:val="00C83797"/>
    <w:rsid w:val="00C86E5E"/>
    <w:rsid w:val="00C878CE"/>
    <w:rsid w:val="00CA3F00"/>
    <w:rsid w:val="00CB3FEA"/>
    <w:rsid w:val="00CC34BE"/>
    <w:rsid w:val="00CD0D46"/>
    <w:rsid w:val="00CD26F9"/>
    <w:rsid w:val="00CE0845"/>
    <w:rsid w:val="00CF0EAB"/>
    <w:rsid w:val="00CF1D9B"/>
    <w:rsid w:val="00CF3402"/>
    <w:rsid w:val="00CF38A2"/>
    <w:rsid w:val="00CF666E"/>
    <w:rsid w:val="00D04A1D"/>
    <w:rsid w:val="00D15BC6"/>
    <w:rsid w:val="00D164FF"/>
    <w:rsid w:val="00D2173B"/>
    <w:rsid w:val="00D25170"/>
    <w:rsid w:val="00D27448"/>
    <w:rsid w:val="00D32162"/>
    <w:rsid w:val="00D5404E"/>
    <w:rsid w:val="00D64923"/>
    <w:rsid w:val="00D705FF"/>
    <w:rsid w:val="00D82CA2"/>
    <w:rsid w:val="00D9339E"/>
    <w:rsid w:val="00D95F62"/>
    <w:rsid w:val="00D968A7"/>
    <w:rsid w:val="00DA36AB"/>
    <w:rsid w:val="00DB1014"/>
    <w:rsid w:val="00DB4A5B"/>
    <w:rsid w:val="00DD6C7E"/>
    <w:rsid w:val="00DD7113"/>
    <w:rsid w:val="00DD7B49"/>
    <w:rsid w:val="00DF4A52"/>
    <w:rsid w:val="00DF5D94"/>
    <w:rsid w:val="00E076D8"/>
    <w:rsid w:val="00E16543"/>
    <w:rsid w:val="00E244A6"/>
    <w:rsid w:val="00E24C74"/>
    <w:rsid w:val="00E257E2"/>
    <w:rsid w:val="00E32A4D"/>
    <w:rsid w:val="00E3697E"/>
    <w:rsid w:val="00E418E5"/>
    <w:rsid w:val="00E47876"/>
    <w:rsid w:val="00E50449"/>
    <w:rsid w:val="00E60288"/>
    <w:rsid w:val="00E70D79"/>
    <w:rsid w:val="00E82F1E"/>
    <w:rsid w:val="00E83561"/>
    <w:rsid w:val="00E90B07"/>
    <w:rsid w:val="00E92843"/>
    <w:rsid w:val="00E92FC7"/>
    <w:rsid w:val="00E96A8B"/>
    <w:rsid w:val="00EB0B46"/>
    <w:rsid w:val="00EC6714"/>
    <w:rsid w:val="00EC764D"/>
    <w:rsid w:val="00ED1A22"/>
    <w:rsid w:val="00ED34EB"/>
    <w:rsid w:val="00EF6219"/>
    <w:rsid w:val="00EF6CB3"/>
    <w:rsid w:val="00F0484D"/>
    <w:rsid w:val="00F13B87"/>
    <w:rsid w:val="00F17FE8"/>
    <w:rsid w:val="00F25271"/>
    <w:rsid w:val="00F277F7"/>
    <w:rsid w:val="00F377EA"/>
    <w:rsid w:val="00F442F2"/>
    <w:rsid w:val="00F45D32"/>
    <w:rsid w:val="00F515D4"/>
    <w:rsid w:val="00F57193"/>
    <w:rsid w:val="00F6715E"/>
    <w:rsid w:val="00F77543"/>
    <w:rsid w:val="00FA14C7"/>
    <w:rsid w:val="00FA49A4"/>
    <w:rsid w:val="00FC4A54"/>
    <w:rsid w:val="00FC6EC6"/>
    <w:rsid w:val="00FD1F89"/>
    <w:rsid w:val="00FD25FD"/>
    <w:rsid w:val="00FE0941"/>
    <w:rsid w:val="00FE6D92"/>
    <w:rsid w:val="00FF1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6867A0"/>
  <w15:chartTrackingRefBased/>
  <w15:docId w15:val="{2C1CEA67-7BBC-5743-A2FC-30A58324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B3E"/>
    <w:pPr>
      <w:spacing w:before="120"/>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econdary">
    <w:name w:val="Heading-Secondary"/>
    <w:basedOn w:val="Heading-Main"/>
    <w:qFormat/>
    <w:rsid w:val="009E1C4D"/>
    <w:pPr>
      <w:ind w:left="720"/>
    </w:pPr>
    <w:rPr>
      <w:b w:val="0"/>
    </w:rPr>
  </w:style>
  <w:style w:type="paragraph" w:customStyle="1" w:styleId="Text">
    <w:name w:val="Text"/>
    <w:basedOn w:val="Normal"/>
    <w:rsid w:val="009E1C4D"/>
    <w:pPr>
      <w:ind w:firstLine="720"/>
    </w:pPr>
    <w:rPr>
      <w:rFonts w:eastAsia="Times New Roman"/>
    </w:rPr>
  </w:style>
  <w:style w:type="paragraph" w:customStyle="1" w:styleId="Heading-Main">
    <w:name w:val="Heading-Main"/>
    <w:basedOn w:val="Normal"/>
    <w:rsid w:val="009E1C4D"/>
    <w:pPr>
      <w:keepNext/>
      <w:spacing w:before="240" w:after="120"/>
      <w:outlineLvl w:val="0"/>
    </w:pPr>
    <w:rPr>
      <w:rFonts w:eastAsia="Times New Roman"/>
      <w:b/>
      <w:bCs/>
      <w:kern w:val="28"/>
    </w:rPr>
  </w:style>
  <w:style w:type="paragraph" w:styleId="BalloonText">
    <w:name w:val="Balloon Text"/>
    <w:basedOn w:val="Normal"/>
    <w:link w:val="BalloonTextChar"/>
    <w:uiPriority w:val="99"/>
    <w:semiHidden/>
    <w:unhideWhenUsed/>
    <w:rsid w:val="00C65BA8"/>
    <w:rPr>
      <w:sz w:val="18"/>
      <w:szCs w:val="18"/>
    </w:rPr>
  </w:style>
  <w:style w:type="character" w:customStyle="1" w:styleId="BalloonTextChar">
    <w:name w:val="Balloon Text Char"/>
    <w:basedOn w:val="DefaultParagraphFont"/>
    <w:link w:val="BalloonText"/>
    <w:uiPriority w:val="99"/>
    <w:semiHidden/>
    <w:rsid w:val="00C65BA8"/>
    <w:rPr>
      <w:rFonts w:ascii="Times New Roman" w:hAnsi="Times New Roman" w:cs="Times New Roman"/>
      <w:sz w:val="18"/>
      <w:szCs w:val="18"/>
    </w:rPr>
  </w:style>
  <w:style w:type="table" w:styleId="TableGrid">
    <w:name w:val="Table Grid"/>
    <w:basedOn w:val="TableNormal"/>
    <w:uiPriority w:val="39"/>
    <w:rsid w:val="00C65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4B9E"/>
    <w:pPr>
      <w:spacing w:before="100" w:beforeAutospacing="1" w:after="100" w:afterAutospacing="1"/>
    </w:pPr>
    <w:rPr>
      <w:rFonts w:eastAsia="Times New Roman"/>
    </w:rPr>
  </w:style>
  <w:style w:type="paragraph" w:styleId="Caption">
    <w:name w:val="caption"/>
    <w:basedOn w:val="Normal"/>
    <w:next w:val="Normal"/>
    <w:uiPriority w:val="35"/>
    <w:unhideWhenUsed/>
    <w:qFormat/>
    <w:rsid w:val="0006217B"/>
    <w:pPr>
      <w:spacing w:after="200"/>
      <w:jc w:val="both"/>
    </w:pPr>
    <w:rPr>
      <w:iCs/>
      <w:color w:val="000000" w:themeColor="text1"/>
      <w:sz w:val="22"/>
      <w:szCs w:val="18"/>
    </w:rPr>
  </w:style>
  <w:style w:type="paragraph" w:customStyle="1" w:styleId="Reference">
    <w:name w:val="Reference"/>
    <w:basedOn w:val="Normal"/>
    <w:rsid w:val="00383671"/>
    <w:pPr>
      <w:ind w:left="720" w:hanging="720"/>
    </w:pPr>
    <w:rPr>
      <w:rFonts w:eastAsia="Times New Roman"/>
    </w:rPr>
  </w:style>
  <w:style w:type="character" w:styleId="PlaceholderText">
    <w:name w:val="Placeholder Text"/>
    <w:basedOn w:val="DefaultParagraphFont"/>
    <w:uiPriority w:val="99"/>
    <w:semiHidden/>
    <w:rsid w:val="005E26B1"/>
    <w:rPr>
      <w:color w:val="808080"/>
    </w:rPr>
  </w:style>
  <w:style w:type="paragraph" w:customStyle="1" w:styleId="MyEquation">
    <w:name w:val="MyEquation"/>
    <w:basedOn w:val="Heading-Secondary"/>
    <w:qFormat/>
    <w:rsid w:val="00685C63"/>
    <w:pPr>
      <w:keepNext w:val="0"/>
      <w:spacing w:before="120"/>
      <w:ind w:left="0"/>
    </w:pPr>
    <w:rPr>
      <w:rFonts w:ascii="Cambria Math" w:hAnsi="Cambria Math"/>
      <w:i/>
      <w:sz w:val="22"/>
      <w:szCs w:val="22"/>
    </w:rPr>
  </w:style>
  <w:style w:type="paragraph" w:customStyle="1" w:styleId="Abstract">
    <w:name w:val="Abstract"/>
    <w:basedOn w:val="Normal"/>
    <w:qFormat/>
    <w:rsid w:val="00DD6C7E"/>
    <w:rPr>
      <w:rFonts w:eastAsia="Times New Roman"/>
    </w:rPr>
  </w:style>
  <w:style w:type="character" w:styleId="CommentReference">
    <w:name w:val="annotation reference"/>
    <w:basedOn w:val="DefaultParagraphFont"/>
    <w:uiPriority w:val="99"/>
    <w:semiHidden/>
    <w:unhideWhenUsed/>
    <w:rsid w:val="00DD6C7E"/>
    <w:rPr>
      <w:sz w:val="16"/>
      <w:szCs w:val="16"/>
    </w:rPr>
  </w:style>
  <w:style w:type="paragraph" w:styleId="CommentText">
    <w:name w:val="annotation text"/>
    <w:basedOn w:val="Normal"/>
    <w:link w:val="CommentTextChar"/>
    <w:uiPriority w:val="99"/>
    <w:unhideWhenUsed/>
    <w:rsid w:val="00DD6C7E"/>
    <w:pPr>
      <w:spacing w:before="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D6C7E"/>
    <w:rPr>
      <w:sz w:val="20"/>
      <w:szCs w:val="20"/>
    </w:rPr>
  </w:style>
  <w:style w:type="paragraph" w:styleId="Bibliography">
    <w:name w:val="Bibliography"/>
    <w:basedOn w:val="Normal"/>
    <w:next w:val="Normal"/>
    <w:uiPriority w:val="37"/>
    <w:unhideWhenUsed/>
    <w:rsid w:val="00970A00"/>
    <w:pPr>
      <w:tabs>
        <w:tab w:val="left" w:pos="380"/>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424819">
      <w:bodyDiv w:val="1"/>
      <w:marLeft w:val="0"/>
      <w:marRight w:val="0"/>
      <w:marTop w:val="0"/>
      <w:marBottom w:val="0"/>
      <w:divBdr>
        <w:top w:val="none" w:sz="0" w:space="0" w:color="auto"/>
        <w:left w:val="none" w:sz="0" w:space="0" w:color="auto"/>
        <w:bottom w:val="none" w:sz="0" w:space="0" w:color="auto"/>
        <w:right w:val="none" w:sz="0" w:space="0" w:color="auto"/>
      </w:divBdr>
      <w:divsChild>
        <w:div w:id="76294931">
          <w:marLeft w:val="0"/>
          <w:marRight w:val="0"/>
          <w:marTop w:val="0"/>
          <w:marBottom w:val="0"/>
          <w:divBdr>
            <w:top w:val="none" w:sz="0" w:space="0" w:color="auto"/>
            <w:left w:val="none" w:sz="0" w:space="0" w:color="auto"/>
            <w:bottom w:val="none" w:sz="0" w:space="0" w:color="auto"/>
            <w:right w:val="none" w:sz="0" w:space="0" w:color="auto"/>
          </w:divBdr>
          <w:divsChild>
            <w:div w:id="1837571855">
              <w:marLeft w:val="0"/>
              <w:marRight w:val="0"/>
              <w:marTop w:val="0"/>
              <w:marBottom w:val="0"/>
              <w:divBdr>
                <w:top w:val="none" w:sz="0" w:space="0" w:color="auto"/>
                <w:left w:val="none" w:sz="0" w:space="0" w:color="auto"/>
                <w:bottom w:val="none" w:sz="0" w:space="0" w:color="auto"/>
                <w:right w:val="none" w:sz="0" w:space="0" w:color="auto"/>
              </w:divBdr>
              <w:divsChild>
                <w:div w:id="6431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B3123-DE65-6149-9AB4-61C8CBA1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15971</Words>
  <Characters>91038</Characters>
  <Application>Microsoft Office Word</Application>
  <DocSecurity>0</DocSecurity>
  <Lines>1338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Cooper</dc:creator>
  <cp:keywords/>
  <dc:description/>
  <cp:lastModifiedBy>Cooper, Matthew G</cp:lastModifiedBy>
  <cp:revision>7</cp:revision>
  <dcterms:created xsi:type="dcterms:W3CDTF">2021-08-24T21:50:00Z</dcterms:created>
  <dcterms:modified xsi:type="dcterms:W3CDTF">2021-08-24T21:58:00Z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id="Szt9wJ3y"/&gt;&lt;style id="http://www.zotero.org/styles/nature" hasBibliography="1" bibliographyStyleHasBeenSet="1"/&gt;&lt;prefs&gt;&lt;pref name="fieldType" value="Field"/&gt;&lt;pref name="dontAskDelayCitationUpda</vt:lpwstr>
  </property>
  <property fmtid="{D5CDD505-2E9C-101B-9397-08002B2CF9AE}" pid="3" name="ZOTERO_PREF_2">
    <vt:lpwstr>tes" value="true"/&gt;&lt;/prefs&gt;&lt;/data&gt;</vt:lpwstr>
  </property>
</Properties>
</file>