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Arial Regular" w:hAnsi="Arial Regular" w:cs="Arial Regular"/>
          <w:b/>
          <w:bCs/>
          <w:sz w:val="28"/>
          <w:szCs w:val="36"/>
          <w:lang w:val="en-US"/>
        </w:rPr>
      </w:pPr>
      <w:r>
        <w:rPr>
          <w:rFonts w:hint="default" w:ascii="Arial Regular" w:hAnsi="Arial Regular" w:cs="Arial Regular"/>
          <w:b/>
          <w:bCs/>
          <w:sz w:val="28"/>
          <w:szCs w:val="36"/>
          <w:lang w:val="en-US"/>
        </w:rPr>
        <w:t>Supplementary Materials</w:t>
      </w:r>
    </w:p>
    <w:p>
      <w:pPr>
        <w:rPr>
          <w:rFonts w:hint="default" w:ascii="Arial Bold" w:hAnsi="Arial Bold" w:cs="Arial Bold"/>
          <w:b/>
          <w:bCs/>
          <w:lang w:val="en-US"/>
        </w:rPr>
      </w:pPr>
      <w:r>
        <w:rPr>
          <w:rFonts w:hint="default" w:ascii="Arial Bold" w:hAnsi="Arial Bold" w:cs="Arial Bold"/>
          <w:b/>
          <w:bCs/>
          <w:lang w:val="en-US"/>
        </w:rPr>
        <w:t>The relevant raw data for this study can be found in the "Compressed Files of Raw Data Files"</w:t>
      </w:r>
    </w:p>
    <w:p>
      <w:pPr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t>Contains detailed</w:t>
      </w:r>
      <w:bookmarkStart w:id="0" w:name="_GoBack"/>
      <w:bookmarkEnd w:id="0"/>
      <w:r>
        <w:rPr>
          <w:rFonts w:hint="default" w:ascii="Arial Regular" w:hAnsi="Arial Regular" w:cs="Arial Regular"/>
        </w:rPr>
        <w:t xml:space="preserve"> results for Plantar Pressure/Gait Analysis and Digital Joint Ligament Examination, including Tables S1-S3 and Figures S1-S2.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5" w:beforeAutospacing="0" w:after="165" w:afterAutospacing="0" w:line="240" w:lineRule="auto"/>
        <w:ind w:right="0" w:rightChars="0"/>
        <w:textAlignment w:val="auto"/>
        <w:rPr>
          <w:rFonts w:hint="eastAsia" w:ascii="Arial Regular" w:hAnsi="Arial Regular" w:cs="Arial Regular" w:eastAsiaTheme="minorEastAsia"/>
          <w:kern w:val="2"/>
          <w:sz w:val="20"/>
          <w:szCs w:val="22"/>
          <w:lang w:val="zh-CN" w:eastAsia="zh-CN" w:bidi="ar-SA"/>
        </w:rPr>
      </w:pPr>
      <w:r>
        <w:rPr>
          <w:rFonts w:hint="eastAsia" w:ascii="Arial Regular" w:hAnsi="Arial Regular" w:cs="Arial Regular" w:eastAsiaTheme="minorEastAsia"/>
          <w:b/>
          <w:bCs/>
          <w:kern w:val="2"/>
          <w:sz w:val="22"/>
          <w:szCs w:val="28"/>
          <w:lang w:val="zh-CN" w:eastAsia="zh-CN" w:bidi="ar-SA"/>
        </w:rPr>
        <w:t>Plantar Pressure and Gait Analysis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Arial Regular" w:hAnsi="Arial Regular" w:cs="Arial Regular"/>
          <w:b/>
          <w:bCs/>
          <w:lang w:val="zh-CN" w:eastAsia="zh-CN"/>
        </w:rPr>
      </w:pPr>
      <w:r>
        <w:rPr>
          <w:rFonts w:hint="eastAsia" w:ascii="Arial Regular" w:hAnsi="Arial Regular" w:cs="Arial Regular"/>
          <w:b/>
          <w:bCs/>
          <w:lang w:val="zh-CN" w:eastAsia="zh-CN"/>
        </w:rPr>
        <w:t>Plantar Pressure Analysis</w:t>
      </w:r>
    </w:p>
    <w:p>
      <w:pPr>
        <w:rPr>
          <w:rFonts w:hint="eastAsia" w:ascii="Arial Regular" w:hAnsi="Arial Regular" w:cs="Arial Regular"/>
        </w:rPr>
      </w:pPr>
      <w:r>
        <w:rPr>
          <w:rFonts w:hint="eastAsia" w:ascii="Arial Regular" w:hAnsi="Arial Regular" w:cs="Arial Regular"/>
        </w:rPr>
        <w:t>The analysis focused on four key parameters: left and right step velocity, foot progression angle, and center of pressure (COP) magnitude. Pre- and post-training measurements were compared in a sample of 20 participants. Results are summarized in Table S1.</w:t>
      </w:r>
    </w:p>
    <w:p>
      <w:pPr>
        <w:rPr>
          <w:rFonts w:hint="eastAsia" w:ascii="Arial Regular" w:hAnsi="Arial Regular" w:cs="Arial Regular"/>
        </w:rPr>
      </w:pPr>
    </w:p>
    <w:p>
      <w:pPr>
        <w:jc w:val="center"/>
        <w:rPr>
          <w:rFonts w:hint="default" w:ascii="Arial Regular" w:hAnsi="Arial Regular" w:cs="Arial Regular"/>
          <w:lang w:val="en-US" w:eastAsia="zh-CN"/>
        </w:rPr>
      </w:pPr>
      <w:r>
        <w:rPr>
          <w:rFonts w:hint="default" w:ascii="Arial Regular" w:hAnsi="Arial Regular" w:cs="Arial Regular"/>
          <w:lang w:val="en-US" w:eastAsia="zh-CN"/>
        </w:rPr>
        <w:t>Table 1</w:t>
      </w:r>
      <w:r>
        <w:rPr>
          <w:rFonts w:hint="eastAsia" w:ascii="Arial Regular" w:hAnsi="Arial Regular" w:cs="Arial Regular"/>
          <w:lang w:val="en-US" w:eastAsia="zh-CN"/>
        </w:rPr>
        <w:t xml:space="preserve"> </w:t>
      </w:r>
      <w:r>
        <w:rPr>
          <w:rFonts w:hint="eastAsia" w:ascii="Arial Regular" w:hAnsi="Arial Regular" w:cs="Arial Regular"/>
        </w:rPr>
        <w:t>S1. Comparison of Bilateral Step Velocity, Foot Progression Angle, and COP Magnitude Before and After Training (n=20).</w:t>
      </w:r>
    </w:p>
    <w:tbl>
      <w:tblPr>
        <w:tblStyle w:val="3"/>
        <w:tblW w:w="8157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0"/>
        <w:gridCol w:w="1676"/>
        <w:gridCol w:w="1475"/>
        <w:gridCol w:w="1344"/>
        <w:gridCol w:w="906"/>
        <w:gridCol w:w="93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tblHeader/>
        </w:trPr>
        <w:tc>
          <w:tcPr>
            <w:tcW w:w="1820" w:type="dxa"/>
            <w:tcBorders>
              <w:bottom w:val="single" w:color="auto" w:sz="4" w:space="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Parameters</w:t>
            </w:r>
          </w:p>
        </w:tc>
        <w:tc>
          <w:tcPr>
            <w:tcW w:w="1676" w:type="dxa"/>
            <w:tcBorders>
              <w:bottom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 Pre-Training (Mean ± SD)</w:t>
            </w:r>
          </w:p>
        </w:tc>
        <w:tc>
          <w:tcPr>
            <w:tcW w:w="1475" w:type="dxa"/>
            <w:tcBorders>
              <w:bottom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 Post-Training (Mean ± SD)</w:t>
            </w:r>
          </w:p>
        </w:tc>
        <w:tc>
          <w:tcPr>
            <w:tcW w:w="1344" w:type="dxa"/>
            <w:tcBorders>
              <w:bottom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Mean Difference</w:t>
            </w:r>
          </w:p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(M±SD)</w:t>
            </w:r>
          </w:p>
        </w:tc>
        <w:tc>
          <w:tcPr>
            <w:tcW w:w="906" w:type="dxa"/>
            <w:tcBorders>
              <w:bottom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t-value</w:t>
            </w:r>
          </w:p>
        </w:tc>
        <w:tc>
          <w:tcPr>
            <w:tcW w:w="936" w:type="dxa"/>
            <w:tcBorders>
              <w:bottom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p-value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</w:trPr>
        <w:tc>
          <w:tcPr>
            <w:tcW w:w="1820" w:type="dxa"/>
            <w:tcBorders>
              <w:top w:val="single" w:color="auto" w:sz="4" w:space="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Left Step Velocity  (m/s)</w:t>
            </w:r>
          </w:p>
        </w:tc>
        <w:tc>
          <w:tcPr>
            <w:tcW w:w="1676" w:type="dxa"/>
            <w:tcBorders>
              <w:top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0.20 ± 0.03</w:t>
            </w:r>
          </w:p>
        </w:tc>
        <w:tc>
          <w:tcPr>
            <w:tcW w:w="1475" w:type="dxa"/>
            <w:tcBorders>
              <w:top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0.22 ± 0.03</w:t>
            </w:r>
          </w:p>
        </w:tc>
        <w:tc>
          <w:tcPr>
            <w:tcW w:w="1344" w:type="dxa"/>
            <w:tcBorders>
              <w:top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-0.02 ± 0.03</w:t>
            </w:r>
          </w:p>
        </w:tc>
        <w:tc>
          <w:tcPr>
            <w:tcW w:w="906" w:type="dxa"/>
            <w:tcBorders>
              <w:top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-3.38</w:t>
            </w:r>
          </w:p>
        </w:tc>
        <w:tc>
          <w:tcPr>
            <w:tcW w:w="936" w:type="dxa"/>
            <w:tcBorders>
              <w:top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0.003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</w:trPr>
        <w:tc>
          <w:tcPr>
            <w:tcW w:w="1820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Right Step Velocity (m/s)</w:t>
            </w:r>
          </w:p>
        </w:tc>
        <w:tc>
          <w:tcPr>
            <w:tcW w:w="1676" w:type="dxa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0.20 ± 0.04</w:t>
            </w:r>
          </w:p>
        </w:tc>
        <w:tc>
          <w:tcPr>
            <w:tcW w:w="1475" w:type="dxa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0.21 ± 0.04</w:t>
            </w:r>
          </w:p>
        </w:tc>
        <w:tc>
          <w:tcPr>
            <w:tcW w:w="1344" w:type="dxa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-0.01 ± 0.04</w:t>
            </w:r>
          </w:p>
        </w:tc>
        <w:tc>
          <w:tcPr>
            <w:tcW w:w="906" w:type="dxa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-1.48</w:t>
            </w:r>
          </w:p>
        </w:tc>
        <w:tc>
          <w:tcPr>
            <w:tcW w:w="936" w:type="dxa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0.155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</w:trPr>
        <w:tc>
          <w:tcPr>
            <w:tcW w:w="1820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Left Foot Progression Angle  (°)</w:t>
            </w:r>
          </w:p>
        </w:tc>
        <w:tc>
          <w:tcPr>
            <w:tcW w:w="1676" w:type="dxa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6.</w:t>
            </w:r>
            <w:r>
              <w:rPr>
                <w:rStyle w:val="6"/>
                <w:rFonts w:hint="eastAsia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51</w:t>
            </w: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 ± 3.09</w:t>
            </w:r>
          </w:p>
        </w:tc>
        <w:tc>
          <w:tcPr>
            <w:tcW w:w="1475" w:type="dxa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3.28 ± 7.35</w:t>
            </w:r>
          </w:p>
        </w:tc>
        <w:tc>
          <w:tcPr>
            <w:tcW w:w="1344" w:type="dxa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3.31 ± 6.80</w:t>
            </w:r>
          </w:p>
        </w:tc>
        <w:tc>
          <w:tcPr>
            <w:tcW w:w="906" w:type="dxa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2.13</w:t>
            </w:r>
          </w:p>
        </w:tc>
        <w:tc>
          <w:tcPr>
            <w:tcW w:w="936" w:type="dxa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0.047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</w:trPr>
        <w:tc>
          <w:tcPr>
            <w:tcW w:w="1820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Right Foot Progression Angle(°)</w:t>
            </w:r>
          </w:p>
        </w:tc>
        <w:tc>
          <w:tcPr>
            <w:tcW w:w="1676" w:type="dxa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5.74 ± 4.39</w:t>
            </w:r>
          </w:p>
        </w:tc>
        <w:tc>
          <w:tcPr>
            <w:tcW w:w="1475" w:type="dxa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5.99 ± 6.44</w:t>
            </w:r>
          </w:p>
        </w:tc>
        <w:tc>
          <w:tcPr>
            <w:tcW w:w="1344" w:type="dxa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-0.25 ± 6.27</w:t>
            </w:r>
          </w:p>
        </w:tc>
        <w:tc>
          <w:tcPr>
            <w:tcW w:w="906" w:type="dxa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-0.18</w:t>
            </w:r>
          </w:p>
        </w:tc>
        <w:tc>
          <w:tcPr>
            <w:tcW w:w="936" w:type="dxa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0.860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</w:trPr>
        <w:tc>
          <w:tcPr>
            <w:tcW w:w="1820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Left COP</w:t>
            </w:r>
          </w:p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Magnitude</w:t>
            </w:r>
          </w:p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(kgf)</w:t>
            </w:r>
          </w:p>
        </w:tc>
        <w:tc>
          <w:tcPr>
            <w:tcW w:w="1676" w:type="dxa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2.33 ± 0.20</w:t>
            </w:r>
          </w:p>
        </w:tc>
        <w:tc>
          <w:tcPr>
            <w:tcW w:w="1475" w:type="dxa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2.33 ± 0.17</w:t>
            </w:r>
          </w:p>
        </w:tc>
        <w:tc>
          <w:tcPr>
            <w:tcW w:w="1344" w:type="dxa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0.00 ± 0.16</w:t>
            </w:r>
          </w:p>
        </w:tc>
        <w:tc>
          <w:tcPr>
            <w:tcW w:w="906" w:type="dxa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0.01</w:t>
            </w:r>
          </w:p>
        </w:tc>
        <w:tc>
          <w:tcPr>
            <w:tcW w:w="936" w:type="dxa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0.995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</w:trPr>
        <w:tc>
          <w:tcPr>
            <w:tcW w:w="1820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Right</w:t>
            </w:r>
            <w:r>
              <w:rPr>
                <w:rStyle w:val="6"/>
                <w:rFonts w:hint="eastAsia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 </w:t>
            </w: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COP</w:t>
            </w:r>
          </w:p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Magnitude</w:t>
            </w:r>
          </w:p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(kgf)</w:t>
            </w:r>
          </w:p>
        </w:tc>
        <w:tc>
          <w:tcPr>
            <w:tcW w:w="1676" w:type="dxa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2.29 ± 0.19</w:t>
            </w:r>
          </w:p>
        </w:tc>
        <w:tc>
          <w:tcPr>
            <w:tcW w:w="1475" w:type="dxa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2.30 ± 0.16</w:t>
            </w:r>
          </w:p>
        </w:tc>
        <w:tc>
          <w:tcPr>
            <w:tcW w:w="1344" w:type="dxa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-0.01 ± 0.17</w:t>
            </w:r>
          </w:p>
        </w:tc>
        <w:tc>
          <w:tcPr>
            <w:tcW w:w="906" w:type="dxa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-0.34</w:t>
            </w:r>
          </w:p>
        </w:tc>
        <w:tc>
          <w:tcPr>
            <w:tcW w:w="936" w:type="dxa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0.735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Arial Regular" w:hAnsi="Arial Regular" w:cs="Arial Regular" w:eastAsiaTheme="minorEastAsia"/>
          <w:kern w:val="2"/>
          <w:sz w:val="21"/>
          <w:szCs w:val="24"/>
          <w:lang w:val="en-US" w:eastAsia="zh-CN" w:bidi="ar-SA"/>
        </w:rPr>
      </w:pPr>
      <w:r>
        <w:rPr>
          <w:rFonts w:hint="default" w:ascii="Arial Regular" w:hAnsi="Arial Regular" w:cs="Arial Regular" w:eastAsiaTheme="minorEastAsia"/>
          <w:kern w:val="2"/>
          <w:sz w:val="21"/>
          <w:szCs w:val="24"/>
          <w:lang w:val="en-US" w:eastAsia="zh-CN" w:bidi="ar-SA"/>
        </w:rPr>
        <w:t>The results indicate a statistically significant reduction in the left foot progression angle following training (mean decrease = 3.31°, p = 0.047). Left step velocity also increased significantly (p = 0.003). These findings suggest that the personalized corrective training program led to measurable improvements in gait biomechanics, particularly on the left side.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5" w:beforeAutospacing="0" w:after="165" w:afterAutospacing="0" w:line="240" w:lineRule="auto"/>
        <w:ind w:right="0" w:rightChars="0"/>
        <w:textAlignment w:val="auto"/>
        <w:rPr>
          <w:rFonts w:hint="default" w:ascii="Arial Regular" w:hAnsi="Arial Regular" w:cs="Arial Regular" w:eastAsiaTheme="minorEastAsia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Arial Regular" w:hAnsi="Arial Regular" w:cs="Arial Regular"/>
          <w:b/>
          <w:bCs/>
          <w:lang w:val="zh-CN" w:eastAsia="zh-CN"/>
        </w:rPr>
      </w:pPr>
      <w:r>
        <w:rPr>
          <w:rFonts w:hint="eastAsia" w:ascii="Arial Regular" w:hAnsi="Arial Regular" w:cs="Arial Regular"/>
          <w:b/>
          <w:bCs/>
          <w:lang w:val="zh-CN" w:eastAsia="zh-CN"/>
        </w:rPr>
        <w:t>Symmetry Analysis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 Regular" w:hAnsi="Arial Regular" w:cs="Arial Regular" w:eastAsiaTheme="minorEastAsia"/>
          <w:kern w:val="2"/>
          <w:sz w:val="21"/>
          <w:szCs w:val="24"/>
          <w:lang w:val="en-US" w:eastAsia="zh-CN" w:bidi="ar-SA"/>
        </w:rPr>
      </w:pPr>
      <w:r>
        <w:rPr>
          <w:rFonts w:hint="default" w:ascii="Arial Regular" w:hAnsi="Arial Regular" w:cs="Arial Regular" w:eastAsiaTheme="minorEastAsia"/>
          <w:kern w:val="2"/>
          <w:sz w:val="21"/>
          <w:szCs w:val="24"/>
          <w:lang w:val="en-US" w:eastAsia="zh-CN" w:bidi="ar-SA"/>
        </w:rPr>
        <w:t>Bilateral symmetry was assessed by calculating the absolute difference between left and right values (|L–R|) for each parameter before and after the intervention. Results are presented in Table S2.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 Regular" w:hAnsi="Arial Regular" w:cs="Arial Regular" w:eastAsiaTheme="minorEastAsia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Arial Regular" w:hAnsi="Arial Regular" w:cs="Arial Regular" w:eastAsiaTheme="minorEastAsia"/>
          <w:kern w:val="2"/>
          <w:sz w:val="21"/>
          <w:szCs w:val="24"/>
          <w:lang w:val="en-US" w:eastAsia="zh-CN" w:bidi="ar-SA"/>
        </w:rPr>
      </w:pPr>
      <w:r>
        <w:rPr>
          <w:rFonts w:hint="default" w:ascii="Arial Regular" w:hAnsi="Arial Regular" w:cs="Arial Regular" w:eastAsiaTheme="minorEastAsia"/>
          <w:kern w:val="2"/>
          <w:sz w:val="21"/>
          <w:szCs w:val="24"/>
          <w:lang w:val="en-US" w:eastAsia="zh-CN" w:bidi="ar-SA"/>
        </w:rPr>
        <w:t>Table S2. Analysis of Bilateral Symmetry Before and After Training.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2"/>
        <w:gridCol w:w="1790"/>
        <w:gridCol w:w="1790"/>
        <w:gridCol w:w="1309"/>
        <w:gridCol w:w="811"/>
        <w:gridCol w:w="8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Parameter</w:t>
            </w:r>
          </w:p>
        </w:tc>
        <w:tc>
          <w:tcPr>
            <w:tcW w:w="179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 Pre-Training (Mean ± SD)</w:t>
            </w:r>
          </w:p>
        </w:tc>
        <w:tc>
          <w:tcPr>
            <w:tcW w:w="179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 Post-Training (Mean ± SD)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Change (Post - Pre)</w:t>
            </w:r>
          </w:p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(Mean ± SD)</w:t>
            </w:r>
          </w:p>
        </w:tc>
        <w:tc>
          <w:tcPr>
            <w:tcW w:w="60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t-value</w:t>
            </w:r>
          </w:p>
        </w:tc>
        <w:tc>
          <w:tcPr>
            <w:tcW w:w="69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p-value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eastAsia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eastAsia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Step Velocity |L-R|</w:t>
            </w:r>
          </w:p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(m/s)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0.03 ± 0.02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0.03 ± 0.02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0.00 ± 0.02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0.75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0.465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eastAsia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Foot Progression Angle</w:t>
            </w: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 |L-R| (°)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5.02 ± 3.68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7.68 ± 5.89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2.66 ± 5.92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2.01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0.059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 </w:t>
            </w:r>
            <w:r>
              <w:rPr>
                <w:rStyle w:val="6"/>
                <w:rFonts w:hint="eastAsia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COP Plantar Pressure </w:t>
            </w: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|L-R| (kgf)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0.13 ± 0.11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0.15 ± 0.12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0.02 ± 0.13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0.79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0.438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320" w:beforeAutospacing="0" w:after="320" w:afterAutospacing="0"/>
        <w:ind w:left="0" w:right="0" w:firstLine="0"/>
        <w:rPr>
          <w:rStyle w:val="7"/>
          <w:rFonts w:hint="default" w:ascii="Segoe UI" w:hAnsi="Segoe UI" w:eastAsia="Segoe UI" w:cs="Segoe UI"/>
          <w:caps w:val="0"/>
          <w:color w:val="0F1115"/>
          <w:spacing w:val="0"/>
          <w:sz w:val="19"/>
          <w:szCs w:val="19"/>
          <w:shd w:val="clear" w:fill="FFFFFF"/>
        </w:rPr>
      </w:pPr>
      <w:r>
        <w:rPr>
          <w:rStyle w:val="7"/>
          <w:rFonts w:hint="default" w:ascii="Segoe UI" w:hAnsi="Segoe UI" w:eastAsia="Segoe UI" w:cs="Segoe UI"/>
          <w:caps w:val="0"/>
          <w:color w:val="0F1115"/>
          <w:spacing w:val="0"/>
          <w:sz w:val="19"/>
          <w:szCs w:val="19"/>
          <w:shd w:val="clear" w:fill="FFFFFF"/>
        </w:rPr>
        <w:t>Note: A negative change value would indicate improved symmetry (reduced asymmetry).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5" w:beforeAutospacing="0" w:after="165" w:afterAutospacing="0" w:line="240" w:lineRule="auto"/>
        <w:ind w:right="0" w:rightChars="0"/>
        <w:textAlignment w:val="auto"/>
        <w:rPr>
          <w:rFonts w:hint="default" w:ascii="Arial Regular" w:hAnsi="Arial Regular" w:cs="Arial Regular" w:eastAsiaTheme="minorEastAsia"/>
          <w:kern w:val="2"/>
          <w:sz w:val="21"/>
          <w:szCs w:val="24"/>
          <w:lang w:val="en-US" w:eastAsia="zh-CN" w:bidi="ar-SA"/>
        </w:rPr>
      </w:pPr>
      <w:r>
        <w:rPr>
          <w:rFonts w:hint="default" w:ascii="Arial Regular" w:hAnsi="Arial Regular" w:cs="Arial Regular" w:eastAsiaTheme="minorEastAsia"/>
          <w:kern w:val="2"/>
          <w:sz w:val="21"/>
          <w:szCs w:val="24"/>
          <w:lang w:val="en-US" w:eastAsia="zh-CN" w:bidi="ar-SA"/>
        </w:rPr>
        <w:t>No significant changes in bilateral symmetry were observed for any of the parameters following the training intervention. Although the asymmetry in foot progression angle showed a trend toward increase (p = 0.059), it did not reach statistical significance.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5" w:beforeAutospacing="0" w:after="165" w:afterAutospacing="0" w:line="240" w:lineRule="auto"/>
        <w:ind w:right="0" w:rightChars="0"/>
        <w:textAlignment w:val="auto"/>
        <w:rPr>
          <w:rFonts w:hint="eastAsia" w:ascii="Arial Regular" w:hAnsi="Arial Regular" w:cs="Arial Regular" w:eastAsiaTheme="minorEastAsia"/>
          <w:kern w:val="2"/>
          <w:sz w:val="21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5" w:beforeAutospacing="0" w:after="165" w:afterAutospacing="0" w:line="240" w:lineRule="auto"/>
        <w:ind w:right="0" w:rightChars="0"/>
        <w:textAlignment w:val="auto"/>
        <w:rPr>
          <w:rFonts w:hint="eastAsia" w:ascii="Arial Regular" w:hAnsi="Arial Regular" w:cs="Arial Regular" w:eastAsiaTheme="minorEastAsia"/>
          <w:b/>
          <w:bCs/>
          <w:kern w:val="2"/>
          <w:sz w:val="22"/>
          <w:szCs w:val="28"/>
          <w:lang w:val="zh-CN" w:eastAsia="zh-CN" w:bidi="ar-SA"/>
        </w:rPr>
      </w:pPr>
      <w:r>
        <w:rPr>
          <w:rFonts w:hint="eastAsia" w:ascii="Arial Regular" w:hAnsi="Arial Regular" w:cs="Arial Regular" w:eastAsiaTheme="minorEastAsia"/>
          <w:b/>
          <w:bCs/>
          <w:kern w:val="2"/>
          <w:sz w:val="22"/>
          <w:szCs w:val="28"/>
          <w:lang w:val="zh-CN" w:eastAsia="zh-CN" w:bidi="ar-SA"/>
        </w:rPr>
        <w:t>Digital Joint Ligament Examination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 Regular" w:hAnsi="Arial Regular" w:cs="Arial Regular" w:eastAsiaTheme="minorEastAsia"/>
          <w:kern w:val="2"/>
          <w:sz w:val="21"/>
          <w:szCs w:val="24"/>
          <w:lang w:val="zh-CN" w:eastAsia="zh-CN" w:bidi="ar-SA"/>
        </w:rPr>
      </w:pPr>
      <w:r>
        <w:rPr>
          <w:rFonts w:hint="eastAsia" w:ascii="Arial Regular" w:hAnsi="Arial Regular" w:cs="Arial Regular"/>
          <w:kern w:val="2"/>
          <w:sz w:val="21"/>
          <w:szCs w:val="24"/>
          <w:lang w:val="en-US" w:eastAsia="zh-CN" w:bidi="ar-SA"/>
        </w:rPr>
        <w:t xml:space="preserve"> </w:t>
      </w:r>
      <w:r>
        <w:rPr>
          <w:rFonts w:hint="default" w:ascii="Arial Regular" w:hAnsi="Arial Regular" w:cs="Arial Regular" w:eastAsiaTheme="minorEastAsia"/>
          <w:kern w:val="2"/>
          <w:sz w:val="21"/>
          <w:szCs w:val="24"/>
          <w:lang w:val="zh-CN" w:eastAsia="zh-CN" w:bidi="ar-SA"/>
        </w:rPr>
        <w:t xml:space="preserve"> </w:t>
      </w:r>
      <w:r>
        <w:rPr>
          <w:rFonts w:hint="default" w:ascii="Arial Regular" w:hAnsi="Arial Regular" w:cs="Arial Regular" w:eastAsiaTheme="minorEastAsia"/>
          <w:kern w:val="2"/>
          <w:sz w:val="21"/>
          <w:szCs w:val="24"/>
          <w:lang w:val="en-US" w:eastAsia="zh-CN" w:bidi="ar-SA"/>
        </w:rPr>
        <w:t>A digital joint testing device was used to assess anterior cruciate ligament (ACL) tension under incremental loads (80N, 100N, 120N, 150N). Data from 44 participants are shown in Table S3.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5" w:beforeAutospacing="0" w:after="165" w:afterAutospacing="0" w:line="240" w:lineRule="auto"/>
        <w:ind w:right="0" w:rightChars="0"/>
        <w:textAlignment w:val="auto"/>
        <w:rPr>
          <w:rFonts w:hint="eastAsia" w:ascii="Arial Regular" w:hAnsi="Arial Regular" w:cs="Arial Regular" w:eastAsiaTheme="minorEastAsia"/>
          <w:kern w:val="2"/>
          <w:sz w:val="21"/>
          <w:szCs w:val="24"/>
          <w:lang w:val="zh-CN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320" w:beforeAutospacing="0" w:after="320" w:afterAutospacing="0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</w:pPr>
      <w:r>
        <w:rPr>
          <w:rFonts w:hint="default" w:ascii="Arial Regular" w:hAnsi="Arial Regular" w:cs="Arial Regular" w:eastAsiaTheme="minorEastAsia"/>
          <w:kern w:val="2"/>
          <w:sz w:val="21"/>
          <w:szCs w:val="24"/>
          <w:lang w:val="en-US" w:eastAsia="zh-CN" w:bidi="ar-SA"/>
        </w:rPr>
        <w:t>Table S3. ACL Displacement and Side-to-Side Difference (SSD) Before and After Training.</w:t>
      </w:r>
    </w:p>
    <w:tbl>
      <w:tblPr>
        <w:tblStyle w:val="4"/>
        <w:tblW w:w="7804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1420"/>
        <w:gridCol w:w="1815"/>
        <w:gridCol w:w="1183"/>
        <w:gridCol w:w="1262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124" w:type="dxa"/>
            <w:tcBorders>
              <w:top w:val="single" w:color="auto" w:sz="4" w:space="0"/>
              <w:bottom w:val="single" w:color="000000" w:sz="4" w:space="0"/>
              <w:tl2br w:val="nil"/>
            </w:tcBorders>
            <w:shd w:val="clear" w:color="auto" w:fill="FFFFFF"/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Data Category</w:t>
            </w:r>
          </w:p>
        </w:tc>
        <w:tc>
          <w:tcPr>
            <w:tcW w:w="1420" w:type="dxa"/>
            <w:tcBorders>
              <w:top w:val="single" w:color="auto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Pre-Training (Mean ± SD)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Post-Training (Mean ± SD)</w:t>
            </w:r>
          </w:p>
        </w:tc>
        <w:tc>
          <w:tcPr>
            <w:tcW w:w="1183" w:type="dxa"/>
            <w:tcBorders>
              <w:top w:val="single" w:color="auto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t-value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p-value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90" w:hRule="atLeast"/>
          <w:jc w:val="center"/>
        </w:trPr>
        <w:tc>
          <w:tcPr>
            <w:tcW w:w="2124" w:type="dxa"/>
            <w:tcBorders>
              <w:top w:val="single" w:color="000000" w:sz="4" w:space="0"/>
              <w:bottom w:val="nil"/>
            </w:tcBorders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Left</w:t>
            </w:r>
            <w:r>
              <w:rPr>
                <w:rStyle w:val="6"/>
                <w:rFonts w:hint="eastAsia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 </w:t>
            </w: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Displacement（80N）</w:t>
            </w:r>
          </w:p>
        </w:tc>
        <w:tc>
          <w:tcPr>
            <w:tcW w:w="1420" w:type="dxa"/>
            <w:tcBorders>
              <w:top w:val="single" w:color="000000" w:sz="4" w:space="0"/>
              <w:bottom w:val="nil"/>
            </w:tcBorders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11.00±2.48</w:t>
            </w:r>
          </w:p>
        </w:tc>
        <w:tc>
          <w:tcPr>
            <w:tcW w:w="1815" w:type="dxa"/>
            <w:tcBorders>
              <w:top w:val="single" w:color="000000" w:sz="4" w:space="0"/>
              <w:bottom w:val="nil"/>
            </w:tcBorders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10.71±1.64</w:t>
            </w:r>
          </w:p>
        </w:tc>
        <w:tc>
          <w:tcPr>
            <w:tcW w:w="1183" w:type="dxa"/>
            <w:tcBorders>
              <w:top w:val="single" w:color="000000" w:sz="4" w:space="0"/>
              <w:bottom w:val="nil"/>
            </w:tcBorders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0.63</w:t>
            </w:r>
          </w:p>
        </w:tc>
        <w:tc>
          <w:tcPr>
            <w:tcW w:w="1262" w:type="dxa"/>
            <w:tcBorders>
              <w:top w:val="single" w:color="000000" w:sz="4" w:space="0"/>
              <w:bottom w:val="nil"/>
            </w:tcBorders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0.53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0" w:hRule="atLeast"/>
          <w:jc w:val="center"/>
        </w:trPr>
        <w:tc>
          <w:tcPr>
            <w:tcW w:w="212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Right</w:t>
            </w:r>
            <w:r>
              <w:rPr>
                <w:rStyle w:val="6"/>
                <w:rFonts w:hint="eastAsia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 </w:t>
            </w: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Displacement（80N）</w:t>
            </w:r>
          </w:p>
        </w:tc>
        <w:tc>
          <w:tcPr>
            <w:tcW w:w="142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11.98±1.99</w:t>
            </w: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12.09±2.58</w:t>
            </w:r>
          </w:p>
        </w:tc>
        <w:tc>
          <w:tcPr>
            <w:tcW w:w="1183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-0.11</w:t>
            </w:r>
          </w:p>
        </w:tc>
        <w:tc>
          <w:tcPr>
            <w:tcW w:w="126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0.85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90" w:hRule="atLeast"/>
          <w:jc w:val="center"/>
        </w:trPr>
        <w:tc>
          <w:tcPr>
            <w:tcW w:w="212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SSD（80N）</w:t>
            </w:r>
          </w:p>
        </w:tc>
        <w:tc>
          <w:tcPr>
            <w:tcW w:w="142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1.60±0.98</w:t>
            </w: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2.39±2.25</w:t>
            </w:r>
          </w:p>
        </w:tc>
        <w:tc>
          <w:tcPr>
            <w:tcW w:w="1183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-0.80</w:t>
            </w:r>
          </w:p>
        </w:tc>
        <w:tc>
          <w:tcPr>
            <w:tcW w:w="126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0.09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90" w:hRule="atLeast"/>
          <w:jc w:val="center"/>
        </w:trPr>
        <w:tc>
          <w:tcPr>
            <w:tcW w:w="2124" w:type="dxa"/>
            <w:tcBorders>
              <w:top w:val="nil"/>
            </w:tcBorders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Left Displacement（100N）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12.97±2.21</w:t>
            </w:r>
          </w:p>
        </w:tc>
        <w:tc>
          <w:tcPr>
            <w:tcW w:w="1815" w:type="dxa"/>
            <w:tcBorders>
              <w:top w:val="nil"/>
            </w:tcBorders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12.61±1.90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0.81</w:t>
            </w:r>
          </w:p>
        </w:tc>
        <w:tc>
          <w:tcPr>
            <w:tcW w:w="1262" w:type="dxa"/>
            <w:tcBorders>
              <w:top w:val="nil"/>
            </w:tcBorders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0.43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124" w:type="dxa"/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Right Displacement（100N）</w:t>
            </w:r>
          </w:p>
        </w:tc>
        <w:tc>
          <w:tcPr>
            <w:tcW w:w="1420" w:type="dxa"/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13.78±2.21</w:t>
            </w:r>
          </w:p>
        </w:tc>
        <w:tc>
          <w:tcPr>
            <w:tcW w:w="1815" w:type="dxa"/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13.87±2.78</w:t>
            </w:r>
          </w:p>
        </w:tc>
        <w:tc>
          <w:tcPr>
            <w:tcW w:w="1183" w:type="dxa"/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-0.15</w:t>
            </w:r>
          </w:p>
        </w:tc>
        <w:tc>
          <w:tcPr>
            <w:tcW w:w="1262" w:type="dxa"/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0.88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124" w:type="dxa"/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SSD（100N）</w:t>
            </w:r>
          </w:p>
        </w:tc>
        <w:tc>
          <w:tcPr>
            <w:tcW w:w="1420" w:type="dxa"/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1.62±1.15</w:t>
            </w:r>
          </w:p>
        </w:tc>
        <w:tc>
          <w:tcPr>
            <w:tcW w:w="1815" w:type="dxa"/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2.64±2.50</w:t>
            </w:r>
          </w:p>
        </w:tc>
        <w:tc>
          <w:tcPr>
            <w:tcW w:w="1183" w:type="dxa"/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-1.95</w:t>
            </w:r>
          </w:p>
        </w:tc>
        <w:tc>
          <w:tcPr>
            <w:tcW w:w="1262" w:type="dxa"/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0.07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4" w:hRule="atLeast"/>
          <w:jc w:val="center"/>
        </w:trPr>
        <w:tc>
          <w:tcPr>
            <w:tcW w:w="2124" w:type="dxa"/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Left</w:t>
            </w:r>
            <w:r>
              <w:rPr>
                <w:rStyle w:val="6"/>
                <w:rFonts w:hint="eastAsia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 </w:t>
            </w: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Displacement（120N）</w:t>
            </w:r>
          </w:p>
        </w:tc>
        <w:tc>
          <w:tcPr>
            <w:tcW w:w="1420" w:type="dxa"/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14.29±2.4</w:t>
            </w:r>
          </w:p>
        </w:tc>
        <w:tc>
          <w:tcPr>
            <w:tcW w:w="1815" w:type="dxa"/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13.91±2.02</w:t>
            </w:r>
          </w:p>
        </w:tc>
        <w:tc>
          <w:tcPr>
            <w:tcW w:w="1183" w:type="dxa"/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0.78</w:t>
            </w:r>
          </w:p>
        </w:tc>
        <w:tc>
          <w:tcPr>
            <w:tcW w:w="1262" w:type="dxa"/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0.44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6" w:hRule="atLeast"/>
          <w:jc w:val="center"/>
        </w:trPr>
        <w:tc>
          <w:tcPr>
            <w:tcW w:w="2124" w:type="dxa"/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Right</w:t>
            </w:r>
            <w:r>
              <w:rPr>
                <w:rStyle w:val="6"/>
                <w:rFonts w:hint="eastAsia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 </w:t>
            </w: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Displacement（120N）</w:t>
            </w:r>
          </w:p>
        </w:tc>
        <w:tc>
          <w:tcPr>
            <w:tcW w:w="1420" w:type="dxa"/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15.2±2.3</w:t>
            </w:r>
          </w:p>
        </w:tc>
        <w:tc>
          <w:tcPr>
            <w:tcW w:w="1815" w:type="dxa"/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15.24±2.83</w:t>
            </w:r>
          </w:p>
        </w:tc>
        <w:tc>
          <w:tcPr>
            <w:tcW w:w="1183" w:type="dxa"/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-0.06</w:t>
            </w:r>
          </w:p>
        </w:tc>
        <w:tc>
          <w:tcPr>
            <w:tcW w:w="1262" w:type="dxa"/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0.95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  <w:jc w:val="center"/>
        </w:trPr>
        <w:tc>
          <w:tcPr>
            <w:tcW w:w="2124" w:type="dxa"/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SSD（120N）</w:t>
            </w:r>
          </w:p>
        </w:tc>
        <w:tc>
          <w:tcPr>
            <w:tcW w:w="1420" w:type="dxa"/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1.6±1.31</w:t>
            </w:r>
          </w:p>
        </w:tc>
        <w:tc>
          <w:tcPr>
            <w:tcW w:w="1815" w:type="dxa"/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2.64±2.5</w:t>
            </w:r>
          </w:p>
        </w:tc>
        <w:tc>
          <w:tcPr>
            <w:tcW w:w="1183" w:type="dxa"/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-1.82</w:t>
            </w:r>
          </w:p>
        </w:tc>
        <w:tc>
          <w:tcPr>
            <w:tcW w:w="1262" w:type="dxa"/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0.08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124" w:type="dxa"/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Left</w:t>
            </w:r>
            <w:r>
              <w:rPr>
                <w:rStyle w:val="6"/>
                <w:rFonts w:hint="eastAsia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 </w:t>
            </w: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Displacement（150N）</w:t>
            </w:r>
          </w:p>
        </w:tc>
        <w:tc>
          <w:tcPr>
            <w:tcW w:w="1420" w:type="dxa"/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16.09±2.59</w:t>
            </w:r>
          </w:p>
        </w:tc>
        <w:tc>
          <w:tcPr>
            <w:tcW w:w="1815" w:type="dxa"/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15.84±2.39</w:t>
            </w:r>
          </w:p>
        </w:tc>
        <w:tc>
          <w:tcPr>
            <w:tcW w:w="1183" w:type="dxa"/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0.45</w:t>
            </w:r>
          </w:p>
        </w:tc>
        <w:tc>
          <w:tcPr>
            <w:tcW w:w="1262" w:type="dxa"/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0.65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124" w:type="dxa"/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Right Displacement（150N）</w:t>
            </w:r>
          </w:p>
        </w:tc>
        <w:tc>
          <w:tcPr>
            <w:tcW w:w="1420" w:type="dxa"/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16.58±2.14</w:t>
            </w:r>
          </w:p>
        </w:tc>
        <w:tc>
          <w:tcPr>
            <w:tcW w:w="1815" w:type="dxa"/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16.49±4.53</w:t>
            </w:r>
          </w:p>
        </w:tc>
        <w:tc>
          <w:tcPr>
            <w:tcW w:w="1183" w:type="dxa"/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0.08</w:t>
            </w:r>
          </w:p>
        </w:tc>
        <w:tc>
          <w:tcPr>
            <w:tcW w:w="1262" w:type="dxa"/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0.94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124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SSD（150N）</w:t>
            </w:r>
          </w:p>
        </w:tc>
        <w:tc>
          <w:tcPr>
            <w:tcW w:w="1420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1.74±1.46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3.01±2.83</w:t>
            </w:r>
          </w:p>
        </w:tc>
        <w:tc>
          <w:tcPr>
            <w:tcW w:w="1183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-1.88</w:t>
            </w:r>
          </w:p>
        </w:tc>
        <w:tc>
          <w:tcPr>
            <w:tcW w:w="1262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6"/>
                <w:rFonts w:hint="default" w:ascii="Arial Regular" w:hAnsi="Arial Regular" w:eastAsia="Segoe UI" w:cs="Arial Regular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0.07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Style w:val="7"/>
          <w:rFonts w:ascii="Segoe UI" w:hAnsi="Segoe UI" w:eastAsia="Segoe UI" w:cs="Segoe UI"/>
          <w:caps w:val="0"/>
          <w:color w:val="0F1115"/>
          <w:spacing w:val="0"/>
          <w:sz w:val="19"/>
          <w:szCs w:val="19"/>
          <w:shd w:val="clear" w:fill="FFFFFF"/>
        </w:rPr>
      </w:pPr>
      <w:r>
        <w:rPr>
          <w:rStyle w:val="7"/>
          <w:rFonts w:ascii="Segoe UI" w:hAnsi="Segoe UI" w:eastAsia="Segoe UI" w:cs="Segoe UI"/>
          <w:caps w:val="0"/>
          <w:color w:val="0F1115"/>
          <w:spacing w:val="0"/>
          <w:sz w:val="19"/>
          <w:szCs w:val="19"/>
          <w:shd w:val="clear" w:fill="FFFFFF"/>
        </w:rPr>
        <w:t xml:space="preserve">Note: </w:t>
      </w:r>
      <w:r>
        <w:rPr>
          <w:rStyle w:val="7"/>
          <w:rFonts w:ascii="Segoe UI" w:hAnsi="Segoe UI" w:eastAsia="Segoe UI" w:cs="Segoe UI"/>
          <w:caps w:val="0"/>
          <w:color w:val="0F1115"/>
          <w:spacing w:val="0"/>
          <w:sz w:val="19"/>
          <w:szCs w:val="19"/>
          <w:shd w:val="clear" w:fill="FFFFFF"/>
          <w:lang w:val="en-US" w:eastAsia="zh-CN"/>
        </w:rPr>
        <w:t>SSD = Side-to-Side Difference (absolute difference between left and right displacement under the same load).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 Regular" w:hAnsi="Arial Regular" w:cs="Arial Regular" w:eastAsiaTheme="minorEastAsia"/>
          <w:kern w:val="2"/>
          <w:sz w:val="21"/>
          <w:szCs w:val="24"/>
          <w:lang w:val="en-US" w:eastAsia="zh-CN" w:bidi="ar-SA"/>
        </w:rPr>
      </w:pPr>
      <w:r>
        <w:rPr>
          <w:rFonts w:hint="default" w:ascii="Arial Regular" w:hAnsi="Arial Regular" w:cs="Arial Regular" w:eastAsiaTheme="minorEastAsia"/>
          <w:kern w:val="2"/>
          <w:sz w:val="21"/>
          <w:szCs w:val="24"/>
          <w:lang w:val="en-US" w:eastAsia="zh-CN" w:bidi="ar-SA"/>
        </w:rPr>
        <w:t>Paired t-tests revealed no statistically significant changes in ACL displacement for either limb across all loading conditions following the intervention. Similarly, while SSD values showed a tendency to increase post-training (p-values approaching 0.05), these changes did not reach conventional significance levels, indicating that the training program did not substantially alter ACL mechanical properties or bilateral symmetry in the short term.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5" w:beforeAutospacing="0" w:after="165" w:afterAutospacing="0" w:line="240" w:lineRule="auto"/>
        <w:ind w:right="0" w:rightChars="0"/>
        <w:textAlignment w:val="auto"/>
        <w:rPr>
          <w:rFonts w:hint="default" w:ascii="Arial Regular" w:hAnsi="Arial Regular" w:cs="Arial Regular" w:eastAsiaTheme="minorEastAsia"/>
          <w:kern w:val="2"/>
          <w:sz w:val="21"/>
          <w:szCs w:val="24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egular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Segoe UI">
    <w:altName w:val="苹方-简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 Bold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C6855"/>
    <w:multiLevelType w:val="singleLevel"/>
    <w:tmpl w:val="6FEC685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BF33AD"/>
    <w:rsid w:val="25F5C51D"/>
    <w:rsid w:val="4AFFC8D8"/>
    <w:rsid w:val="584A2BCA"/>
    <w:rsid w:val="77CB5215"/>
    <w:rsid w:val="7EE36508"/>
    <w:rsid w:val="BE961A60"/>
    <w:rsid w:val="BFBF33AD"/>
    <w:rsid w:val="F5BF7785"/>
    <w:rsid w:val="FAB82BBE"/>
    <w:rsid w:val="FCD1A944"/>
    <w:rsid w:val="FF75D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2025-12-19T00:58:00Z</dcterms:created>
  <dc:creator>LEO</dc:creator>
  <cp:lastModifiedBy>LEO</cp:lastModifiedBy>
  <dcterms:modified xsi:type="dcterms:W3CDTF">2025-12-29T23:29:16Z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8511FD628FE9474636C243699DB21C30_41</vt:lpwstr>
  </property>
</Properties>
</file>