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EA585" w14:textId="77777777" w:rsidR="003C12A5" w:rsidRPr="00D76BAD" w:rsidRDefault="003C12A5" w:rsidP="003C12A5">
      <w:pPr>
        <w:spacing w:line="480" w:lineRule="auto"/>
        <w:rPr>
          <w:rFonts w:ascii="Times New Roman" w:hAnsi="Times New Roman" w:cs="Times New Roman"/>
          <w:b/>
          <w:bCs/>
          <w:sz w:val="22"/>
          <w:szCs w:val="22"/>
        </w:rPr>
      </w:pPr>
      <w:r w:rsidRPr="00D76BAD">
        <w:rPr>
          <w:rFonts w:ascii="Times New Roman" w:hAnsi="Times New Roman" w:cs="Times New Roman"/>
          <w:b/>
          <w:bCs/>
          <w:sz w:val="22"/>
          <w:szCs w:val="22"/>
        </w:rPr>
        <w:t xml:space="preserve">Table:1 Characteristics of studies on social determinants of health and healthcare-associated infections: HAI Type, Study Design, Setting, </w:t>
      </w:r>
    </w:p>
    <w:p w14:paraId="29E0A4B4" w14:textId="77777777" w:rsidR="003C12A5" w:rsidRPr="00D76BAD" w:rsidRDefault="003C12A5" w:rsidP="003C12A5">
      <w:pPr>
        <w:spacing w:line="480" w:lineRule="auto"/>
        <w:rPr>
          <w:rFonts w:ascii="Times New Roman" w:hAnsi="Times New Roman" w:cs="Times New Roman"/>
          <w:b/>
          <w:bCs/>
          <w:sz w:val="22"/>
          <w:szCs w:val="22"/>
        </w:rPr>
      </w:pPr>
      <w:r w:rsidRPr="00D76BAD">
        <w:rPr>
          <w:rFonts w:ascii="Times New Roman" w:hAnsi="Times New Roman" w:cs="Times New Roman"/>
          <w:b/>
          <w:bCs/>
          <w:sz w:val="22"/>
          <w:szCs w:val="22"/>
        </w:rPr>
        <w:t>SDOH Variable and Findings</w:t>
      </w:r>
    </w:p>
    <w:tbl>
      <w:tblPr>
        <w:tblStyle w:val="PlainTable5"/>
        <w:tblW w:w="13158" w:type="dxa"/>
        <w:tblInd w:w="-108" w:type="dxa"/>
        <w:tblLook w:val="04A0" w:firstRow="1" w:lastRow="0" w:firstColumn="1" w:lastColumn="0" w:noHBand="0" w:noVBand="1"/>
      </w:tblPr>
      <w:tblGrid>
        <w:gridCol w:w="41"/>
        <w:gridCol w:w="26"/>
        <w:gridCol w:w="51"/>
        <w:gridCol w:w="1546"/>
        <w:gridCol w:w="1151"/>
        <w:gridCol w:w="83"/>
        <w:gridCol w:w="1550"/>
        <w:gridCol w:w="1754"/>
        <w:gridCol w:w="2011"/>
        <w:gridCol w:w="234"/>
        <w:gridCol w:w="4666"/>
        <w:gridCol w:w="45"/>
      </w:tblGrid>
      <w:tr w:rsidR="003C12A5" w:rsidRPr="00D76BAD" w14:paraId="42C81C38" w14:textId="77777777" w:rsidTr="00F5109C">
        <w:trPr>
          <w:gridBefore w:val="2"/>
          <w:cnfStyle w:val="100000000000" w:firstRow="1" w:lastRow="0" w:firstColumn="0" w:lastColumn="0" w:oddVBand="0" w:evenVBand="0" w:oddHBand="0" w:evenHBand="0" w:firstRowFirstColumn="0" w:firstRowLastColumn="0" w:lastRowFirstColumn="0" w:lastRowLastColumn="0"/>
          <w:wBefore w:w="67" w:type="dxa"/>
        </w:trPr>
        <w:tc>
          <w:tcPr>
            <w:cnfStyle w:val="001000000100" w:firstRow="0" w:lastRow="0" w:firstColumn="1" w:lastColumn="0" w:oddVBand="0" w:evenVBand="0" w:oddHBand="0" w:evenHBand="0" w:firstRowFirstColumn="1" w:firstRowLastColumn="0" w:lastRowFirstColumn="0" w:lastRowLastColumn="0"/>
            <w:tcW w:w="1597" w:type="dxa"/>
            <w:gridSpan w:val="2"/>
            <w:tcBorders>
              <w:right w:val="single" w:sz="4" w:space="0" w:color="auto"/>
            </w:tcBorders>
            <w:hideMark/>
          </w:tcPr>
          <w:p w14:paraId="2A1B4883" w14:textId="77777777" w:rsidR="003C12A5" w:rsidRPr="00D76BAD" w:rsidRDefault="003C12A5" w:rsidP="00F5109C">
            <w:pPr>
              <w:spacing w:line="480" w:lineRule="auto"/>
              <w:jc w:val="both"/>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Study (Author, Year)</w:t>
            </w:r>
          </w:p>
        </w:tc>
        <w:tc>
          <w:tcPr>
            <w:tcW w:w="1151" w:type="dxa"/>
            <w:tcBorders>
              <w:left w:val="single" w:sz="4" w:space="0" w:color="auto"/>
            </w:tcBorders>
            <w:hideMark/>
          </w:tcPr>
          <w:p w14:paraId="73B98920"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HAI Type</w:t>
            </w:r>
          </w:p>
        </w:tc>
        <w:tc>
          <w:tcPr>
            <w:tcW w:w="1633" w:type="dxa"/>
            <w:gridSpan w:val="2"/>
            <w:hideMark/>
          </w:tcPr>
          <w:p w14:paraId="2FCE9207"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i w:val="0"/>
                <w:iCs w:val="0"/>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Study Design &amp; </w:t>
            </w:r>
          </w:p>
          <w:p w14:paraId="22C4E4B2"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Data Source</w:t>
            </w:r>
          </w:p>
        </w:tc>
        <w:tc>
          <w:tcPr>
            <w:tcW w:w="1754" w:type="dxa"/>
            <w:hideMark/>
          </w:tcPr>
          <w:p w14:paraId="76864572"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Population/ Setting</w:t>
            </w:r>
          </w:p>
        </w:tc>
        <w:tc>
          <w:tcPr>
            <w:tcW w:w="2245" w:type="dxa"/>
            <w:gridSpan w:val="2"/>
            <w:hideMark/>
          </w:tcPr>
          <w:p w14:paraId="18231CE1"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SDOH</w:t>
            </w:r>
          </w:p>
          <w:p w14:paraId="16179DF6"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i w:val="0"/>
                <w:iCs w:val="0"/>
                <w:kern w:val="0"/>
                <w:sz w:val="22"/>
                <w:szCs w:val="22"/>
                <w14:ligatures w14:val="none"/>
              </w:rPr>
            </w:pPr>
            <w:r w:rsidRPr="00D76BAD">
              <w:rPr>
                <w:rFonts w:ascii="Times New Roman" w:eastAsia="Times New Roman" w:hAnsi="Times New Roman" w:cs="Times New Roman"/>
                <w:b/>
                <w:bCs/>
                <w:kern w:val="0"/>
                <w:sz w:val="22"/>
                <w:szCs w:val="22"/>
                <w14:ligatures w14:val="none"/>
              </w:rPr>
              <w:t>Assessed</w:t>
            </w:r>
          </w:p>
        </w:tc>
        <w:tc>
          <w:tcPr>
            <w:tcW w:w="4711" w:type="dxa"/>
            <w:gridSpan w:val="2"/>
          </w:tcPr>
          <w:p w14:paraId="23139F04" w14:textId="77777777" w:rsidR="003C12A5" w:rsidRPr="00D76BAD" w:rsidRDefault="003C12A5" w:rsidP="00F5109C">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Findings</w:t>
            </w:r>
          </w:p>
        </w:tc>
      </w:tr>
      <w:tr w:rsidR="003C12A5" w:rsidRPr="00D76BAD" w14:paraId="16D00157" w14:textId="77777777" w:rsidTr="00F5109C">
        <w:trPr>
          <w:gridAfter w:val="1"/>
          <w:cnfStyle w:val="000000100000" w:firstRow="0" w:lastRow="0" w:firstColumn="0" w:lastColumn="0" w:oddVBand="0" w:evenVBand="0" w:oddHBand="1" w:evenHBand="0" w:firstRowFirstColumn="0" w:firstRowLastColumn="0" w:lastRowFirstColumn="0" w:lastRowLastColumn="0"/>
          <w:wAfter w:w="45" w:type="dxa"/>
        </w:trPr>
        <w:tc>
          <w:tcPr>
            <w:cnfStyle w:val="001000000000" w:firstRow="0" w:lastRow="0" w:firstColumn="1" w:lastColumn="0" w:oddVBand="0" w:evenVBand="0" w:oddHBand="0" w:evenHBand="0" w:firstRowFirstColumn="0" w:firstRowLastColumn="0" w:lastRowFirstColumn="0" w:lastRowLastColumn="0"/>
            <w:tcW w:w="1664" w:type="dxa"/>
            <w:gridSpan w:val="4"/>
            <w:hideMark/>
          </w:tcPr>
          <w:p w14:paraId="11EF59ED"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Shaka et al., </w:t>
            </w:r>
          </w:p>
          <w:p w14:paraId="26599AD0" w14:textId="77777777" w:rsidR="003C12A5" w:rsidRPr="00D76BAD" w:rsidRDefault="003C12A5" w:rsidP="00F5109C">
            <w:pPr>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2022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{"citationID":"6UhLCmZQ","properties":{"formattedCitation":"[14]","plainCitation":"[14]","noteIndex":0},"citationItems":[{"id":3000,"uris":["http://zotero.org/users/19095250/items/LQ4RJHWQ"],"itemData":{"id":3000,"type":"article-journal","abstract":"Ventilator-associated pneumonia (VAP) is a major cause of healthcare-associated mortality and morbidity in critically ill patients who are mechanically ventilated. The purpose of this study was to describe the various primary discharge diagnoses of hospitalizations with VAP, to identify their demographic characteristics, and to identify risk factors for mortality in hospitalizations with VAP. Hospitalizations with a diagnosis of VAP with mechanical ventilation for over 24 hours were selected from the National Inpatient Sample in 2016 and 2017. In total, 33,140 hospitalizations with VAP were analyzed. The leading principal discharge diagnoses for hospitalizations leading to VAP were sepsis due to an unspecified organism (16.92%), respiratory failure (8.09%), and VAP (6.38%). Mortality among hospitalizations with VAP was 20.9%. Independent risk factors for mortality in hospitalizations with VAP were uninsured status (adjusted odds ratio [aOR] 2.13, 95% confidence interval [CI] 1.49–3.06, P &lt; 0.001), acute renal failure (aOR 2.00, 95% CI 1.75–2.30, P &lt; 0.001), and liver disease (aOR 1.82, 95% CI 1.52–2.18, P &lt; 0.001). In conclusion, VAP is associated with significant mortality. Infective, traumatic, cardiovascular, and respiratory conditions accounted for over 85% of hospitalizations with VAP. Acute renal failure, the presence of liver disease, and lack of insurance are associated with higher mortality in hospitalizations with VAP.","container-title":"Proceedings (Baylor University. Medical Center)","DOI":"10.1080/08998280.2022.2049960","ISSN":"0899-8280","issue":"4","journalAbbreviation":"Proc (Bayl Univ Med Cent)","note":"PMID: 35754600\nPMCID: PMC9196743","page":"410-414","source":"PubMed Central","title":"A nationwide retrospective analysis of ventilator-associated pneumonia in the US","volume":"35","author":[{"family":"Shaka","given":"Hafeez"},{"family":"El-amir","given":"Zain"},{"family":"Akhtar","given":"Tauseef"},{"family":"Wani","given":"Farah"},{"family":"Raghavan","given":"Sairam"},{"family":"Khamooshi","given":"Parnia"},{"family":"Trelles-Garcia","given":"Valeria"},{"family":"Kichloo","given":"Asim"}]}}],"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[14]</w:t>
            </w:r>
            <w:r w:rsidRPr="00D76BAD">
              <w:rPr>
                <w:rFonts w:ascii="Times New Roman" w:eastAsia="Times New Roman" w:hAnsi="Times New Roman" w:cs="Times New Roman"/>
                <w:b/>
                <w:bCs/>
                <w:kern w:val="0"/>
                <w:sz w:val="22"/>
                <w:szCs w:val="22"/>
                <w14:ligatures w14:val="none"/>
              </w:rPr>
              <w:fldChar w:fldCharType="end"/>
            </w:r>
          </w:p>
          <w:p w14:paraId="5694DC80" w14:textId="77777777" w:rsidR="003C12A5" w:rsidRPr="00D76BAD" w:rsidRDefault="003C12A5" w:rsidP="00F5109C">
            <w:pPr>
              <w:spacing w:line="480" w:lineRule="auto"/>
              <w:jc w:val="left"/>
              <w:rPr>
                <w:rFonts w:ascii="Times New Roman" w:eastAsia="Times New Roman" w:hAnsi="Times New Roman" w:cs="Times New Roman"/>
                <w:b/>
                <w:bCs/>
                <w:kern w:val="0"/>
                <w:sz w:val="22"/>
                <w:szCs w:val="22"/>
                <w14:ligatures w14:val="none"/>
              </w:rPr>
            </w:pPr>
          </w:p>
        </w:tc>
        <w:tc>
          <w:tcPr>
            <w:tcW w:w="1234" w:type="dxa"/>
            <w:gridSpan w:val="2"/>
            <w:hideMark/>
          </w:tcPr>
          <w:p w14:paraId="27DC0A8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VAP</w:t>
            </w:r>
          </w:p>
        </w:tc>
        <w:tc>
          <w:tcPr>
            <w:tcW w:w="1550" w:type="dxa"/>
            <w:hideMark/>
          </w:tcPr>
          <w:p w14:paraId="3F8C58FF"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(2016-2017); NIS</w:t>
            </w:r>
          </w:p>
        </w:tc>
        <w:tc>
          <w:tcPr>
            <w:tcW w:w="1754" w:type="dxa"/>
            <w:hideMark/>
          </w:tcPr>
          <w:p w14:paraId="063F0FD3"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33,140 VAP; nationwide</w:t>
            </w:r>
          </w:p>
        </w:tc>
        <w:tc>
          <w:tcPr>
            <w:tcW w:w="2011" w:type="dxa"/>
            <w:hideMark/>
          </w:tcPr>
          <w:p w14:paraId="3C4EB55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Insurance </w:t>
            </w:r>
          </w:p>
        </w:tc>
        <w:tc>
          <w:tcPr>
            <w:tcW w:w="4900" w:type="dxa"/>
            <w:gridSpan w:val="2"/>
          </w:tcPr>
          <w:tbl>
            <w:tblPr>
              <w:tblW w:w="4390" w:type="dxa"/>
              <w:tblCellSpacing w:w="15" w:type="dxa"/>
              <w:tblCellMar>
                <w:top w:w="15" w:type="dxa"/>
                <w:left w:w="15" w:type="dxa"/>
                <w:bottom w:w="15" w:type="dxa"/>
                <w:right w:w="15" w:type="dxa"/>
              </w:tblCellMar>
              <w:tblLook w:val="04A0" w:firstRow="1" w:lastRow="0" w:firstColumn="1" w:lastColumn="0" w:noHBand="0" w:noVBand="1"/>
            </w:tblPr>
            <w:tblGrid>
              <w:gridCol w:w="4390"/>
            </w:tblGrid>
            <w:tr w:rsidR="003C12A5" w:rsidRPr="00D76BAD" w14:paraId="5C05C276" w14:textId="77777777" w:rsidTr="00F5109C">
              <w:trPr>
                <w:tblCellSpacing w:w="15" w:type="dxa"/>
              </w:trPr>
              <w:tc>
                <w:tcPr>
                  <w:tcW w:w="4330" w:type="dxa"/>
                  <w:vAlign w:val="center"/>
                  <w:hideMark/>
                </w:tcPr>
                <w:p w14:paraId="328ECFF3" w14:textId="77777777" w:rsidR="003C12A5" w:rsidRPr="00D76BAD" w:rsidRDefault="003C12A5" w:rsidP="003C12A5">
                  <w:pPr>
                    <w:pStyle w:val="ListParagraph"/>
                    <w:numPr>
                      <w:ilvl w:val="0"/>
                      <w:numId w:val="7"/>
                    </w:numPr>
                    <w:spacing w:after="0" w:line="480" w:lineRule="auto"/>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Uninsured ↑ mortality with VAP </w:t>
                  </w:r>
                </w:p>
                <w:p w14:paraId="2BCC69DB" w14:textId="77777777" w:rsidR="003C12A5" w:rsidRPr="00D76BAD" w:rsidRDefault="003C12A5" w:rsidP="00F5109C">
                  <w:pPr>
                    <w:pStyle w:val="ListParagraph"/>
                    <w:spacing w:after="0" w:line="480" w:lineRule="auto"/>
                    <w:ind w:left="36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b/>
                      <w:bCs/>
                      <w:kern w:val="0"/>
                      <w:sz w:val="22"/>
                      <w:szCs w:val="22"/>
                      <w14:ligatures w14:val="none"/>
                    </w:rPr>
                    <w:t>(aOR 2.13; 95% CI 1.49–3.06).</w:t>
                  </w:r>
                </w:p>
              </w:tc>
            </w:tr>
            <w:tr w:rsidR="003C12A5" w:rsidRPr="00D76BAD" w14:paraId="3C318B4C" w14:textId="77777777" w:rsidTr="00F5109C">
              <w:trPr>
                <w:tblCellSpacing w:w="15" w:type="dxa"/>
              </w:trPr>
              <w:tc>
                <w:tcPr>
                  <w:tcW w:w="4330" w:type="dxa"/>
                  <w:vAlign w:val="center"/>
                  <w:hideMark/>
                </w:tcPr>
                <w:p w14:paraId="640202C7" w14:textId="77777777" w:rsidR="003C12A5" w:rsidRPr="00D76BAD" w:rsidRDefault="003C12A5" w:rsidP="00F5109C">
                  <w:pPr>
                    <w:spacing w:after="0" w:line="480" w:lineRule="auto"/>
                    <w:rPr>
                      <w:rFonts w:ascii="Times New Roman" w:eastAsia="Times New Roman" w:hAnsi="Times New Roman" w:cs="Times New Roman"/>
                      <w:kern w:val="0"/>
                      <w:sz w:val="22"/>
                      <w:szCs w:val="22"/>
                      <w14:ligatures w14:val="none"/>
                    </w:rPr>
                  </w:pPr>
                </w:p>
              </w:tc>
            </w:tr>
          </w:tbl>
          <w:p w14:paraId="53B9B7E0"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61AFC511" w14:textId="77777777" w:rsidTr="00F5109C">
        <w:trPr>
          <w:gridAfter w:val="1"/>
          <w:wAfter w:w="45" w:type="dxa"/>
        </w:trPr>
        <w:tc>
          <w:tcPr>
            <w:cnfStyle w:val="001000000000" w:firstRow="0" w:lastRow="0" w:firstColumn="1" w:lastColumn="0" w:oddVBand="0" w:evenVBand="0" w:oddHBand="0" w:evenHBand="0" w:firstRowFirstColumn="0" w:firstRowLastColumn="0" w:lastRowFirstColumn="0" w:lastRowLastColumn="0"/>
            <w:tcW w:w="1664" w:type="dxa"/>
            <w:gridSpan w:val="4"/>
          </w:tcPr>
          <w:p w14:paraId="44D02ED6"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Argamany et al.,</w:t>
            </w:r>
          </w:p>
          <w:p w14:paraId="01A1A57B"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2016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{"citationID":"td04mRlR","properties":{"formattedCitation":"[8]","plainCitation":"[8]","noteIndex":0},"citationItems":[{"id":2936,"uris":["http://zotero.org/users/19095250/items/YEU58SEV"],"itemData":{"id":2936,"type":"article-journal","abstract":"Background\nRecognition of health disparities in Clostridium difficile infection (CDI) is an initial step toward improved resource utilization and patient health. The purpose of this study was to identify health disparities by black vs. white race among hospitalized adults with CDI in the United States (U.S.) over 10 years.\n\nMethods\nThis was a retrospective analysis of the U.S. National Hospital Discharge Surveys from 2001 to 2010. Eligible cases included adults with an ICD-9-CM code for CDI (008.45). Patients with missing race or “other race” were excluded. The primary outcome, CDI incidence, was calculated as CDI discharges per 1,000 total discharges. Data weights were used to determine national estimates. Secondary outcomes included in-hospital mortality, hospital length of stay (LOS), and severe CDI. Comparisons were made using bivariable analyses. Race was assessed as an independent risk factor for CDI outcomes using logistic regression or proportional hazards models.\n\nResults\nThese data represent 1.7 million CDI discharges, where 90 % of patients were identified as white and 10 % black. Blacks differed from whites with respect to all baseline characteristics (p &lt;0.0001). CDI incidence was significantly higher in whites compared to blacks (7.7/1,000 discharges vs. 4.9/1,000 discharges, p &lt; 0.0001). Blacks had higher mortality (7.4 % vs. 7.2 %, p &lt; 0.0001), LOS &gt;7 days (57 % vs. 52 %, p &lt; 0.0001), and severe CDI (24 % vs. 19 %, p &lt; 0.0001). In multivariable analyses, black race was a positive predictor of mortality (OR 1.12, 95 % CI 1.09–1.15) and severe CDI (OR 1.09, 95 % CI 1.07–1.11), and negative predictor for hospital LOS (OR 0.93, 95 % CI 0.93–0.94).\n\nConclusions\nCDI incidence was higher for white patients; however, black race was independently associated with mortality and severe CDI.","container-title":"BMC Infectious Diseases","DOI":"10.1186/s12879-016-1788-4","ISSN":"1471-2334","issue":"1","journalAbbreviation":"BMC Infect Dis","note":"PMID: 27568176\nPMCID: PMC5002147","page":"454","source":"PubMed Central","title":"Clostridium difficile infection health disparities by race among hospitalized adults in the United States, 2001 to 2010","volume":"16","author":[{"family":"Argamany","given":"Jacqueline R."},{"family":"Delgado","given":"Andrew"},{"family":"Reveles","given":"Kelly R."}],"issued":{"date-parts":[["2016",8,27]]}}}],"schema":"https://github.com/citation-style-language/schema/raw/master/csl-citation.json"}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[8]</w:t>
            </w:r>
            <w:r w:rsidRPr="00D76BAD">
              <w:rPr>
                <w:rFonts w:ascii="Times New Roman" w:eastAsia="Times New Roman" w:hAnsi="Times New Roman" w:cs="Times New Roman"/>
                <w:b/>
                <w:bCs/>
                <w:kern w:val="0"/>
                <w:sz w:val="22"/>
                <w:szCs w:val="22"/>
                <w14:ligatures w14:val="none"/>
              </w:rPr>
              <w:fldChar w:fldCharType="end"/>
            </w:r>
          </w:p>
          <w:p w14:paraId="31561C14"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p>
        </w:tc>
        <w:tc>
          <w:tcPr>
            <w:tcW w:w="1234" w:type="dxa"/>
            <w:gridSpan w:val="2"/>
          </w:tcPr>
          <w:p w14:paraId="4F7FEE2D"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CDI</w:t>
            </w:r>
          </w:p>
        </w:tc>
        <w:tc>
          <w:tcPr>
            <w:tcW w:w="1550" w:type="dxa"/>
          </w:tcPr>
          <w:p w14:paraId="79E1218D"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(2001-2010); NHDS</w:t>
            </w:r>
          </w:p>
        </w:tc>
        <w:tc>
          <w:tcPr>
            <w:tcW w:w="1754" w:type="dxa"/>
          </w:tcPr>
          <w:p w14:paraId="4CD127A4"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1,676,903 CDI;</w:t>
            </w:r>
          </w:p>
          <w:p w14:paraId="0EEA9D84"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nationwide </w:t>
            </w:r>
          </w:p>
        </w:tc>
        <w:tc>
          <w:tcPr>
            <w:tcW w:w="2011" w:type="dxa"/>
          </w:tcPr>
          <w:p w14:paraId="59A989BF"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Race</w:t>
            </w:r>
          </w:p>
        </w:tc>
        <w:tc>
          <w:tcPr>
            <w:tcW w:w="4900" w:type="dxa"/>
            <w:gridSpan w:val="2"/>
          </w:tcPr>
          <w:p w14:paraId="58165873" w14:textId="77777777" w:rsidR="003C12A5" w:rsidRPr="00D76BAD" w:rsidRDefault="003C12A5" w:rsidP="003C12A5">
            <w:pPr>
              <w:pStyle w:val="ListParagraph"/>
              <w:numPr>
                <w:ilvl w:val="0"/>
                <w:numId w:val="6"/>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Black race ↑ mortality</w:t>
            </w:r>
            <w:r w:rsidRPr="00D76BAD">
              <w:rPr>
                <w:rFonts w:ascii="Times New Roman" w:eastAsia="Times New Roman" w:hAnsi="Times New Roman" w:cs="Times New Roman"/>
                <w:b/>
                <w:bCs/>
                <w:kern w:val="0"/>
                <w:sz w:val="22"/>
                <w:szCs w:val="22"/>
                <w14:ligatures w14:val="none"/>
              </w:rPr>
              <w:t xml:space="preserve"> (aOR 1.12; 95% CI 1.09–1.15).</w:t>
            </w:r>
          </w:p>
          <w:p w14:paraId="6C4C1B7A" w14:textId="77777777" w:rsidR="003C12A5" w:rsidRPr="00D76BAD" w:rsidRDefault="003C12A5" w:rsidP="003C12A5">
            <w:pPr>
              <w:pStyle w:val="ListParagraph"/>
              <w:numPr>
                <w:ilvl w:val="0"/>
                <w:numId w:val="6"/>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kern w:val="0"/>
                <w:sz w:val="22"/>
                <w:szCs w:val="22"/>
                <w14:ligatures w14:val="none"/>
              </w:rPr>
              <w:t>Severe CDI (</w:t>
            </w:r>
            <w:r w:rsidRPr="00D76BAD">
              <w:rPr>
                <w:rFonts w:ascii="Times New Roman" w:eastAsia="Times New Roman" w:hAnsi="Times New Roman" w:cs="Times New Roman"/>
                <w:b/>
                <w:bCs/>
                <w:kern w:val="0"/>
                <w:sz w:val="22"/>
                <w:szCs w:val="22"/>
                <w14:ligatures w14:val="none"/>
              </w:rPr>
              <w:t>aOR 1.09; 95% CI 1.07–1.11).</w:t>
            </w:r>
          </w:p>
          <w:p w14:paraId="3EC70025" w14:textId="77777777" w:rsidR="003C12A5" w:rsidRPr="00D76BAD" w:rsidRDefault="003C12A5" w:rsidP="003C12A5">
            <w:pPr>
              <w:pStyle w:val="ListParagraph"/>
              <w:numPr>
                <w:ilvl w:val="0"/>
                <w:numId w:val="6"/>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b/>
                <w:bCs/>
                <w:kern w:val="0"/>
                <w:sz w:val="22"/>
                <w:szCs w:val="22"/>
                <w14:ligatures w14:val="none"/>
              </w:rPr>
              <w:t>S</w:t>
            </w:r>
            <w:r w:rsidRPr="00D76BAD">
              <w:rPr>
                <w:rFonts w:ascii="Times New Roman" w:eastAsia="Times New Roman" w:hAnsi="Times New Roman" w:cs="Times New Roman"/>
                <w:kern w:val="0"/>
                <w:sz w:val="22"/>
                <w:szCs w:val="22"/>
                <w14:ligatures w14:val="none"/>
              </w:rPr>
              <w:t xml:space="preserve">horter LOS </w:t>
            </w:r>
            <w:r w:rsidRPr="00D76BAD">
              <w:rPr>
                <w:rFonts w:ascii="Times New Roman" w:eastAsia="Times New Roman" w:hAnsi="Times New Roman" w:cs="Times New Roman"/>
                <w:b/>
                <w:bCs/>
                <w:kern w:val="0"/>
                <w:sz w:val="22"/>
                <w:szCs w:val="22"/>
                <w14:ligatures w14:val="none"/>
              </w:rPr>
              <w:t>(aOR 0.94; 95% CI 0.93–0.94).</w:t>
            </w:r>
          </w:p>
          <w:p w14:paraId="735D69C6" w14:textId="77777777" w:rsidR="003C12A5" w:rsidRPr="00D76BAD" w:rsidRDefault="003C12A5" w:rsidP="003C12A5">
            <w:pPr>
              <w:pStyle w:val="ListParagraph"/>
              <w:numPr>
                <w:ilvl w:val="0"/>
                <w:numId w:val="6"/>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CDI incidence ↑ White patients </w:t>
            </w:r>
            <w:r w:rsidRPr="00D76BAD">
              <w:rPr>
                <w:rFonts w:ascii="Times New Roman" w:eastAsia="Times New Roman" w:hAnsi="Times New Roman" w:cs="Times New Roman"/>
                <w:b/>
                <w:bCs/>
                <w:kern w:val="0"/>
                <w:sz w:val="22"/>
                <w:szCs w:val="22"/>
                <w14:ligatures w14:val="none"/>
              </w:rPr>
              <w:t>(7.7 vs 4.9 per 1,000 discharges, p&lt;0.0001).</w:t>
            </w:r>
          </w:p>
        </w:tc>
      </w:tr>
      <w:tr w:rsidR="003C12A5" w:rsidRPr="00D76BAD" w14:paraId="39E65B22" w14:textId="77777777" w:rsidTr="00F5109C">
        <w:trPr>
          <w:gridBefore w:val="1"/>
          <w:gridAfter w:val="1"/>
          <w:cnfStyle w:val="000000100000" w:firstRow="0" w:lastRow="0" w:firstColumn="0" w:lastColumn="0" w:oddVBand="0" w:evenVBand="0" w:oddHBand="1" w:evenHBand="0" w:firstRowFirstColumn="0" w:firstRowLastColumn="0" w:lastRowFirstColumn="0" w:lastRowLastColumn="0"/>
          <w:wBefore w:w="41" w:type="dxa"/>
          <w:wAfter w:w="45" w:type="dxa"/>
        </w:trPr>
        <w:tc>
          <w:tcPr>
            <w:cnfStyle w:val="001000000000" w:firstRow="0" w:lastRow="0" w:firstColumn="1" w:lastColumn="0" w:oddVBand="0" w:evenVBand="0" w:oddHBand="0" w:evenHBand="0" w:firstRowFirstColumn="0" w:firstRowLastColumn="0" w:lastRowFirstColumn="0" w:lastRowLastColumn="0"/>
            <w:tcW w:w="1623" w:type="dxa"/>
            <w:gridSpan w:val="3"/>
          </w:tcPr>
          <w:p w14:paraId="2F280BFF"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Olsen et al., </w:t>
            </w:r>
          </w:p>
          <w:p w14:paraId="2E6101EA"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{"citationID":"X4qRpAER","properties":{"formattedCitation":"[9]","plainCitation":"[9]","noteIndex":0},"citationItems":[{"id":2939,"uris":["http://zotero.org/users/19095250/items/ZLTCEUER"],"itemData":{"id":2939,"type":"article-journal","abstract":"OBJECTIVE: Few data are available to quantify the Clostridioides difficile infection (CDI) burden in US adults depending on Medicaid insurance status; thus, we sought to contribute to this body of information.\nMETHODS: Retrospective cohort study to identify adults with codes for CDI from 2011 to 2017 in MarketScan commercial and Medicaid databases (for those aged 25-64 years) and the CMS Medicare database (for those aged ≥65 years). CDI was categorized as healthcare-facility-associated (HCA-CDI) and community-associated CDI (CA-CDI). CDI incidence rates were compared by year, insurer, and age group.\nRESULTS: The overall CDI incidence in the elderly was 3.1-fold higher in persons insured by Medicare plus Medicaid than in those insured by Medicare only (1,935 vs 618 per 100,000 person years (PY)), and the CDI incidence was 2.7-fold higher in younger adults with Medicaid compared to commercial insurance (195 vs 73 per 100,000 PY). From 2011 to 2017, HCA-CDI rates declined in the younger Medicaid population (124.0 to 95.2 per 100,000 PY; P &lt; .001) but were stable in those commercially insured (25.9 to 24.8 per 100,000 PY; P = .33). In the elderly HCA-CDI rates declined from 2011 to 2017 in the Medicare-only population (403 to 318 per 100,000 PY; P &lt; .001) and the Medicare plus Medicaid population (1,770 to 1,163 per 100,000 PY; P &lt; .002). Persons with chronic medical conditions and those with immunocompromising conditions insured by Medicaid had 2.8- and 2.7-fold higher CDI incidence compared to the commercially insured population, respectively. The incidence of CDI was lowest in Medicaid and commercially insured younger adults without chronic medical or immunosuppressive conditions (67.5 and 45.6 per 100,000 PY, respectively).\nCONCLUSIONS: Although HCA-CDI incidence decreased from 2011 to 2017 in elderly and younger adults insured by Medicaid, the burden of CDI remains much higher in low-income adults insured by Medicaid.","container-title":"Infection Control and Hospital Epidemiology","DOI":"10.1017/ice.2022.208","ISSN":"1559-6834","issue":"7","journalAbbreviation":"Infect Control Hosp Epidemiol","language":"eng","note":"PMID: 36082779\nPMCID: PMC9995604","page":"1076-1084","source":"PubMed","title":"Trends in the incidence of Clostridioides difficile infection in adults and the elderly insured by Medicaid compared to commercial insurance or Medicare only","volume":"44","author":[{"family":"Olsen","given":"Margaret A."},{"family":"Stwalley","given":"Dustin"},{"family":"Tipping","given":"Andrew D."},{"family":"Keller","given":"Matthew R."},{"family":"Yu","given":"Holly"},{"family":"Dubberke","given":"Erik R."}],"issued":{"date-parts":[["2023",7]]}}}],"schema":"https://github.com/citation-style-language/schema/raw/master/csl-citation.json"}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[9]</w:t>
            </w:r>
            <w:r w:rsidRPr="00D76BAD">
              <w:rPr>
                <w:rFonts w:ascii="Times New Roman" w:eastAsia="Times New Roman" w:hAnsi="Times New Roman" w:cs="Times New Roman"/>
                <w:b/>
                <w:bCs/>
                <w:kern w:val="0"/>
                <w:sz w:val="22"/>
                <w:szCs w:val="22"/>
                <w14:ligatures w14:val="none"/>
              </w:rPr>
              <w:fldChar w:fldCharType="end"/>
            </w:r>
          </w:p>
        </w:tc>
        <w:tc>
          <w:tcPr>
            <w:tcW w:w="1234" w:type="dxa"/>
            <w:gridSpan w:val="2"/>
          </w:tcPr>
          <w:p w14:paraId="5A934466"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CDI</w:t>
            </w:r>
          </w:p>
        </w:tc>
        <w:tc>
          <w:tcPr>
            <w:tcW w:w="1550" w:type="dxa"/>
          </w:tcPr>
          <w:p w14:paraId="5EB3E774"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Retrospective (2011-2017); MarketScan Commercial and Medicaid </w:t>
            </w:r>
          </w:p>
        </w:tc>
        <w:tc>
          <w:tcPr>
            <w:tcW w:w="1754" w:type="dxa"/>
          </w:tcPr>
          <w:p w14:paraId="36C32448"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71,668 CDI;</w:t>
            </w:r>
          </w:p>
          <w:p w14:paraId="7753C18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nationwide</w:t>
            </w:r>
          </w:p>
        </w:tc>
        <w:tc>
          <w:tcPr>
            <w:tcW w:w="2011" w:type="dxa"/>
          </w:tcPr>
          <w:p w14:paraId="633392E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Insurance</w:t>
            </w:r>
          </w:p>
        </w:tc>
        <w:tc>
          <w:tcPr>
            <w:tcW w:w="4900" w:type="dxa"/>
            <w:gridSpan w:val="2"/>
          </w:tcPr>
          <w:p w14:paraId="4C96CF47" w14:textId="77777777" w:rsidR="003C12A5" w:rsidRPr="00D76BAD" w:rsidRDefault="003C12A5" w:rsidP="003C12A5">
            <w:pPr>
              <w:pStyle w:val="ListParagraph"/>
              <w:numPr>
                <w:ilvl w:val="0"/>
                <w:numId w:val="5"/>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 </w:t>
            </w:r>
            <w:r w:rsidRPr="00D76BAD">
              <w:rPr>
                <w:rFonts w:ascii="Times New Roman" w:eastAsia="Times New Roman" w:hAnsi="Times New Roman" w:cs="Times New Roman"/>
                <w:b/>
                <w:bCs/>
                <w:kern w:val="0"/>
                <w:sz w:val="22"/>
                <w:szCs w:val="22"/>
                <w14:ligatures w14:val="none"/>
              </w:rPr>
              <w:t>CDI incidence:</w:t>
            </w:r>
            <w:r w:rsidRPr="00D76BAD">
              <w:rPr>
                <w:rFonts w:ascii="Times New Roman" w:eastAsia="Times New Roman" w:hAnsi="Times New Roman" w:cs="Times New Roman"/>
                <w:kern w:val="0"/>
                <w:sz w:val="22"/>
                <w:szCs w:val="22"/>
                <w14:ligatures w14:val="none"/>
              </w:rPr>
              <w:t xml:space="preserve"> Dual-eligible had </w:t>
            </w:r>
            <w:r w:rsidRPr="00D76BAD">
              <w:rPr>
                <w:rFonts w:ascii="Times New Roman" w:eastAsia="Times New Roman" w:hAnsi="Times New Roman" w:cs="Times New Roman"/>
                <w:b/>
                <w:bCs/>
                <w:kern w:val="0"/>
                <w:sz w:val="22"/>
                <w:szCs w:val="22"/>
                <w14:ligatures w14:val="none"/>
              </w:rPr>
              <w:t>3.1</w:t>
            </w:r>
            <w:r w:rsidRPr="00D76BAD">
              <w:rPr>
                <w:rFonts w:ascii="Times New Roman" w:eastAsia="Times New Roman" w:hAnsi="Times New Roman" w:cs="Times New Roman"/>
                <w:kern w:val="0"/>
                <w:sz w:val="22"/>
                <w:szCs w:val="22"/>
                <w14:ligatures w14:val="none"/>
              </w:rPr>
              <w:t xml:space="preserve"> ↑CDI than Medicare-only; younger Medicaid had </w:t>
            </w:r>
            <w:r w:rsidRPr="00D76BAD">
              <w:rPr>
                <w:rFonts w:ascii="Times New Roman" w:eastAsia="Times New Roman" w:hAnsi="Times New Roman" w:cs="Times New Roman"/>
                <w:b/>
                <w:bCs/>
                <w:kern w:val="0"/>
                <w:sz w:val="22"/>
                <w:szCs w:val="22"/>
                <w14:ligatures w14:val="none"/>
              </w:rPr>
              <w:t>2.7</w:t>
            </w:r>
            <w:r w:rsidRPr="00D76BAD">
              <w:rPr>
                <w:rFonts w:ascii="Times New Roman" w:eastAsia="Times New Roman" w:hAnsi="Times New Roman" w:cs="Times New Roman"/>
                <w:kern w:val="0"/>
                <w:sz w:val="22"/>
                <w:szCs w:val="22"/>
                <w14:ligatures w14:val="none"/>
              </w:rPr>
              <w:t xml:space="preserve"> ↑CDI than commercially insured.</w:t>
            </w:r>
          </w:p>
          <w:p w14:paraId="509AB534" w14:textId="77777777" w:rsidR="003C12A5" w:rsidRPr="00D76BAD" w:rsidRDefault="003C12A5" w:rsidP="003C12A5">
            <w:pPr>
              <w:pStyle w:val="ListParagraph"/>
              <w:numPr>
                <w:ilvl w:val="0"/>
                <w:numId w:val="5"/>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b/>
                <w:bCs/>
                <w:kern w:val="0"/>
                <w:sz w:val="22"/>
                <w:szCs w:val="22"/>
                <w14:ligatures w14:val="none"/>
              </w:rPr>
              <w:t>Trend:</w:t>
            </w:r>
            <w:r w:rsidRPr="00D76BAD">
              <w:rPr>
                <w:rFonts w:ascii="Times New Roman" w:eastAsia="Times New Roman" w:hAnsi="Times New Roman" w:cs="Times New Roman"/>
                <w:kern w:val="0"/>
                <w:sz w:val="22"/>
                <w:szCs w:val="22"/>
                <w14:ligatures w14:val="none"/>
              </w:rPr>
              <w:t xml:space="preserve"> HCA-CDI rates ↓ across Medicaid and Medicare groups but remained </w:t>
            </w:r>
            <w:r w:rsidRPr="00D76BAD">
              <w:rPr>
                <w:rFonts w:ascii="Times New Roman" w:eastAsia="Times New Roman" w:hAnsi="Times New Roman" w:cs="Times New Roman"/>
                <w:b/>
                <w:bCs/>
                <w:kern w:val="0"/>
                <w:sz w:val="22"/>
                <w:szCs w:val="22"/>
                <w14:ligatures w14:val="none"/>
              </w:rPr>
              <w:t>stable</w:t>
            </w:r>
            <w:r w:rsidRPr="00D76BAD">
              <w:rPr>
                <w:rFonts w:ascii="Times New Roman" w:eastAsia="Times New Roman" w:hAnsi="Times New Roman" w:cs="Times New Roman"/>
                <w:kern w:val="0"/>
                <w:sz w:val="22"/>
                <w:szCs w:val="22"/>
                <w14:ligatures w14:val="none"/>
              </w:rPr>
              <w:t xml:space="preserve"> in commercially insured younger adults.</w:t>
            </w:r>
          </w:p>
          <w:p w14:paraId="5A2660A2" w14:textId="77777777" w:rsidR="003C12A5" w:rsidRPr="00D76BAD" w:rsidRDefault="003C12A5" w:rsidP="003C12A5">
            <w:pPr>
              <w:pStyle w:val="ListParagraph"/>
              <w:numPr>
                <w:ilvl w:val="0"/>
                <w:numId w:val="5"/>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b/>
                <w:bCs/>
                <w:kern w:val="0"/>
                <w:sz w:val="22"/>
                <w:szCs w:val="22"/>
                <w14:ligatures w14:val="none"/>
              </w:rPr>
              <w:t>Comorbidity effect:</w:t>
            </w:r>
            <w:r w:rsidRPr="00D76BAD">
              <w:rPr>
                <w:rFonts w:ascii="Times New Roman" w:eastAsia="Times New Roman" w:hAnsi="Times New Roman" w:cs="Times New Roman"/>
                <w:kern w:val="0"/>
                <w:sz w:val="22"/>
                <w:szCs w:val="22"/>
                <w14:ligatures w14:val="none"/>
              </w:rPr>
              <w:t xml:space="preserve"> Medicaid-insured with chronic or immunocompromising conditions had </w:t>
            </w:r>
            <w:r w:rsidRPr="00D76BAD">
              <w:rPr>
                <w:rFonts w:ascii="Times New Roman" w:eastAsia="Times New Roman" w:hAnsi="Times New Roman" w:cs="Times New Roman"/>
                <w:b/>
                <w:bCs/>
                <w:kern w:val="0"/>
                <w:sz w:val="22"/>
                <w:szCs w:val="22"/>
                <w14:ligatures w14:val="none"/>
              </w:rPr>
              <w:t>2.7–2.8</w:t>
            </w:r>
            <w:r w:rsidRPr="00D76BAD">
              <w:rPr>
                <w:rFonts w:ascii="Times New Roman" w:eastAsia="Times New Roman" w:hAnsi="Times New Roman" w:cs="Times New Roman"/>
                <w:kern w:val="0"/>
                <w:sz w:val="22"/>
                <w:szCs w:val="22"/>
                <w14:ligatures w14:val="none"/>
              </w:rPr>
              <w:t xml:space="preserve"> ↑ CDI; even without comorbidities CDI remained ↑ (</w:t>
            </w:r>
            <w:r w:rsidRPr="00D76BAD">
              <w:rPr>
                <w:rFonts w:ascii="Times New Roman" w:eastAsia="Times New Roman" w:hAnsi="Times New Roman" w:cs="Times New Roman"/>
                <w:b/>
                <w:bCs/>
                <w:kern w:val="0"/>
                <w:sz w:val="22"/>
                <w:szCs w:val="22"/>
                <w14:ligatures w14:val="none"/>
              </w:rPr>
              <w:t>67.5 vs 45.6/100k PY).</w:t>
            </w:r>
          </w:p>
          <w:p w14:paraId="0D561167"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13C35528" w14:textId="77777777" w:rsidTr="00F5109C">
        <w:trPr>
          <w:gridAfter w:val="1"/>
          <w:wAfter w:w="45" w:type="dxa"/>
        </w:trPr>
        <w:tc>
          <w:tcPr>
            <w:cnfStyle w:val="001000000000" w:firstRow="0" w:lastRow="0" w:firstColumn="1" w:lastColumn="0" w:oddVBand="0" w:evenVBand="0" w:oddHBand="0" w:evenHBand="0" w:firstRowFirstColumn="0" w:firstRowLastColumn="0" w:lastRowFirstColumn="0" w:lastRowLastColumn="0"/>
            <w:tcW w:w="1664" w:type="dxa"/>
            <w:gridSpan w:val="4"/>
          </w:tcPr>
          <w:p w14:paraId="55430277"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lastRenderedPageBreak/>
              <w:t xml:space="preserve">Ramai et al., </w:t>
            </w:r>
          </w:p>
          <w:p w14:paraId="06C26447"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2020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{"citationID":"EuLnPFkc","properties":{"formattedCitation":"[15]","plainCitation":"[15]","noteIndex":0},"citationItems":[{"id":2953,"uris":["http://zotero.org/users/19095250/items/UB2SNAZ7"],"itemData":{"id":2953,"type":"article-journal","abstract":"BACKGROUND: Hypervirulent strains of Clostridioides difficile have altered the landscape of hospital and community outbreaks. We aim to examine and compare spatiotemporal trends, incidence, hospital teaching status, mortality, and cost associated with hospital-acquired Clostridioides difficile infection (HCDI) and community-acquired Clostridioides difficile infection (CCDI).\nMETHODS: Retrospective cohorts were studied using data from the Healthcare Cost and Utilization Project (HCUP) Nationwide Inpatient Sample (NIS) from 2006 to 2015.\nRESULTS: A total of 76,124 cases of HCDI and 190,641 cases of CCDI were identified within the study period. The incidence of HCDI decreased from 8555 in 2006 to 7191 in 2015. Mortality also decreased during the same period (5.9% in 2006 to 1.4% 2015, p &lt; 0.0001). Conversely, CCDI cases increased from 13,823 in 2006 to 20,637 in 2015. CCDI mortality decreased during the same period (4.3% in 2006 to 1.9% 2015, p &lt; 0.0001). Rural hospital centers experienced the sharpest decline in HCDI mortality compared to urban and urban teaching centers (3.8%, p &lt; 0.0001 vs 2.8%, p &lt; 0.0001 vs 2.1%, p &lt; 0.0001). Multivariate logistic regression indicated that increasing age (p = 0.0001), increasing hospital length of stay (p = 0.0001), and Medicare insurance (p = 0.002) were significant predictors of mortality for CDI mortality. Geospatial mapping of CCDI and HCDI revealed that the Eastern and Southern US experienced the largest incidence of CDI over 10 years.\nCONCLUSION: The incidence of HCDI has decreased in the past decade while the incidence of CCDI hospitalization is sharply on the rise. While hospital length of stay and mortality has decreased over time, the cost of treating CDI remains high.","container-title":"International Journal of Colorectal Disease","DOI":"10.1007/s00384-020-03646-3","ISSN":"1432-1262","issue":"10","journalAbbreviation":"Int J Colorectal Dis","language":"eng","note":"PMID: 32556651","page":"1929-1935","source":"PubMed","title":"Clostridioides difficile infection in US hospitals: a national inpatient sample study","title-short":"Clostridioides difficile infection in US hospitals","volume":"35","author":[{"family":"Ramai","given":"Daryl"},{"family":"Dang-Ho","given":"Khoi Paul"},{"family":"Lewis","given":"Chris"},{"family":"Fields","given":"Paul J."},{"family":"Ofosu","given":"Andrew"},{"family":"Barakat","given":"Mohamed"},{"family":"Aamar","given":"Ali"},{"family":"Ofori","given":"Emmanuel"},{"family":"Lai","given":"Jonathan"},{"family":"Lanke","given":"Gandhi"},{"family":"Dhaliwal","given":"Amaninder"},{"family":"Reddy","given":"Madhavi"},{"family":"Gasperino","given":"James"}],"issued":{"date-parts":[["2020",10]]}}}],"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[15]</w:t>
            </w:r>
            <w:r w:rsidRPr="00D76BAD">
              <w:rPr>
                <w:rFonts w:ascii="Times New Roman" w:eastAsia="Times New Roman" w:hAnsi="Times New Roman" w:cs="Times New Roman"/>
                <w:b/>
                <w:bCs/>
                <w:kern w:val="0"/>
                <w:sz w:val="22"/>
                <w:szCs w:val="22"/>
                <w14:ligatures w14:val="none"/>
              </w:rPr>
              <w:fldChar w:fldCharType="end"/>
            </w:r>
          </w:p>
        </w:tc>
        <w:tc>
          <w:tcPr>
            <w:tcW w:w="1234" w:type="dxa"/>
            <w:gridSpan w:val="2"/>
          </w:tcPr>
          <w:p w14:paraId="6A8DB17C"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CDI</w:t>
            </w:r>
          </w:p>
        </w:tc>
        <w:tc>
          <w:tcPr>
            <w:tcW w:w="1550" w:type="dxa"/>
          </w:tcPr>
          <w:p w14:paraId="58DEDD01"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Retrospective (2006–2015); HCUP- NIS </w:t>
            </w:r>
          </w:p>
        </w:tc>
        <w:tc>
          <w:tcPr>
            <w:tcW w:w="1754" w:type="dxa"/>
          </w:tcPr>
          <w:p w14:paraId="78D14BF9"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76,124 CDI; nationwide</w:t>
            </w:r>
          </w:p>
        </w:tc>
        <w:tc>
          <w:tcPr>
            <w:tcW w:w="2011" w:type="dxa"/>
          </w:tcPr>
          <w:p w14:paraId="105C7CC8"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Insurance; hospital type; region</w:t>
            </w:r>
          </w:p>
        </w:tc>
        <w:tc>
          <w:tcPr>
            <w:tcW w:w="4900" w:type="dxa"/>
            <w:gridSpan w:val="2"/>
          </w:tcPr>
          <w:tbl>
            <w:tblPr>
              <w:tblW w:w="4605" w:type="dxa"/>
              <w:tblCellSpacing w:w="15" w:type="dxa"/>
              <w:tblCellMar>
                <w:top w:w="15" w:type="dxa"/>
                <w:left w:w="15" w:type="dxa"/>
                <w:bottom w:w="15" w:type="dxa"/>
                <w:right w:w="15" w:type="dxa"/>
              </w:tblCellMar>
              <w:tblLook w:val="04A0" w:firstRow="1" w:lastRow="0" w:firstColumn="1" w:lastColumn="0" w:noHBand="0" w:noVBand="1"/>
            </w:tblPr>
            <w:tblGrid>
              <w:gridCol w:w="4605"/>
            </w:tblGrid>
            <w:tr w:rsidR="003C12A5" w:rsidRPr="00D76BAD" w14:paraId="735AC0FC" w14:textId="77777777" w:rsidTr="00F5109C">
              <w:trPr>
                <w:trHeight w:val="677"/>
                <w:tblCellSpacing w:w="15" w:type="dxa"/>
              </w:trPr>
              <w:tc>
                <w:tcPr>
                  <w:tcW w:w="0" w:type="auto"/>
                  <w:vAlign w:val="center"/>
                  <w:hideMark/>
                </w:tcPr>
                <w:p w14:paraId="472BB8BB" w14:textId="77777777" w:rsidR="003C12A5" w:rsidRPr="00D76BAD" w:rsidRDefault="003C12A5" w:rsidP="003C12A5">
                  <w:pPr>
                    <w:pStyle w:val="ListParagraph"/>
                    <w:numPr>
                      <w:ilvl w:val="0"/>
                      <w:numId w:val="9"/>
                    </w:numPr>
                    <w:spacing w:after="0" w:line="480" w:lineRule="auto"/>
                    <w:contextualSpacing w:val="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Mortality ↓ markedly: CDI 5.9%→1.4%</w:t>
                  </w:r>
                </w:p>
              </w:tc>
            </w:tr>
            <w:tr w:rsidR="003C12A5" w:rsidRPr="00D76BAD" w14:paraId="584AE5F6" w14:textId="77777777" w:rsidTr="00F5109C">
              <w:trPr>
                <w:trHeight w:val="677"/>
                <w:tblCellSpacing w:w="15" w:type="dxa"/>
              </w:trPr>
              <w:tc>
                <w:tcPr>
                  <w:tcW w:w="0" w:type="auto"/>
                  <w:vAlign w:val="center"/>
                  <w:hideMark/>
                </w:tcPr>
                <w:p w14:paraId="7BAA88B1" w14:textId="77777777" w:rsidR="003C12A5" w:rsidRPr="00D76BAD" w:rsidRDefault="003C12A5" w:rsidP="003C12A5">
                  <w:pPr>
                    <w:pStyle w:val="ListParagraph"/>
                    <w:numPr>
                      <w:ilvl w:val="0"/>
                      <w:numId w:val="9"/>
                    </w:numPr>
                    <w:spacing w:after="0" w:line="480" w:lineRule="auto"/>
                    <w:contextualSpacing w:val="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Medicare highest CDI incidence &amp; mortality</w:t>
                  </w:r>
                </w:p>
              </w:tc>
            </w:tr>
            <w:tr w:rsidR="003C12A5" w:rsidRPr="00D76BAD" w14:paraId="56A5C57E" w14:textId="77777777" w:rsidTr="00F5109C">
              <w:trPr>
                <w:trHeight w:val="677"/>
                <w:tblCellSpacing w:w="15" w:type="dxa"/>
              </w:trPr>
              <w:tc>
                <w:tcPr>
                  <w:tcW w:w="0" w:type="auto"/>
                  <w:vAlign w:val="center"/>
                  <w:hideMark/>
                </w:tcPr>
                <w:p w14:paraId="4C64EB5A" w14:textId="77777777" w:rsidR="003C12A5" w:rsidRPr="00D76BAD" w:rsidRDefault="003C12A5" w:rsidP="003C12A5">
                  <w:pPr>
                    <w:pStyle w:val="ListParagraph"/>
                    <w:numPr>
                      <w:ilvl w:val="0"/>
                      <w:numId w:val="8"/>
                    </w:numPr>
                    <w:spacing w:after="0" w:line="480" w:lineRule="auto"/>
                    <w:contextualSpacing w:val="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Predictors of mortality: ↑Age, ↑LOS, Medicare</w:t>
                  </w:r>
                </w:p>
              </w:tc>
            </w:tr>
          </w:tbl>
          <w:p w14:paraId="30965EE5"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64CE86F5" w14:textId="77777777" w:rsidTr="00F5109C">
        <w:trPr>
          <w:gridAfter w:val="1"/>
          <w:cnfStyle w:val="000000100000" w:firstRow="0" w:lastRow="0" w:firstColumn="0" w:lastColumn="0" w:oddVBand="0" w:evenVBand="0" w:oddHBand="1" w:evenHBand="0" w:firstRowFirstColumn="0" w:firstRowLastColumn="0" w:lastRowFirstColumn="0" w:lastRowLastColumn="0"/>
          <w:wAfter w:w="45" w:type="dxa"/>
          <w:trHeight w:val="1323"/>
        </w:trPr>
        <w:tc>
          <w:tcPr>
            <w:cnfStyle w:val="001000000000" w:firstRow="0" w:lastRow="0" w:firstColumn="1" w:lastColumn="0" w:oddVBand="0" w:evenVBand="0" w:oddHBand="0" w:evenHBand="0" w:firstRowFirstColumn="0" w:firstRowLastColumn="0" w:lastRowFirstColumn="0" w:lastRowLastColumn="0"/>
            <w:tcW w:w="1664" w:type="dxa"/>
            <w:gridSpan w:val="4"/>
          </w:tcPr>
          <w:p w14:paraId="47A68A77"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Scaria et al., </w:t>
            </w:r>
          </w:p>
          <w:p w14:paraId="5B1AD424"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2021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{"citationID":"oCRw35Vf","properties":{"formattedCitation":"[16]","plainCitation":"[16]","noteIndex":0},"citationItems":[{"id":2955,"uris":["http://zotero.org/users/19095250/items/WP4LX7VM"],"itemData":{"id":2955,"type":"article-journal","abstract":"BACKGROUND: Clostridioides difficile infection (CDI) is commonly associated with outcomes like recurrence and readmission. The effect of social determinants of health, such as 'neighborhood' socioeconomic disadvantage, on a CDI patient's health outcomes is unclear. Living in a disadvantaged neighborhood could interfere with a CDI patient's ability to follow post-discharge care recommendations and the success probability of these recommendations, thereby increasing risk of readmission. We hypothesized that neighborhood disadvantage was associated with 30-day readmission risk in Medicare patients with CDI.\nMETHODS: In this retrospective cohort study, odds of 30-day readmission for CDI patients are evaluated controlling for patient sociodemographics, comorbidities, and hospital and stay-level variables. The cohort was created from a random 20% national sample of Medicare patients during the first 11 months of 2014.\nRESULTS: From the cohort of 19,490 patients (39% male; 80% white; 83% 65 years or older), 22% were readmitted within 30 days of an index stay. Unadjusted analyses showed that patients from the most disadvantaged neighborhoods were readmitted at a higher rate than those from less disadvantaged neighborhoods (26% vs. 21% rate: unadjusted OR = 1.32 [1.20, 1.45]). This relationship held in adjusted analyses, in which residence in the most disadvantaged neighborhoods was associated with 16% increased odds of readmission (adjusted OR = 1.16 [1.04, 1.28]).\nCONCLUSIONS: Residence in disadvantaged neighborhoods poses a significantly increased risk of readmission in CDI patients. Further research should focus on in-depth assessments of this population to better understand the mechanisms underlying these risks and if these findings apply to other infectious diseases.","container-title":"BMC infectious diseases","DOI":"10.1186/s12879-020-05481-x","ISSN":"1471-2334","issue":"1","journalAbbreviation":"BMC Infect Dis","language":"eng","note":"PMID: 33066737\nPMCID: PMC7565791","page":"762","source":"PubMed","title":"Neighborhood disadvantage and 30-day readmission risk following Clostridioides difficile infection hospitalization","volume":"20","author":[{"family":"Scaria","given":"Elizabeth"},{"family":"Powell","given":"W. Ryan"},{"family":"Birstler","given":"Jen"},{"family":"Alagoz","given":"Oguzhan"},{"family":"Shirley","given":"Daniel"},{"family":"Kind","given":"Amy J. H."},{"family":"Safdar","given":"Nasia"}],"issued":{"date-parts":[["2020",10,16]]}}}],"schema":"https://github.com/citation-style-language/schema/raw/master/csl-citation.json"}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[16]</w:t>
            </w:r>
            <w:r w:rsidRPr="00D76BAD">
              <w:rPr>
                <w:rFonts w:ascii="Times New Roman" w:eastAsia="Times New Roman" w:hAnsi="Times New Roman" w:cs="Times New Roman"/>
                <w:b/>
                <w:bCs/>
                <w:kern w:val="0"/>
                <w:sz w:val="22"/>
                <w:szCs w:val="22"/>
                <w14:ligatures w14:val="none"/>
              </w:rPr>
              <w:fldChar w:fldCharType="end"/>
            </w:r>
          </w:p>
        </w:tc>
        <w:tc>
          <w:tcPr>
            <w:tcW w:w="1234" w:type="dxa"/>
            <w:gridSpan w:val="2"/>
          </w:tcPr>
          <w:p w14:paraId="2F494BE9"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CDI</w:t>
            </w:r>
          </w:p>
        </w:tc>
        <w:tc>
          <w:tcPr>
            <w:tcW w:w="1550" w:type="dxa"/>
          </w:tcPr>
          <w:p w14:paraId="29F1F387"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(11 months of 2014); Medicare</w:t>
            </w:r>
          </w:p>
        </w:tc>
        <w:tc>
          <w:tcPr>
            <w:tcW w:w="1754" w:type="dxa"/>
          </w:tcPr>
          <w:p w14:paraId="42183944"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19,490 CDI </w:t>
            </w:r>
          </w:p>
        </w:tc>
        <w:tc>
          <w:tcPr>
            <w:tcW w:w="2011" w:type="dxa"/>
            <w:vAlign w:val="center"/>
          </w:tcPr>
          <w:p w14:paraId="3659BA86"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Neighborhood ADI; dual eligibility; race; rurality; neighborhood poverty</w:t>
            </w:r>
          </w:p>
        </w:tc>
        <w:tc>
          <w:tcPr>
            <w:tcW w:w="4900" w:type="dxa"/>
            <w:gridSpan w:val="2"/>
          </w:tcPr>
          <w:p w14:paraId="2B5571D6" w14:textId="77777777" w:rsidR="003C12A5" w:rsidRPr="00D76BAD" w:rsidRDefault="003C12A5" w:rsidP="003C12A5">
            <w:pPr>
              <w:pStyle w:val="ListParagraph"/>
              <w:numPr>
                <w:ilvl w:val="0"/>
                <w:numId w:val="10"/>
              </w:numPr>
              <w:spacing w:line="480" w:lineRule="auto"/>
              <w:ind w:left="36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Most disadvantaged neighborhood 16% ↑ odds of readmission than least groups </w:t>
            </w:r>
            <w:r w:rsidRPr="00D76BAD">
              <w:rPr>
                <w:rFonts w:ascii="Times New Roman" w:eastAsia="Times New Roman" w:hAnsi="Times New Roman" w:cs="Times New Roman"/>
                <w:b/>
                <w:bCs/>
                <w:kern w:val="0"/>
                <w:sz w:val="22"/>
                <w:szCs w:val="22"/>
                <w14:ligatures w14:val="none"/>
              </w:rPr>
              <w:t>(OR 1.16; 95% CI 1.04 -1.28)</w:t>
            </w:r>
          </w:p>
          <w:tbl>
            <w:tblPr>
              <w:tblW w:w="4390" w:type="dxa"/>
              <w:tblCellSpacing w:w="15" w:type="dxa"/>
              <w:tblCellMar>
                <w:top w:w="15" w:type="dxa"/>
                <w:left w:w="15" w:type="dxa"/>
                <w:bottom w:w="15" w:type="dxa"/>
                <w:right w:w="15" w:type="dxa"/>
              </w:tblCellMar>
              <w:tblLook w:val="04A0" w:firstRow="1" w:lastRow="0" w:firstColumn="1" w:lastColumn="0" w:noHBand="0" w:noVBand="1"/>
            </w:tblPr>
            <w:tblGrid>
              <w:gridCol w:w="4390"/>
            </w:tblGrid>
            <w:tr w:rsidR="003C12A5" w:rsidRPr="00D76BAD" w14:paraId="0A2A93BC" w14:textId="77777777" w:rsidTr="00F5109C">
              <w:trPr>
                <w:trHeight w:val="637"/>
                <w:tblCellSpacing w:w="15" w:type="dxa"/>
              </w:trPr>
              <w:tc>
                <w:tcPr>
                  <w:tcW w:w="4330" w:type="dxa"/>
                  <w:vAlign w:val="center"/>
                  <w:hideMark/>
                </w:tcPr>
                <w:p w14:paraId="07FCD957" w14:textId="77777777" w:rsidR="003C12A5" w:rsidRPr="00D76BAD" w:rsidRDefault="003C12A5" w:rsidP="00F5109C">
                  <w:pPr>
                    <w:pStyle w:val="ListParagraph"/>
                    <w:spacing w:after="0" w:line="480" w:lineRule="auto"/>
                    <w:ind w:left="360"/>
                    <w:rPr>
                      <w:rFonts w:ascii="Times New Roman" w:eastAsia="Times New Roman" w:hAnsi="Times New Roman" w:cs="Times New Roman"/>
                      <w:kern w:val="0"/>
                      <w:sz w:val="22"/>
                      <w:szCs w:val="22"/>
                      <w14:ligatures w14:val="none"/>
                    </w:rPr>
                  </w:pPr>
                </w:p>
              </w:tc>
            </w:tr>
            <w:tr w:rsidR="003C12A5" w:rsidRPr="00D76BAD" w14:paraId="1FD2D9F6" w14:textId="77777777" w:rsidTr="00F5109C">
              <w:trPr>
                <w:trHeight w:val="30"/>
                <w:tblCellSpacing w:w="15" w:type="dxa"/>
              </w:trPr>
              <w:tc>
                <w:tcPr>
                  <w:tcW w:w="4330" w:type="dxa"/>
                  <w:vAlign w:val="center"/>
                  <w:hideMark/>
                </w:tcPr>
                <w:p w14:paraId="1E723E75" w14:textId="77777777" w:rsidR="003C12A5" w:rsidRPr="00D76BAD" w:rsidRDefault="003C12A5" w:rsidP="00F5109C">
                  <w:pPr>
                    <w:spacing w:after="0" w:line="480" w:lineRule="auto"/>
                    <w:rPr>
                      <w:rFonts w:ascii="Times New Roman" w:eastAsia="Times New Roman" w:hAnsi="Times New Roman" w:cs="Times New Roman"/>
                      <w:kern w:val="0"/>
                      <w:sz w:val="22"/>
                      <w:szCs w:val="22"/>
                      <w14:ligatures w14:val="none"/>
                    </w:rPr>
                  </w:pPr>
                </w:p>
              </w:tc>
            </w:tr>
          </w:tbl>
          <w:p w14:paraId="77006278"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7216E240"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621C5E76"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Vader et al</w:t>
            </w:r>
          </w:p>
          <w:p w14:paraId="7560BF90"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2021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{"citationID":"luUc6PVd","properties":{"formattedCitation":"[17]","plainCitation":"[17]","noteIndex":0},"citationItems":[{"id":2958,"uris":["http://zotero.org/users/19095250/items/AHLCQW76"],"itemData":{"id":2958,"type":"article-journal","abstract":"OBJECTIVE: To investigate associations between healthcare-associated Clostridioides difficile infection and patient demographics at an urban safety-net hospital and compare findings with national surveillance statistics.\nMETHODS: Study participants were selected using a case-control design using medical records collected between August 2014 and May 2018 at Hahnemann University Hospital in Philadelphia. Controls were frequency matched to cases by age and length of stay. Final sample included 170 cases and 324 controls. Neighborhood-level factors were measured using American Community Survey data. Multilevel models were used to examine infection by census tract, deprivation index, race/ethnicity, insurance type, referral location, antibiotic use, and proton-pump inhibitor use.\nRESULTS: Patients on Medicare compared to private insurance had 2.04 times (95% CI, 1.31-3.20) the odds of infection after adjusting for all covariables. Prior antibiotic use (2.70; 95% CI, 1.64-4.46) was also associated with infection, but race or ethnicity and referral location were not. A smaller proportion of hospital cases occurred among white patients (25% vs 44%) and patients over the age of 65 (39% vs 56%) than expected based on national surveillance statistics.\nCONCLUSIONS: Medicare and antibiotics were associated with Clostridioides difficile infection, but evidence did not indicate association with race or ethnicity. This finding diverges from national data in that infection is higher among white people compared to nonwhite people. Furthermore, a greater proportion of hospital cases were aged &lt;65 years than expected based on national data. National surveillance statistics on CDI may not be transportable to safety-net hospitals, which often disproportionately serve low-income, nonwhite patients.","container-title":"Infection Control and Hospital Epidemiology","DOI":"10.1017/ice.2020.1324","ISSN":"1559-6834","issue":"8","journalAbbreviation":"Infect Control Hosp Epidemiol","language":"eng","note":"PMID: 33280624","page":"948-954","source":"PubMed","title":"Hospital-acquired Clostridioides difficile infection among patients at an urban safety-net hospital in Philadelphia: Demographics, neighborhood deprivation, and the transferability of national statistics","title-short":"Hospital-acquired Clostridioides difficile infection among patients at an urban safety-net hospital in Philadelphia","volume":"42","author":[{"family":"Vader","given":"Daniel T."},{"family":"Weldie","given":"Chelsea"},{"family":"Welles","given":"Seth L."},{"family":"Kutzler","given":"Michele A."},{"family":"Goldstein","given":"Neal D."}],"issued":{"date-parts":[["2021",8]]}}}],"schema":"https://github.com/citation-style-language/schema/raw/master/csl-citation.json"}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[17]</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1BA1EA54"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CDI</w:t>
            </w:r>
          </w:p>
        </w:tc>
        <w:tc>
          <w:tcPr>
            <w:tcW w:w="1633" w:type="dxa"/>
            <w:gridSpan w:val="2"/>
          </w:tcPr>
          <w:p w14:paraId="2DA76B76"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Case–control </w:t>
            </w:r>
          </w:p>
          <w:p w14:paraId="0AD26AA2"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(2014-2018); </w:t>
            </w:r>
          </w:p>
          <w:p w14:paraId="45517762"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EMR</w:t>
            </w:r>
          </w:p>
          <w:p w14:paraId="615DBCB9"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1754" w:type="dxa"/>
          </w:tcPr>
          <w:p w14:paraId="641DE20B"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170 CDI cases, 324 controls; safety-net hospital</w:t>
            </w:r>
          </w:p>
        </w:tc>
        <w:tc>
          <w:tcPr>
            <w:tcW w:w="2245" w:type="dxa"/>
            <w:gridSpan w:val="2"/>
          </w:tcPr>
          <w:p w14:paraId="69759BDB"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SDI; insurance; race</w:t>
            </w:r>
          </w:p>
        </w:tc>
        <w:tc>
          <w:tcPr>
            <w:tcW w:w="4711" w:type="dxa"/>
            <w:gridSpan w:val="2"/>
          </w:tcPr>
          <w:p w14:paraId="5FE914EC" w14:textId="77777777" w:rsidR="003C12A5" w:rsidRPr="00D76BAD" w:rsidRDefault="003C12A5" w:rsidP="003C12A5">
            <w:pPr>
              <w:pStyle w:val="ListParagraph"/>
              <w:numPr>
                <w:ilvl w:val="0"/>
                <w:numId w:val="11"/>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No association with SDI or race. </w:t>
            </w:r>
          </w:p>
          <w:p w14:paraId="0BD47EF3" w14:textId="77777777" w:rsidR="003C12A5" w:rsidRPr="00D76BAD" w:rsidRDefault="003C12A5" w:rsidP="003C12A5">
            <w:pPr>
              <w:pStyle w:val="ListParagraph"/>
              <w:numPr>
                <w:ilvl w:val="0"/>
                <w:numId w:val="11"/>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Medicare pts had 2× odds </w:t>
            </w:r>
            <w:r w:rsidRPr="00D76BAD">
              <w:rPr>
                <w:rFonts w:ascii="Times New Roman" w:eastAsia="Times New Roman" w:hAnsi="Times New Roman" w:cs="Times New Roman"/>
                <w:b/>
                <w:bCs/>
                <w:kern w:val="0"/>
                <w:sz w:val="22"/>
                <w:szCs w:val="22"/>
                <w14:ligatures w14:val="none"/>
              </w:rPr>
              <w:t xml:space="preserve">(aOR 2.04; 95% CI 1.31–3.20) </w:t>
            </w:r>
            <w:r w:rsidRPr="00D76BAD">
              <w:rPr>
                <w:rFonts w:ascii="Times New Roman" w:eastAsia="Times New Roman" w:hAnsi="Times New Roman" w:cs="Times New Roman"/>
                <w:kern w:val="0"/>
                <w:sz w:val="22"/>
                <w:szCs w:val="22"/>
                <w14:ligatures w14:val="none"/>
              </w:rPr>
              <w:t xml:space="preserve">vs private insurance </w:t>
            </w:r>
          </w:p>
        </w:tc>
      </w:tr>
      <w:tr w:rsidR="003C12A5" w:rsidRPr="00D76BAD" w14:paraId="1BE1F62A"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72F2B75E"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Warren et al., </w:t>
            </w:r>
          </w:p>
          <w:p w14:paraId="647196BE"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2024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{"citationID":"vDvioPGO","properties":{"formattedCitation":"[18]","plainCitation":"[18]","noteIndex":0},"citationItems":[{"id":2960,"uris":["http://zotero.org/users/19095250/items/JQQAHKMZ"],"itemData":{"id":2960,"type":"article-journal","abstract":"OBJECTIVE: To analyze Clostridioides difficile testing in 3 hospitals in central North Carolina to validate previous racial health-disparity findings.\nMETHODS: We completed a retrospective analysis of inpatient C. difficile tests from 2015 to 2021 at 3 university-affiliated hospitals in North Carolina. We calculated the number of C. difficile tests per 1,000 patient days stratified by race: White, Black, and non-White, non-Black (NWNB). We defined a unique C. difficile test as one that occurred in an inpatient unit with a matching laboratory accession ID and on differing calendar days. Tests were evaluated overall, by hospital, by year, and by positivity rate.\nRESULTS: In total, 35,160 C. difficile tests and 2,571,850 patient days across all 3 hospitals from 2015 to 2021 were analyzed. The median number of C. difficile tests per 1,000 patient days was 13.85 (interquartile range [IQR], 9.88-16.07). Among all C. difficile tests, 5,225 (15%) were positive. White patients were administered more C. difficile tests (14.46 per 1,000 patient days) than Black patients (12.96; P &lt; .0001) or NWNB race patients (10.27; P &lt; .0001). Black patients were administered more tests than NWNB patients (P &lt; .0001). White patients tested positive at a similar rate to Black patients (15% vs 15%; P = .3655) and higher than NWNB individuals (12%; P = .0061), and Black patients tested positive at a higher rate than NWNB patients (P = .0024).\nCONCLUSION: White patients received more C. difficile tests than Black and NWNB patient groups when controlling for race patient days. Future studies should control for comorbidities and investigate community onset of C. difficile by race and ethnicity.","container-title":"Infection Control and Hospital Epidemiology","DOI":"10.1017/ice.2023.244","ISSN":"1559-6834","issue":"4","journalAbbreviation":"Infect Control Hosp Epidemiol","language":"eng","note":"PMID: 37982291\nPMCID: PMC11007320","page":"429-433","source":"PubMed","title":"Racial disparities in Clostridioides difficile testing in three southeastern US hospitals","volume":"45","author":[{"family":"Warren","given":"Bobby G."},{"family":"Burch","given":"Christopher D."},{"family":"Barrett","given":"Aaron"},{"family":"Graves","given":"Amanda"},{"family":"Gettler","given":"Erin"},{"family":"Turner","given":"Nicholas A."},{"family":"Moehring","given":"Rebekah W."},{"family":"Anderson","given":"Deverick J."}],"issued":{"date-parts":[["2024",4]]}}}],"schema":"https://github.com/citation-style-language/schema/raw/master/csl-citation.json"}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[18]</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74B0F22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CDI</w:t>
            </w:r>
          </w:p>
        </w:tc>
        <w:tc>
          <w:tcPr>
            <w:tcW w:w="1633" w:type="dxa"/>
            <w:gridSpan w:val="2"/>
          </w:tcPr>
          <w:p w14:paraId="4345C689"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(2015-2021); EHR</w:t>
            </w:r>
          </w:p>
        </w:tc>
        <w:tc>
          <w:tcPr>
            <w:tcW w:w="1754" w:type="dxa"/>
          </w:tcPr>
          <w:p w14:paraId="66DE5AFF"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35,160 tests; </w:t>
            </w:r>
          </w:p>
          <w:p w14:paraId="7B55D1AF"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3 hospitals</w:t>
            </w:r>
          </w:p>
        </w:tc>
        <w:tc>
          <w:tcPr>
            <w:tcW w:w="2245" w:type="dxa"/>
            <w:gridSpan w:val="2"/>
          </w:tcPr>
          <w:p w14:paraId="265A19BE"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Race</w:t>
            </w:r>
          </w:p>
        </w:tc>
        <w:tc>
          <w:tcPr>
            <w:tcW w:w="4711" w:type="dxa"/>
            <w:gridSpan w:val="2"/>
          </w:tcPr>
          <w:p w14:paraId="699A488A" w14:textId="77777777" w:rsidR="003C12A5" w:rsidRPr="00D76BAD" w:rsidRDefault="003C12A5" w:rsidP="003C12A5">
            <w:pPr>
              <w:pStyle w:val="ListParagraph"/>
              <w:numPr>
                <w:ilvl w:val="0"/>
                <w:numId w:val="3"/>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White patients received more CDI tests than Black or NWNB patients</w:t>
            </w:r>
            <w:r w:rsidRPr="00D76BAD">
              <w:rPr>
                <w:rFonts w:ascii="Times New Roman" w:eastAsia="Times New Roman" w:hAnsi="Times New Roman" w:cs="Times New Roman"/>
                <w:b/>
                <w:bCs/>
                <w:kern w:val="0"/>
                <w:sz w:val="22"/>
                <w:szCs w:val="22"/>
                <w14:ligatures w14:val="none"/>
              </w:rPr>
              <w:t xml:space="preserve"> (14.46 vs 12.96 vs 10.27/1,000 patient-days)</w:t>
            </w:r>
          </w:p>
          <w:p w14:paraId="5EDDD103" w14:textId="77777777" w:rsidR="003C12A5" w:rsidRPr="00D76BAD" w:rsidRDefault="003C12A5" w:rsidP="003C12A5">
            <w:pPr>
              <w:pStyle w:val="ListParagraph"/>
              <w:numPr>
                <w:ilvl w:val="0"/>
                <w:numId w:val="3"/>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Test positivity is similar for White and Black patients (15% each), but lower in Non-white and non-black patients (12%; </w:t>
            </w:r>
            <w:r w:rsidRPr="00D76BAD">
              <w:rPr>
                <w:rFonts w:ascii="Times New Roman" w:eastAsia="Times New Roman" w:hAnsi="Times New Roman" w:cs="Times New Roman"/>
                <w:i/>
                <w:iCs/>
                <w:kern w:val="0"/>
                <w:sz w:val="22"/>
                <w:szCs w:val="22"/>
                <w14:ligatures w14:val="none"/>
              </w:rPr>
              <w:t>P</w:t>
            </w:r>
            <w:r w:rsidRPr="00D76BAD">
              <w:rPr>
                <w:rFonts w:ascii="Times New Roman" w:eastAsia="Times New Roman" w:hAnsi="Times New Roman" w:cs="Times New Roman"/>
                <w:kern w:val="0"/>
                <w:sz w:val="22"/>
                <w:szCs w:val="22"/>
                <w14:ligatures w14:val="none"/>
              </w:rPr>
              <w:t xml:space="preserve"> = .006).</w:t>
            </w:r>
          </w:p>
          <w:p w14:paraId="7EA85C18" w14:textId="77777777" w:rsidR="003C12A5" w:rsidRPr="00D76BAD" w:rsidRDefault="003C12A5" w:rsidP="00F5109C">
            <w:pPr>
              <w:pStyle w:val="ListParagraph"/>
              <w:spacing w:line="480" w:lineRule="auto"/>
              <w:ind w:left="36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087E62F9"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46AD5D08"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Gutierrez et al.,</w:t>
            </w:r>
          </w:p>
          <w:p w14:paraId="03D6E975"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{"citationID":"0zBxouix","properties":{"formattedCitation":"[19]","plainCitation":"[19]","noteIndex":0},"citationItems":[{"id":2966,"uris":["http://zotero.org/users/19095250/items/SEI3UFU7"],"itemData":{"id":2966,"type":"article-journal","abstract":"BACKGROUND: Low neighborhood income is linked with increased hospitalizations for central line-associated bloodstream infections (CLABSIs) in pediatric short bowel syndrome (SBS). We assessed whether this relationship varies by hospital center.\nMETHODS: We performed a retrospective cohort study using the Pediatric Health Information System (2018-2023) database for patients &lt;18 years old with SBS (N = 1210) at 24 hospitals in the United States. Using 2015 US Census data, we determined the estimated median household income of each patient's zip code. Hospital-level neighborhood income was defined as the median of the estimated median household income among patients at each hospital. We applied an extension of Cox regression to assess risk for CLABSI hospitalization.\nRESULTS: Among 1210 children with 5255 hospitalizations, most were &lt;1 year on initial admission (53%), male (58%), and publicly insured (69%). Hospitals serving low-income neighborhoods served more female (46% vs 39%), Black (29% vs 22%), and Hispanic (22% vs 16%) patients with public insurance (72% vs 65%) residing in the southern United States (47% vs 21%). In univariate analysis, low hospital-level neighborhood income was associated with increased risk of CLABSI hospitalization (rate ratio [RR], 1.48; 95% CI, 1.21-1.83; P &lt; 0.001). These findings persisted in multivariate analysis (RR, 1.43; 95% CI, 1.10-1.84; P &lt; 0.01) after adjusting for race, ethnicity, insurance, region, and patient-level neighborhood income.\nCONCLUSION: Hospitals serving predominantly low-income neighborhoods bear a heavier burden of CLABSI hospitalizations for all their patients across the socioeconomic spectrum. Hospital initiatives focused on CLABSI prevention may be pivotal in addressing this disparity.","container-title":"JPEN. Journal of parenteral and enteral nutrition","DOI":"10.1002/jpen.2665","ISSN":"1941-2444","issue":"6","journalAbbreviation":"JPEN J Parenter Enteral Nutr","language":"eng","note":"PMID: 38924098\nPMCID: PMC11731075","page":"678-685","source":"PubMed","title":"Associations between hospital-level socioeconomic patient mix and rates of central line-associated bloodstream infections in short bowel syndrome: A retrospective cohort study","title-short":"Associations between hospital-level socioeconomic patient mix and rates of central line-associated bloodstream infections in short bowel syndrome","volume":"48","author":[{"family":"Gutierrez","given":"Susan A."},{"family":"Chiou","given":"Sy Han"},{"family":"Raghu","given":"Vikram"},{"family":"Cole","given":"Conrad R."},{"family":"Rhee","given":"Sue"},{"family":"Lai","given":"Jennifer C."},{"family":"Wadhwani","given":"Sharad I."}],"issued":{"date-parts":[["2024",8]]}}}],"schema":"https://github.com/citation-style-language/schema/raw/master/csl-citation.json"}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[19]</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66C6D00B"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CLABSI</w:t>
            </w:r>
          </w:p>
          <w:p w14:paraId="74282C15"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(Pediatric)</w:t>
            </w:r>
          </w:p>
        </w:tc>
        <w:tc>
          <w:tcPr>
            <w:tcW w:w="1633" w:type="dxa"/>
            <w:gridSpan w:val="2"/>
          </w:tcPr>
          <w:p w14:paraId="443005A9"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(2018-2023); PHIS</w:t>
            </w:r>
          </w:p>
          <w:p w14:paraId="0155EAC2"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1754" w:type="dxa"/>
          </w:tcPr>
          <w:p w14:paraId="581BB718"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lastRenderedPageBreak/>
              <w:t>1,210 CLABSI;</w:t>
            </w:r>
          </w:p>
          <w:p w14:paraId="3A4BEA6A"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24 hospitals</w:t>
            </w:r>
          </w:p>
        </w:tc>
        <w:tc>
          <w:tcPr>
            <w:tcW w:w="2245" w:type="dxa"/>
            <w:gridSpan w:val="2"/>
          </w:tcPr>
          <w:p w14:paraId="0D6CA985"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Low-income neighborhood</w:t>
            </w:r>
          </w:p>
        </w:tc>
        <w:tc>
          <w:tcPr>
            <w:tcW w:w="4711" w:type="dxa"/>
            <w:gridSpan w:val="2"/>
          </w:tcPr>
          <w:p w14:paraId="1CB011F5"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kern w:val="0"/>
                <w:sz w:val="22"/>
                <w:szCs w:val="22"/>
                <w14:ligatures w14:val="none"/>
              </w:rPr>
              <w:t xml:space="preserve">Low hospital-level neighborhood income was linked to ↑CLABSI risk </w:t>
            </w:r>
            <w:r w:rsidRPr="00D76BAD">
              <w:rPr>
                <w:rFonts w:ascii="Times New Roman" w:eastAsia="Times New Roman" w:hAnsi="Times New Roman" w:cs="Times New Roman"/>
                <w:b/>
                <w:bCs/>
                <w:kern w:val="0"/>
                <w:sz w:val="22"/>
                <w:szCs w:val="22"/>
                <w14:ligatures w14:val="none"/>
              </w:rPr>
              <w:t>(RR 1.43; 95% CI, 1.10-1.84; p&lt;0.01).</w:t>
            </w:r>
          </w:p>
          <w:p w14:paraId="29ADB826" w14:textId="77777777" w:rsidR="003C12A5" w:rsidRPr="00D76BAD" w:rsidRDefault="003C12A5" w:rsidP="00F5109C">
            <w:pPr>
              <w:pStyle w:val="ListParagraph"/>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390251ED"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73A7A3C6"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lastRenderedPageBreak/>
              <w:t xml:space="preserve">Lyren et al., </w:t>
            </w:r>
          </w:p>
          <w:p w14:paraId="0142E16A"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2024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{"citationID":"noe7YA3G","properties":{"formattedCitation":"[7]","plainCitation":"[7]","noteIndex":0},"citationItems":[{"id":2941,"uris":["http://zotero.org/users/19095250/items/UXLW4XAL"],"itemData":{"id":2941,"type":"article-journal","abstract":"BACKGROUND: Emerging evidence has shown racial and ethnic disparities in rates of harm for hospitalised children. Previous work has also demonstrated how highly heterogeneous approaches to collection of race and ethnicity data pose challenges to population-level analyses. This work aims to both create an approach to aggregating safety data from multiple hospitals by race and ethnicity and apply the approach to the examination of potential disparities in high-frequency harm conditions.\nMETHODS: In this cross-sectional, multicentre study, a cohort of hospitals from the Solutions for Patient Safety network with varying race and ethnicity data collection systems submitted validated central line-associated bloodstream infection (CLABSI) and unplanned extubation (UE) data stratified by patient race and ethnicity categories. Data were submitted using a crosswalk created by the study team that reconciled varying approaches to race and ethnicity data collection by participating hospitals. Harm rates for race and ethnicity categories were compared with reference values reflective of the cohort and broader children's hospital population.\nRESULTS: Racial and ethnic disparities were identified in both harm types. Multiracial Hispanic, Combined Hispanic and Native Hawaiian or other Pacific Islander patients had CLABSI rates of 2.6-3.6 SD above reference values. For Black or African American patients, UE rates were 3.2-4.4 SD higher. Rates of both events in White patients were significantly lower than reference values.\nCONCLUSIONS: The combination of harm data across hospitals with varying race and ethnicity collection systems was accomplished through iterative development of a race and ethnicity category framework. We identified racial and ethnic disparities in CLABSI and UE that can be addressed in future improvement work by identifying and modifying care delivery factors that contribute to safety disparities.","container-title":"BMJ quality &amp; safety","DOI":"10.1136/bmjqs-2022-015786","ISSN":"2044-5423","issue":"2","journalAbbreviation":"BMJ Qual Saf","language":"eng","note":"PMID: 37460119","page":"86-97","source":"PubMed","title":"Racial and ethnic disparities in common inpatient safety outcomes in a children's hospital cohort","volume":"33","author":[{"family":"Lyren","given":"Anne"},{"family":"Haines","given":"Elizabeth"},{"family":"Fanta","given":"Meghan"},{"family":"Gutzeit","given":"Michael"},{"family":"Staubach","given":"Katherine"},{"family":"Chundi","given":"Pavan"},{"family":"Ward","given":"Valerie"},{"family":"Srinivasan","given":"Lakshmi"},{"family":"Mackey","given":"Megan"},{"family":"Vonderhaar","given":"Michelle"},{"family":"Sisson","given":"Patricia"},{"family":"Sheffield-Bradshaw","given":"Ursula"},{"family":"Fryzlewicz","given":"Bonnie"},{"family":"Coffey","given":"Maitreya"},{"family":"Cowden","given":"John D."},{"literal":"PHARE Cohort Study Group"}],"issued":{"date-parts":[["2024",1,19]]}}}],"schema":"https://github.com/citation-style-language/schema/raw/master/csl-citation.json"}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[7]</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7DCE43FF"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CLABSI</w:t>
            </w:r>
          </w:p>
          <w:p w14:paraId="6D13791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(Pediatric)</w:t>
            </w:r>
          </w:p>
        </w:tc>
        <w:tc>
          <w:tcPr>
            <w:tcW w:w="1633" w:type="dxa"/>
            <w:gridSpan w:val="2"/>
          </w:tcPr>
          <w:p w14:paraId="1F191224"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Cross-sectional, </w:t>
            </w:r>
          </w:p>
          <w:p w14:paraId="1FD9BE2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SPS-</w:t>
            </w:r>
          </w:p>
          <w:p w14:paraId="7F5FC3AA"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Multicenter study data</w:t>
            </w:r>
          </w:p>
        </w:tc>
        <w:tc>
          <w:tcPr>
            <w:tcW w:w="1754" w:type="dxa"/>
          </w:tcPr>
          <w:p w14:paraId="17E23C2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148 SPS; hospitals </w:t>
            </w:r>
          </w:p>
        </w:tc>
        <w:tc>
          <w:tcPr>
            <w:tcW w:w="2245" w:type="dxa"/>
            <w:gridSpan w:val="2"/>
          </w:tcPr>
          <w:p w14:paraId="5D29A31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Race/Ethnicity</w:t>
            </w:r>
          </w:p>
        </w:tc>
        <w:tc>
          <w:tcPr>
            <w:tcW w:w="4711" w:type="dxa"/>
            <w:gridSpan w:val="2"/>
          </w:tcPr>
          <w:p w14:paraId="21619E4A"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CLABSI rates were 2.6–3.6 SD ↑ in Multiracial Hispanic and Combined Hispanic–Pacific Islander patients, White patients consistently had significantly lower harm rates than reference values.</w:t>
            </w:r>
          </w:p>
        </w:tc>
      </w:tr>
      <w:tr w:rsidR="003C12A5" w:rsidRPr="00D76BAD" w14:paraId="0E26227E"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290DD128"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Gettler et al., </w:t>
            </w:r>
          </w:p>
          <w:p w14:paraId="121DC021"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{"citationID":"MYDweW3X","properties":{"formattedCitation":"[20]","plainCitation":"[20]","noteIndex":0},"citationItems":[{"id":2963,"uris":["http://zotero.org/users/19095250/items/H8REH93P"],"itemData":{"id":2963,"type":"article-journal","abstract":"This retrospective review of 4-year surveillance data revealed a higher central line-associated bloodstream infection (CLABSI) rate in non-Hispanic Black patients and higher catheter-associated urinary tract infection (CAUTI) rates in Asian and non-Hispanic Black patients compared with White patients despite similar catheter utilization between the groups.","container-title":"Infection Control and Hospital Epidemiology","DOI":"10.1017/ice.2023.63","ISSN":"0899-823X","issue":"11","journalAbbreviation":"Infect Control Hosp Epidemiol","note":"PMID: 37057848\nPMCID: PMC10665875","page":"1857-1860","source":"PubMed Central","title":"Disparities in central line-associated bloodstream infection and catheter-associated urinary tract infection rates: An exploratory analysis","title-short":"Disparities in central line-associated bloodstream infection and catheter-associated urinary tract infection rates","volume":"44","author":[{"family":"Gettler","given":"Erin B."},{"family":"Kalu","given":"Ibukunoluwa C."},{"family":"Okeke","given":"Nwora L."},{"family":"Lewis","given":"Sarah S."},{"family":"Anderson","given":"Deverick J."},{"family":"Smith","given":"Becky A."},{"family":"Advani","given":"Sonali D."}]}}],"schema":"https://github.com/citation-style-language/schema/raw/master/csl-citation.json"}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[20]</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1A60683D"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CLABSI, CAUTI</w:t>
            </w:r>
          </w:p>
        </w:tc>
        <w:tc>
          <w:tcPr>
            <w:tcW w:w="1633" w:type="dxa"/>
            <w:gridSpan w:val="2"/>
          </w:tcPr>
          <w:p w14:paraId="7F8BB31D"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(2018-2021)</w:t>
            </w:r>
          </w:p>
          <w:p w14:paraId="2D636043"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Academic Medical Center Surveillance data, Durham NC</w:t>
            </w:r>
          </w:p>
        </w:tc>
        <w:tc>
          <w:tcPr>
            <w:tcW w:w="1754" w:type="dxa"/>
          </w:tcPr>
          <w:p w14:paraId="5870C693"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450 CLABSI, </w:t>
            </w:r>
          </w:p>
          <w:p w14:paraId="797EE63E"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233 CAUTI</w:t>
            </w:r>
          </w:p>
        </w:tc>
        <w:tc>
          <w:tcPr>
            <w:tcW w:w="2245" w:type="dxa"/>
            <w:gridSpan w:val="2"/>
          </w:tcPr>
          <w:p w14:paraId="1453C77F"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Race/Ethnicity</w:t>
            </w:r>
          </w:p>
        </w:tc>
        <w:tc>
          <w:tcPr>
            <w:tcW w:w="4711" w:type="dxa"/>
            <w:gridSpan w:val="2"/>
          </w:tcPr>
          <w:p w14:paraId="6D19070F"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CLABSI rates were ↑ among non-Hispanic Black </w:t>
            </w:r>
            <w:r w:rsidRPr="00D76BAD">
              <w:rPr>
                <w:rFonts w:ascii="Times New Roman" w:eastAsia="Times New Roman" w:hAnsi="Times New Roman" w:cs="Times New Roman"/>
                <w:b/>
                <w:bCs/>
                <w:kern w:val="0"/>
                <w:sz w:val="22"/>
                <w:szCs w:val="22"/>
                <w14:ligatures w14:val="none"/>
              </w:rPr>
              <w:t xml:space="preserve">(IRR 1.27; 95% CI 1.02–1.58) </w:t>
            </w:r>
            <w:r w:rsidRPr="00D76BAD">
              <w:rPr>
                <w:rFonts w:ascii="Times New Roman" w:eastAsia="Times New Roman" w:hAnsi="Times New Roman" w:cs="Times New Roman"/>
                <w:kern w:val="0"/>
                <w:sz w:val="22"/>
                <w:szCs w:val="22"/>
                <w14:ligatures w14:val="none"/>
              </w:rPr>
              <w:t xml:space="preserve">and other race patients </w:t>
            </w:r>
            <w:r w:rsidRPr="00D76BAD">
              <w:rPr>
                <w:rFonts w:ascii="Times New Roman" w:eastAsia="Times New Roman" w:hAnsi="Times New Roman" w:cs="Times New Roman"/>
                <w:b/>
                <w:bCs/>
                <w:kern w:val="0"/>
                <w:sz w:val="22"/>
                <w:szCs w:val="22"/>
                <w14:ligatures w14:val="none"/>
              </w:rPr>
              <w:t>(IRR</w:t>
            </w:r>
            <w:r w:rsidRPr="00D76BAD">
              <w:rPr>
                <w:rFonts w:ascii="Times New Roman" w:eastAsia="Times New Roman" w:hAnsi="Times New Roman" w:cs="Times New Roman"/>
                <w:kern w:val="0"/>
                <w:sz w:val="22"/>
                <w:szCs w:val="22"/>
                <w14:ligatures w14:val="none"/>
              </w:rPr>
              <w:t xml:space="preserve"> </w:t>
            </w:r>
            <w:r w:rsidRPr="00D76BAD">
              <w:rPr>
                <w:rFonts w:ascii="Times New Roman" w:eastAsia="Times New Roman" w:hAnsi="Times New Roman" w:cs="Times New Roman"/>
                <w:b/>
                <w:bCs/>
                <w:kern w:val="0"/>
                <w:sz w:val="22"/>
                <w:szCs w:val="22"/>
                <w14:ligatures w14:val="none"/>
              </w:rPr>
              <w:t>2.25; 95% CI 1.31–3.88)</w:t>
            </w:r>
          </w:p>
          <w:p w14:paraId="7430C5EE"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CAUTI rates were ↑ among non-Hispanic Black </w:t>
            </w:r>
            <w:r w:rsidRPr="00D76BAD">
              <w:rPr>
                <w:rFonts w:ascii="Times New Roman" w:eastAsia="Times New Roman" w:hAnsi="Times New Roman" w:cs="Times New Roman"/>
                <w:b/>
                <w:bCs/>
                <w:kern w:val="0"/>
                <w:sz w:val="22"/>
                <w:szCs w:val="22"/>
                <w14:ligatures w14:val="none"/>
              </w:rPr>
              <w:t>(IRR 1.42; 95% CI 1.05–1.92</w:t>
            </w:r>
            <w:r w:rsidRPr="00D76BAD">
              <w:rPr>
                <w:rFonts w:ascii="Times New Roman" w:eastAsia="Times New Roman" w:hAnsi="Times New Roman" w:cs="Times New Roman"/>
                <w:kern w:val="0"/>
                <w:sz w:val="22"/>
                <w:szCs w:val="22"/>
                <w14:ligatures w14:val="none"/>
              </w:rPr>
              <w:t xml:space="preserve">) and Asian patients </w:t>
            </w:r>
            <w:r w:rsidRPr="00D76BAD">
              <w:rPr>
                <w:rFonts w:ascii="Times New Roman" w:eastAsia="Times New Roman" w:hAnsi="Times New Roman" w:cs="Times New Roman"/>
                <w:b/>
                <w:bCs/>
                <w:kern w:val="0"/>
                <w:sz w:val="22"/>
                <w:szCs w:val="22"/>
                <w14:ligatures w14:val="none"/>
              </w:rPr>
              <w:t>(IRR 2.49; 95% CI 1.16–5.36)</w:t>
            </w:r>
            <w:r w:rsidRPr="00D76BAD">
              <w:rPr>
                <w:rFonts w:ascii="Times New Roman" w:eastAsia="Times New Roman" w:hAnsi="Times New Roman" w:cs="Times New Roman"/>
                <w:kern w:val="0"/>
                <w:sz w:val="22"/>
                <w:szCs w:val="22"/>
                <w14:ligatures w14:val="none"/>
              </w:rPr>
              <w:t xml:space="preserve"> compared with non-Hispanic White patients</w:t>
            </w:r>
          </w:p>
        </w:tc>
      </w:tr>
      <w:tr w:rsidR="003C12A5" w:rsidRPr="00D76BAD" w14:paraId="0676F6F8"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6805E5F5"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Andreatos et al.,</w:t>
            </w:r>
          </w:p>
          <w:p w14:paraId="4553CBF5" w14:textId="77777777" w:rsidR="003C12A5" w:rsidRPr="00D76BAD" w:rsidRDefault="003C12A5" w:rsidP="00F5109C">
            <w:pPr>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2018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{"citationID":"lmxPyZ1K","properties":{"formattedCitation":"[21]","plainCitation":"[21]","noteIndex":0},"citationItems":[{"id":2968,"uris":["http://zotero.org/users/19095250/items/C8Q724G9"],"itemData":{"id":2968,"type":"article-journal","abstract":"OBJECTIVES: To investigate the association of methicillin-resistant Staphylococcus aureus (MRSA) bloodstream infection with socioeconomic factors and antibiotic prescriptions at the county level.\nMETHODS: MRSA bloodstream infection rates were extracted from the Medicare Hospital Compare database. Data on socioeconomic factors and antibiotic prescriptions were obtained from the US Census Bureau and the Medicare Part D database, respectively.\nRESULTS: In multivariate analysis, antibiotic prescriptions demonstrated a powerful positive association with MRSA bloodstream infection rates [Coefficient (Coeff): 0.432, 95% Confidence Interval (CI): 0.389, 0.474, P &lt; 0.001], which was largely attributable to lincosamides (Coeff: 0.257, 95% CI: 0.177, 0.336, P &lt; 0.001), glycopeptides (Coeff: 0.223, 95% CI: 0.175, 0.272, P &lt; 0.001), and sulfonamides (Coeff: 0.166, 95% CI: 0.082, 0.249, P &lt; 0.001). Sociodemographic factors, such as poverty (Coeff: 0.094, 95% CI: 0.034, 0.155, P=0.002) exerted a secondary positive impact on MRSA bloodstream infection. Conversely, college education (Coeff: -0.037, 95% CI: -0.068, -0.005, P=0.024), a larger median room number per house (Coeff: -0.107, 95% CI: -0.134, -0.081, P &lt; 0.001), and an income above the poverty line (100% &lt; income &lt; 150% of the poverty line) (Coeff: -0.257, 95% CI: -0.314, -0.199, P &lt; 0.001) were negatively associated with MRSA incidence rates. A multivariate model that incorporated socioeconomic data and antibiotic prescription rates predicted 39.1% of the observed variation in MRSA bloodstream infection rates (Pmodel &lt; 0.001).\nCONCLUSIONS: MRSA bloodstream infection rates were strongly associated with county-level antibiotic use and socioeconomic factors. If the causality of these associations is confirmed, antimicrobial stewardship programs that extend outside acute healthcare facilities would likely prove instrumental in arresting the spread of MRSA.","container-title":"International Journal of Antimicrobial Agents","DOI":"10.1016/j.ijantimicag.2018.04.003","ISSN":"1872-7913","issue":"2","journalAbbreviation":"Int J Antimicrob Agents","language":"eng","note":"PMID: 29656062","page":"195-200","source":"PubMed","title":"The impact of antibiotic prescription rates on the incidence of MRSA bloodstream infections: A county-level, US-wide analysis","title-short":"The impact of antibiotic prescription rates on the incidence of MRSA bloodstream infections","volume":"52","author":[{"family":"Andreatos","given":"Nikolaos"},{"family":"Shehadeh","given":"Fadi"},{"family":"Pliakos","given":"Elina Eleftheria"},{"family":"Mylonakis","given":"Eleftherios"}],"issued":{"date-parts":[["2018",8]]}}}],"schema":"https://github.com/citation-style-language/schema/raw/master/csl-citation.json"}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[21]</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3AC45BAF"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MRSA</w:t>
            </w:r>
          </w:p>
        </w:tc>
        <w:tc>
          <w:tcPr>
            <w:tcW w:w="1633" w:type="dxa"/>
            <w:gridSpan w:val="2"/>
          </w:tcPr>
          <w:p w14:paraId="19FE0EB6"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(2013-2015);</w:t>
            </w:r>
          </w:p>
          <w:p w14:paraId="4287103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Medicare </w:t>
            </w:r>
          </w:p>
          <w:p w14:paraId="52850ADB"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1754" w:type="dxa"/>
          </w:tcPr>
          <w:p w14:paraId="54FE5258"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26,928 MRSA </w:t>
            </w:r>
          </w:p>
        </w:tc>
        <w:tc>
          <w:tcPr>
            <w:tcW w:w="2245" w:type="dxa"/>
            <w:gridSpan w:val="2"/>
          </w:tcPr>
          <w:p w14:paraId="3BA9CB3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Poverty level, Education, Housing quality</w:t>
            </w:r>
          </w:p>
          <w:p w14:paraId="7BE4ECBD"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4711" w:type="dxa"/>
            <w:gridSpan w:val="2"/>
          </w:tcPr>
          <w:p w14:paraId="185B1BFA"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Poverty ↑ MRSA</w:t>
            </w:r>
          </w:p>
          <w:p w14:paraId="7A4D0F79"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        (Coeff 0.094, 95% CI 0.034–0.155, P=0.002).</w:t>
            </w:r>
          </w:p>
          <w:p w14:paraId="795783FF"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Higher education levels ↓ MRSA </w:t>
            </w:r>
            <w:r w:rsidRPr="00D76BAD">
              <w:rPr>
                <w:rFonts w:ascii="Times New Roman" w:eastAsia="Times New Roman" w:hAnsi="Times New Roman" w:cs="Times New Roman"/>
                <w:b/>
                <w:bCs/>
                <w:kern w:val="0"/>
                <w:sz w:val="22"/>
                <w:szCs w:val="22"/>
                <w14:ligatures w14:val="none"/>
              </w:rPr>
              <w:t>(Coeff –0.037, 95% CI –0.068 to –0.005, P=0.024).</w:t>
            </w:r>
          </w:p>
          <w:p w14:paraId="2D6FD555"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kern w:val="0"/>
                <w:sz w:val="22"/>
                <w:szCs w:val="22"/>
                <w14:ligatures w14:val="none"/>
              </w:rPr>
              <w:t xml:space="preserve">Better housing quality (more rooms per home) ↓ MRSA </w:t>
            </w:r>
            <w:r w:rsidRPr="00D76BAD">
              <w:rPr>
                <w:rFonts w:ascii="Times New Roman" w:eastAsia="Times New Roman" w:hAnsi="Times New Roman" w:cs="Times New Roman"/>
                <w:b/>
                <w:bCs/>
                <w:kern w:val="0"/>
                <w:sz w:val="22"/>
                <w:szCs w:val="22"/>
                <w14:ligatures w14:val="none"/>
              </w:rPr>
              <w:t>(Coeff –0.107, 95% CI –0.134 to –0.081, P&lt;0.001).</w:t>
            </w:r>
          </w:p>
          <w:p w14:paraId="3657F5EC"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kern w:val="0"/>
                <w:sz w:val="22"/>
                <w:szCs w:val="22"/>
                <w14:ligatures w14:val="none"/>
              </w:rPr>
              <w:t xml:space="preserve">Income slightly above poverty line ↓ MRSA </w:t>
            </w:r>
            <w:r w:rsidRPr="00D76BAD">
              <w:rPr>
                <w:rFonts w:ascii="Times New Roman" w:eastAsia="Times New Roman" w:hAnsi="Times New Roman" w:cs="Times New Roman"/>
                <w:b/>
                <w:bCs/>
                <w:kern w:val="0"/>
                <w:sz w:val="22"/>
                <w:szCs w:val="22"/>
                <w14:ligatures w14:val="none"/>
              </w:rPr>
              <w:t>(Coeff –0.257, 95% CI –0.314 to –0.199, P&lt;0.001).</w:t>
            </w:r>
          </w:p>
          <w:p w14:paraId="6782229E"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5FF4ACE7"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1CED4D54"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lastRenderedPageBreak/>
              <w:t>McGarry et al.,</w:t>
            </w:r>
          </w:p>
          <w:p w14:paraId="56BC630F"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{"citationID":"LQ9G0T90","properties":{"formattedCitation":"[22]","plainCitation":"[22]","noteIndex":0},"citationItems":[{"id":2970,"uris":["http://zotero.org/users/19095250/items/6YEV27Z5"],"itemData":{"id":2970,"type":"article-journal","abstract":"BACKGROUND: Hispanic people with CF (pwCF) have increased morbidity than non-Hispanic White pwCF, including increased risk of Pseudomonas aeruginosa. We aimed to determine if Staphylococcus aureus (S. aureus) acquisition varies between Hispanic and non-Hispanic White pwCF.\nMETHODS: This longitudinal cohort study of pwCF ages 0-25 years in the CF Foundation Patient Registry compared acquisition of methicillin-sensitive S. aureus (MSSA), methicillin-resistant S. aureus (MRSA), persistent MRSA between Hispanic and non-Hispanic White pwCF. Risk of acquisition was assessed by Kaplan-Meier survival curves and its association with ethnicity was evaluated using Cox regressions. Adjusted associations were evaluated using multivariate Cox models adjusting for sex, age of entry into CFFPR, CFTR variant severity, pancreatic insufficiency, CF-related diabetes, maternal education, insurance status.\nRESULTS: Of 10,640 pwCF, 7.5% were Hispanic and 92.5% were non-Hispanic White. Hispanic pwCF had a 19% higher risk of acquiring MSSA (HR 1.19, 95% CI 1.10-1.28, p&lt;0.001) and 13% higher risk of acquiring MRSA (HR 1.13, 95% CI 1.02-1.26, p = 0.02) than non-Hispanic White pwCF. The difference in persistent MRSA between ethnicities did not reach statistical significance. After adjusting for confounding variables, only the risk of MSSA was significantly associated with ethnicity. Compared to non-Hispanic White pwCF, Hispanic pwCF acquired MSSA and MRSA at younger median ages (4.9 vs. 3.8 years (p&lt;0.001), 22.4 vs. 20.8 years (p = 0.02).\nCONCLUSION: Hispanic pwCF &lt;25 years of age have an increased risk of acquiring MSSA and acquired MSSA and MRSA at an earlier age. Differences in S. aureus acquisition may contribute to increased morbidity in Hispanic pwCF.","container-title":"Journal of Cystic Fibrosis: Official Journal of the European Cystic Fibrosis Society","DOI":"10.1016/j.jcf.2023.07.004","ISSN":"1873-5010","issue":"5","journalAbbreviation":"J Cyst Fibros","language":"eng","note":"PMID: 37460380\nPMCID: PMC10802839","page":"909-915","source":"PubMed","title":"Ethnic differences in staphylococcus aureus acquisition in cystic fibrosis","volume":"22","author":[{"family":"McGarry","given":"Meghan E."},{"family":"Huang","given":"Chiung-Yu"},{"family":"Ly","given":"Ngoc P."}],"issued":{"date-parts":[["2023",9]]}}}],"schema":"https://github.com/citation-style-language/schema/raw/master/csl-citation.json"}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[22]</w:t>
            </w:r>
            <w:r w:rsidRPr="00D76BAD">
              <w:rPr>
                <w:rFonts w:ascii="Times New Roman" w:eastAsia="Times New Roman" w:hAnsi="Times New Roman" w:cs="Times New Roman"/>
                <w:b/>
                <w:bCs/>
                <w:kern w:val="0"/>
                <w:sz w:val="22"/>
                <w:szCs w:val="22"/>
                <w14:ligatures w14:val="none"/>
              </w:rPr>
              <w:fldChar w:fldCharType="end"/>
            </w:r>
          </w:p>
          <w:p w14:paraId="14312499"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p>
        </w:tc>
        <w:tc>
          <w:tcPr>
            <w:tcW w:w="1151" w:type="dxa"/>
          </w:tcPr>
          <w:p w14:paraId="3C55B582"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MRSA, MSSA</w:t>
            </w:r>
          </w:p>
          <w:p w14:paraId="3F211158"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(Pediatric)</w:t>
            </w:r>
          </w:p>
        </w:tc>
        <w:tc>
          <w:tcPr>
            <w:tcW w:w="1633" w:type="dxa"/>
            <w:gridSpan w:val="2"/>
          </w:tcPr>
          <w:p w14:paraId="72A343FE"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Longitudinal cohort; Cystic Fibrosis Foundation Patient Registry </w:t>
            </w:r>
          </w:p>
        </w:tc>
        <w:tc>
          <w:tcPr>
            <w:tcW w:w="1754" w:type="dxa"/>
          </w:tcPr>
          <w:p w14:paraId="7C745E1B"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10,640 CF </w:t>
            </w:r>
          </w:p>
          <w:p w14:paraId="174B3550"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2245" w:type="dxa"/>
            <w:gridSpan w:val="2"/>
            <w:vAlign w:val="center"/>
          </w:tcPr>
          <w:p w14:paraId="3B48E926"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Race/Ethnicity (Hispanic vs non-Hispanic White). </w:t>
            </w:r>
          </w:p>
        </w:tc>
        <w:tc>
          <w:tcPr>
            <w:tcW w:w="4711" w:type="dxa"/>
            <w:gridSpan w:val="2"/>
          </w:tcPr>
          <w:p w14:paraId="77251B49"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Hispanic pwCF had a 19%↑risk of MSSA acquisition </w:t>
            </w:r>
            <w:r w:rsidRPr="00D76BAD">
              <w:rPr>
                <w:rFonts w:ascii="Times New Roman" w:eastAsia="Times New Roman" w:hAnsi="Times New Roman" w:cs="Times New Roman"/>
                <w:b/>
                <w:bCs/>
                <w:kern w:val="0"/>
                <w:sz w:val="22"/>
                <w:szCs w:val="22"/>
                <w14:ligatures w14:val="none"/>
              </w:rPr>
              <w:t>(HR 1.19, 95% CI 1.10–1.28, p&lt;0.001)</w:t>
            </w:r>
            <w:r w:rsidRPr="00D76BAD">
              <w:rPr>
                <w:rFonts w:ascii="Times New Roman" w:eastAsia="Times New Roman" w:hAnsi="Times New Roman" w:cs="Times New Roman"/>
                <w:kern w:val="0"/>
                <w:sz w:val="22"/>
                <w:szCs w:val="22"/>
                <w14:ligatures w14:val="none"/>
              </w:rPr>
              <w:t xml:space="preserve"> than non-Hispanic pwCF.</w:t>
            </w:r>
          </w:p>
          <w:p w14:paraId="6594C078"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Hispanic pwCF had a 13% ↑ risk of MRSA acquisition </w:t>
            </w:r>
            <w:r w:rsidRPr="00D76BAD">
              <w:rPr>
                <w:rFonts w:ascii="Times New Roman" w:eastAsia="Times New Roman" w:hAnsi="Times New Roman" w:cs="Times New Roman"/>
                <w:b/>
                <w:bCs/>
                <w:kern w:val="0"/>
                <w:sz w:val="22"/>
                <w:szCs w:val="22"/>
                <w14:ligatures w14:val="none"/>
              </w:rPr>
              <w:t>(HR 1.13, 95% CI 1.02–1.26,</w:t>
            </w:r>
            <w:r w:rsidRPr="00D76BAD">
              <w:rPr>
                <w:rFonts w:ascii="Times New Roman" w:eastAsia="Times New Roman" w:hAnsi="Times New Roman" w:cs="Times New Roman"/>
                <w:kern w:val="0"/>
                <w:sz w:val="22"/>
                <w:szCs w:val="22"/>
                <w14:ligatures w14:val="none"/>
              </w:rPr>
              <w:t xml:space="preserve"> </w:t>
            </w:r>
            <w:r w:rsidRPr="00D76BAD">
              <w:rPr>
                <w:rFonts w:ascii="Times New Roman" w:eastAsia="Times New Roman" w:hAnsi="Times New Roman" w:cs="Times New Roman"/>
                <w:b/>
                <w:bCs/>
                <w:kern w:val="0"/>
                <w:sz w:val="22"/>
                <w:szCs w:val="22"/>
                <w14:ligatures w14:val="none"/>
              </w:rPr>
              <w:t>p=0.02</w:t>
            </w:r>
            <w:r w:rsidRPr="00D76BAD">
              <w:rPr>
                <w:rFonts w:ascii="Times New Roman" w:eastAsia="Times New Roman" w:hAnsi="Times New Roman" w:cs="Times New Roman"/>
                <w:kern w:val="0"/>
                <w:sz w:val="22"/>
                <w:szCs w:val="22"/>
                <w14:ligatures w14:val="none"/>
              </w:rPr>
              <w:t>) than non-Hispanic pwCF.</w:t>
            </w:r>
          </w:p>
          <w:p w14:paraId="16A8ACAA"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Hispanic children acquired MSSA earlier </w:t>
            </w:r>
            <w:r w:rsidRPr="00D76BAD">
              <w:rPr>
                <w:rFonts w:ascii="Times New Roman" w:eastAsia="Times New Roman" w:hAnsi="Times New Roman" w:cs="Times New Roman"/>
                <w:b/>
                <w:bCs/>
                <w:kern w:val="0"/>
                <w:sz w:val="22"/>
                <w:szCs w:val="22"/>
                <w14:ligatures w14:val="none"/>
              </w:rPr>
              <w:t>(median 3.8 vs 4.9 years, p&lt;0.001)</w:t>
            </w:r>
            <w:r w:rsidRPr="00D76BAD">
              <w:rPr>
                <w:rFonts w:ascii="Times New Roman" w:eastAsia="Times New Roman" w:hAnsi="Times New Roman" w:cs="Times New Roman"/>
                <w:kern w:val="0"/>
                <w:sz w:val="22"/>
                <w:szCs w:val="22"/>
                <w14:ligatures w14:val="none"/>
              </w:rPr>
              <w:t xml:space="preserve"> and MRSA earlier </w:t>
            </w:r>
            <w:r w:rsidRPr="00D76BAD">
              <w:rPr>
                <w:rFonts w:ascii="Times New Roman" w:eastAsia="Times New Roman" w:hAnsi="Times New Roman" w:cs="Times New Roman"/>
                <w:b/>
                <w:bCs/>
                <w:kern w:val="0"/>
                <w:sz w:val="22"/>
                <w:szCs w:val="22"/>
                <w14:ligatures w14:val="none"/>
              </w:rPr>
              <w:t>(median 20.8 vs 22.4 years, p=0.02)</w:t>
            </w:r>
            <w:r w:rsidRPr="00D76BAD">
              <w:rPr>
                <w:rFonts w:ascii="Times New Roman" w:eastAsia="Times New Roman" w:hAnsi="Times New Roman" w:cs="Times New Roman"/>
                <w:kern w:val="0"/>
                <w:sz w:val="22"/>
                <w:szCs w:val="22"/>
                <w14:ligatures w14:val="none"/>
              </w:rPr>
              <w:t xml:space="preserve"> than non-Hispanic pwCF.</w:t>
            </w:r>
          </w:p>
        </w:tc>
      </w:tr>
      <w:tr w:rsidR="003C12A5" w:rsidRPr="00D76BAD" w14:paraId="23385C2E"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489A0E22"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Freeman et al., </w:t>
            </w:r>
          </w:p>
          <w:p w14:paraId="591CFDA0"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2018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{"citationID":"Rcz488Et","properties":{"formattedCitation":"[23]","plainCitation":"[23]","noteIndex":0},"citationItems":[{"id":2973,"uris":["http://zotero.org/users/19095250/items/USU5GKQ9"],"itemData":{"id":2973,"type":"article-journal","abstract":"The correlations between census-derived sociodemographic variables and hospital-onset methicillin-resistant Staphylococcus aureus bacteremia (HO-MRSAB) rates were examined at the US state level. On multivariable analysis, only percent African American remained statistically significant. This finding highlights an important disparity and suggests that risk adjustment is needed when comparing HO-MRSAB rates among US states. Infect Control Hosp Epidemiol 2018;39:479-481.","container-title":"Infection Control and Hospital Epidemiology","DOI":"10.1017/ice.2018.12","ISSN":"1559-6834","issue":"4","journalAbbreviation":"Infect Control Hosp Epidemiol","language":"eng","note":"PMID: 29457569","page":"479-481","source":"PubMed","title":"Hospital-Onset MRSA Bacteremia Rates Are Significantly Correlated With Sociodemographic Factors: A Step Toward Risk Adjustment","title-short":"Hospital-Onset MRSA Bacteremia Rates Are Significantly Correlated With Sociodemographic Factors","volume":"39","author":[{"family":"Freeman","given":"Joshua T."},{"family":"Blakiston","given":"Matthew R."},{"family":"Anderson","given":"Deverick J."}],"issued":{"date-parts":[["2018",4]]}}}],"schema":"https://github.com/citation-style-language/schema/raw/master/csl-citation.json"}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[23]</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483AC3B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MRSA</w:t>
            </w:r>
          </w:p>
        </w:tc>
        <w:tc>
          <w:tcPr>
            <w:tcW w:w="1633" w:type="dxa"/>
            <w:gridSpan w:val="2"/>
          </w:tcPr>
          <w:p w14:paraId="1172D5C4"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Ecological cross-sectional study; CDC state-level SIR for HO-MRSA bloodstream infections </w:t>
            </w:r>
          </w:p>
        </w:tc>
        <w:tc>
          <w:tcPr>
            <w:tcW w:w="1754" w:type="dxa"/>
          </w:tcPr>
          <w:p w14:paraId="7D7F7FF7"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Population level data </w:t>
            </w:r>
          </w:p>
        </w:tc>
        <w:tc>
          <w:tcPr>
            <w:tcW w:w="2245" w:type="dxa"/>
            <w:gridSpan w:val="2"/>
          </w:tcPr>
          <w:p w14:paraId="1F5D16AD"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Race/Ethnicity poverty rate, income </w:t>
            </w:r>
          </w:p>
        </w:tc>
        <w:tc>
          <w:tcPr>
            <w:tcW w:w="4711" w:type="dxa"/>
            <w:gridSpan w:val="2"/>
          </w:tcPr>
          <w:p w14:paraId="513BACB5"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Poverty, income inequality, % African American, and % diabetes (2013 only) was positively correlated with higher HO-MRSA rates (univariate).</w:t>
            </w:r>
          </w:p>
          <w:p w14:paraId="795D8EFE"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No association with % Hispanic, median income, or % ≥65.</w:t>
            </w:r>
          </w:p>
          <w:p w14:paraId="15438E0D"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In multivariable models, </w:t>
            </w:r>
            <w:r w:rsidRPr="00D76BAD">
              <w:rPr>
                <w:rFonts w:ascii="Times New Roman" w:eastAsia="Times New Roman" w:hAnsi="Times New Roman" w:cs="Times New Roman"/>
                <w:b/>
                <w:bCs/>
                <w:kern w:val="0"/>
                <w:sz w:val="22"/>
                <w:szCs w:val="22"/>
                <w14:ligatures w14:val="none"/>
              </w:rPr>
              <w:t>% African American remained the only significant predictor</w:t>
            </w:r>
            <w:r w:rsidRPr="00D76BAD">
              <w:rPr>
                <w:rFonts w:ascii="Times New Roman" w:eastAsia="Times New Roman" w:hAnsi="Times New Roman" w:cs="Times New Roman"/>
                <w:kern w:val="0"/>
                <w:sz w:val="22"/>
                <w:szCs w:val="22"/>
                <w14:ligatures w14:val="none"/>
              </w:rPr>
              <w:t xml:space="preserve"> of HO-MRSA across both 2013 and 2014.</w:t>
            </w:r>
          </w:p>
          <w:p w14:paraId="5BAD523A"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17FA3236"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443513C6"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Oates et al.,</w:t>
            </w:r>
          </w:p>
          <w:p w14:paraId="43445C36"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2019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{"citationID":"uEe30TPt","properties":{"formattedCitation":"[9]","plainCitation":"[9]","noteIndex":0},"citationItems":[{"id":2939,"uris":["http://zotero.org/users/19095250/items/ZLTCEUER"],"itemData":{"id":2939,"type":"article-journal","abstract":"OBJECTIVE: Few data are available to quantify the Clostridioides difficile infection (CDI) burden in US adults depending on Medicaid insurance status; thus, we sought to contribute to this body of information.\nMETHODS: Retrospective cohort study to identify adults with codes for CDI from 2011 to 2017 in MarketScan commercial and Medicaid databases (for those aged 25-64 years) and the CMS Medicare database (for those aged ≥65 years). CDI was categorized as healthcare-facility-associated (HCA-CDI) and community-associated CDI (CA-CDI). CDI incidence rates were compared by year, insurer, and age group.\nRESULTS: The overall CDI incidence in the elderly was 3.1-fold higher in persons insured by Medicare plus Medicaid than in those insured by Medicare only (1,935 vs 618 per 100,000 person years (PY)), and the CDI incidence was 2.7-fold higher in younger adults with Medicaid compared to commercial insurance (195 vs 73 per 100,000 PY). From 2011 to 2017, HCA-CDI rates declined in the younger Medicaid population (124.0 to 95.2 per 100,000 PY; P &lt; .001) but were stable in those commercially insured (25.9 to 24.8 per 100,000 PY; P = .33). In the elderly HCA-CDI rates declined from 2011 to 2017 in the Medicare-only population (403 to 318 per 100,000 PY; P &lt; .001) and the Medicare plus Medicaid population (1,770 to 1,163 per 100,000 PY; P &lt; .002). Persons with chronic medical conditions and those with immunocompromising conditions insured by Medicaid had 2.8- and 2.7-fold higher CDI incidence compared to the commercially insured population, respectively. The incidence of CDI was lowest in Medicaid and commercially insured younger adults without chronic medical or immunosuppressive conditions (67.5 and 45.6 per 100,000 PY, respectively).\nCONCLUSIONS: Although HCA-CDI incidence decreased from 2011 to 2017 in elderly and younger adults insured by Medicaid, the burden of CDI remains much higher in low-income adults insured by Medicaid.","container-title":"Infection Control and Hospital Epidemiology","DOI":"10.1017/ice.2022.208","ISSN":"1559-6834","issue":"7","journalAbbreviation":"Infect Control Hosp Epidemiol","language":"eng","note":"PMID: 36082779\nPMCID: PMC9995604","page":"1076-1084","source":"PubMed","title":"Trends in the incidence of Clostridioides difficile infection in adults and the elderly insured by Medicaid compared to commercial insurance or Medicare only","volume":"44","author":[{"family":"Olsen","given":"Margaret A."},{"family":"Stwalley","given":"Dustin"},{"family":"Tipping","given":"Andrew D."},{"family":"Keller","given":"Matthew R."},{"family":"Yu","given":"Holly"},{"family":"Dubberke","given":"Erik R."}],"issued":{"date-parts":[["2023",7]]}}}],"schema":"https://github.com/citation-style-language/schema/raw/master/csl-citation.json"}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[9]</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30924FD2"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MRSA</w:t>
            </w:r>
          </w:p>
          <w:p w14:paraId="780CFAB6"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(Pediatric)</w:t>
            </w:r>
          </w:p>
        </w:tc>
        <w:tc>
          <w:tcPr>
            <w:tcW w:w="1633" w:type="dxa"/>
            <w:gridSpan w:val="2"/>
          </w:tcPr>
          <w:p w14:paraId="24FB06A3"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Cross-sectional observation; Cystic Fibrosis </w:t>
            </w:r>
            <w:r w:rsidRPr="00D76BAD">
              <w:rPr>
                <w:rFonts w:ascii="Times New Roman" w:hAnsi="Times New Roman" w:cs="Times New Roman"/>
                <w:sz w:val="22"/>
                <w:szCs w:val="22"/>
              </w:rPr>
              <w:lastRenderedPageBreak/>
              <w:t>Center Patient Registry</w:t>
            </w:r>
          </w:p>
        </w:tc>
        <w:tc>
          <w:tcPr>
            <w:tcW w:w="1754" w:type="dxa"/>
          </w:tcPr>
          <w:p w14:paraId="4D3A720E"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76BAD">
              <w:rPr>
                <w:rFonts w:ascii="Times New Roman" w:hAnsi="Times New Roman" w:cs="Times New Roman"/>
                <w:sz w:val="22"/>
                <w:szCs w:val="22"/>
              </w:rPr>
              <w:lastRenderedPageBreak/>
              <w:t xml:space="preserve">231 pediatric CF </w:t>
            </w:r>
          </w:p>
          <w:p w14:paraId="563670EE"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2245" w:type="dxa"/>
            <w:gridSpan w:val="2"/>
          </w:tcPr>
          <w:p w14:paraId="01973F3E"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ADI (high ≥5 vs low &lt;5), rurality, parental </w:t>
            </w:r>
            <w:r w:rsidRPr="00D76BAD">
              <w:rPr>
                <w:rFonts w:ascii="Times New Roman" w:hAnsi="Times New Roman" w:cs="Times New Roman"/>
                <w:sz w:val="22"/>
                <w:szCs w:val="22"/>
              </w:rPr>
              <w:lastRenderedPageBreak/>
              <w:t>education, household income, race</w:t>
            </w:r>
          </w:p>
        </w:tc>
        <w:tc>
          <w:tcPr>
            <w:tcW w:w="4711" w:type="dxa"/>
            <w:gridSpan w:val="2"/>
          </w:tcPr>
          <w:p w14:paraId="2261ECC4"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lastRenderedPageBreak/>
              <w:t xml:space="preserve">↑Neighborhood deprivation strongly correlated with rural residence, no parental </w:t>
            </w:r>
            <w:r w:rsidRPr="00D76BAD">
              <w:rPr>
                <w:rFonts w:ascii="Times New Roman" w:eastAsia="Times New Roman" w:hAnsi="Times New Roman" w:cs="Times New Roman"/>
                <w:kern w:val="0"/>
                <w:sz w:val="22"/>
                <w:szCs w:val="22"/>
                <w14:ligatures w14:val="none"/>
              </w:rPr>
              <w:lastRenderedPageBreak/>
              <w:t>college education, and lower household income (all P &lt; 0.001).</w:t>
            </w:r>
          </w:p>
          <w:p w14:paraId="21C4DA5F"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High neighborhood deprivation associated with </w:t>
            </w:r>
            <w:r w:rsidRPr="00D76BAD">
              <w:rPr>
                <w:rFonts w:ascii="Times New Roman" w:eastAsia="Times New Roman" w:hAnsi="Times New Roman" w:cs="Times New Roman"/>
                <w:b/>
                <w:bCs/>
                <w:kern w:val="0"/>
                <w:sz w:val="22"/>
                <w:szCs w:val="22"/>
                <w14:ligatures w14:val="none"/>
              </w:rPr>
              <w:t xml:space="preserve">&gt;2-fold </w:t>
            </w:r>
            <w:r w:rsidRPr="00D76BAD">
              <w:rPr>
                <w:rFonts w:ascii="Times New Roman" w:eastAsia="Times New Roman" w:hAnsi="Times New Roman" w:cs="Times New Roman"/>
                <w:kern w:val="0"/>
                <w:sz w:val="22"/>
                <w:szCs w:val="22"/>
                <w14:ligatures w14:val="none"/>
              </w:rPr>
              <w:t xml:space="preserve">↑ MRSA infection </w:t>
            </w:r>
            <w:r w:rsidRPr="00D76BAD">
              <w:rPr>
                <w:rFonts w:ascii="Times New Roman" w:eastAsia="Times New Roman" w:hAnsi="Times New Roman" w:cs="Times New Roman"/>
                <w:b/>
                <w:bCs/>
                <w:kern w:val="0"/>
                <w:sz w:val="22"/>
                <w:szCs w:val="22"/>
                <w14:ligatures w14:val="none"/>
              </w:rPr>
              <w:t>(OR 2.26; 95% CI 1.14–4.45), P &lt; 0.05</w:t>
            </w:r>
            <w:r w:rsidRPr="00D76BAD">
              <w:rPr>
                <w:rFonts w:ascii="Times New Roman" w:eastAsia="Times New Roman" w:hAnsi="Times New Roman" w:cs="Times New Roman"/>
                <w:kern w:val="0"/>
                <w:sz w:val="22"/>
                <w:szCs w:val="22"/>
                <w14:ligatures w14:val="none"/>
              </w:rPr>
              <w:t>.</w:t>
            </w:r>
          </w:p>
        </w:tc>
      </w:tr>
      <w:tr w:rsidR="003C12A5" w:rsidRPr="00D76BAD" w14:paraId="46E4EE7C"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Height w:val="2232"/>
        </w:trPr>
        <w:tc>
          <w:tcPr>
            <w:cnfStyle w:val="001000000000" w:firstRow="0" w:lastRow="0" w:firstColumn="1" w:lastColumn="0" w:oddVBand="0" w:evenVBand="0" w:oddHBand="0" w:evenHBand="0" w:firstRowFirstColumn="0" w:firstRowLastColumn="0" w:lastRowFirstColumn="0" w:lastRowLastColumn="0"/>
            <w:tcW w:w="1597" w:type="dxa"/>
            <w:gridSpan w:val="2"/>
          </w:tcPr>
          <w:p w14:paraId="74650C94"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lastRenderedPageBreak/>
              <w:t>Sood et al.,</w:t>
            </w:r>
          </w:p>
          <w:p w14:paraId="63A092D8"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{"citationID":"xqfx1oZs","properties":{"formattedCitation":"[24]","plainCitation":"[24]","noteIndex":0},"citationItems":[{"id":2984,"uris":["http://zotero.org/users/19095250/items/JF2YUC8U"],"itemData":{"id":2984,"type":"article-journal","container-title":"American Journal of Infection Control","DOI":"10.1016/j.ajic.2023.07.001","ISSN":"0196-6553, 1527-3296","issue":"12","journalAbbreviation":"American Journal of Infection Control","language":"English","note":"publisher: Elsevier\nPMID: 37478909","page":"1314-1320","source":"www.ajicjournal.org","title":"Is neighborhood deprivation index a risk factor for Staphylococcus aureus infections?","volume":"51","author":[{"family":"Sood","given":"Geeta"},{"family":"Dougherty","given":"Geoff"},{"family":"Martin","given":"John"},{"family":"Beranek","given":"Edward"},{"family":"Landrum","given":"B. Mark"},{"family":"Qasba","given":"Sonia"},{"family":"Patel","given":"Mayank"},{"family":"Wilson","given":"Christina"},{"family":"Miller","given":"Amanda"},{"family":"Sulkowski","given":"Mark"},{"family":"Bennett","given":"Richard G."},{"family":"Sears","given":"Cynthia L."},{"family":"Schuster","given":"Alyson"},{"family":"Galai","given":"Noya"}],"issued":{"date-parts":[["2023",12,1]]}}}],"schema":"https://github.com/citation-style-language/schema/raw/master/csl-citation.json"}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[24]</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222E617B"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MRSA</w:t>
            </w:r>
          </w:p>
        </w:tc>
        <w:tc>
          <w:tcPr>
            <w:tcW w:w="1633" w:type="dxa"/>
            <w:gridSpan w:val="2"/>
          </w:tcPr>
          <w:p w14:paraId="685E6C9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Retrospective (2016 -2018); EMR (Epic) Premier Quality Advisor database; ADI</w:t>
            </w:r>
          </w:p>
        </w:tc>
        <w:tc>
          <w:tcPr>
            <w:tcW w:w="1754" w:type="dxa"/>
          </w:tcPr>
          <w:p w14:paraId="0978026C"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D76BAD">
              <w:rPr>
                <w:rFonts w:ascii="Times New Roman" w:hAnsi="Times New Roman" w:cs="Times New Roman"/>
                <w:sz w:val="22"/>
                <w:szCs w:val="22"/>
              </w:rPr>
              <w:t>220,849 cases</w:t>
            </w:r>
          </w:p>
          <w:p w14:paraId="5C01937E"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5 hospitals in one large Maryland-Washington DC health system</w:t>
            </w:r>
          </w:p>
        </w:tc>
        <w:tc>
          <w:tcPr>
            <w:tcW w:w="2245" w:type="dxa"/>
            <w:gridSpan w:val="2"/>
          </w:tcPr>
          <w:p w14:paraId="438433B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ADI, Race/ethnicity, Insurance </w:t>
            </w:r>
          </w:p>
        </w:tc>
        <w:tc>
          <w:tcPr>
            <w:tcW w:w="4711" w:type="dxa"/>
            <w:gridSpan w:val="2"/>
          </w:tcPr>
          <w:p w14:paraId="41C01539"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Black race had </w:t>
            </w:r>
            <w:r w:rsidRPr="00D76BAD">
              <w:rPr>
                <w:rFonts w:ascii="Times New Roman" w:eastAsia="Times New Roman" w:hAnsi="Times New Roman" w:cs="Times New Roman"/>
                <w:b/>
                <w:bCs/>
                <w:kern w:val="0"/>
                <w:sz w:val="22"/>
                <w:szCs w:val="22"/>
                <w14:ligatures w14:val="none"/>
              </w:rPr>
              <w:t xml:space="preserve">44% </w:t>
            </w:r>
            <w:r w:rsidRPr="00D76BAD">
              <w:rPr>
                <w:rFonts w:ascii="Times New Roman" w:eastAsia="Times New Roman" w:hAnsi="Times New Roman" w:cs="Times New Roman"/>
                <w:kern w:val="0"/>
                <w:sz w:val="22"/>
                <w:szCs w:val="22"/>
                <w14:ligatures w14:val="none"/>
              </w:rPr>
              <w:t>↑ MRSA</w:t>
            </w:r>
          </w:p>
          <w:p w14:paraId="00FAF238" w14:textId="77777777" w:rsidR="003C12A5" w:rsidRPr="00D76BAD" w:rsidRDefault="003C12A5" w:rsidP="00F5109C">
            <w:pPr>
              <w:pStyle w:val="ListParagraph"/>
              <w:spacing w:line="480" w:lineRule="auto"/>
              <w:ind w:left="36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(OR 1.44; 95% CI 1.18–1.76).</w:t>
            </w:r>
          </w:p>
          <w:p w14:paraId="362AFEE6"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After adjusting for ADI, </w:t>
            </w:r>
            <w:r w:rsidRPr="00D76BAD">
              <w:rPr>
                <w:rFonts w:ascii="Times New Roman" w:eastAsia="Times New Roman" w:hAnsi="Times New Roman" w:cs="Times New Roman"/>
                <w:b/>
                <w:bCs/>
                <w:kern w:val="0"/>
                <w:sz w:val="22"/>
                <w:szCs w:val="22"/>
                <w14:ligatures w14:val="none"/>
              </w:rPr>
              <w:t>Black race was no longer associated</w:t>
            </w:r>
            <w:r w:rsidRPr="00D76BAD">
              <w:rPr>
                <w:rFonts w:ascii="Times New Roman" w:eastAsia="Times New Roman" w:hAnsi="Times New Roman" w:cs="Times New Roman"/>
                <w:kern w:val="0"/>
                <w:sz w:val="22"/>
                <w:szCs w:val="22"/>
                <w14:ligatures w14:val="none"/>
              </w:rPr>
              <w:t xml:space="preserve"> with ho-MRSA, indicating ADI mediated the disparity.</w:t>
            </w:r>
          </w:p>
          <w:p w14:paraId="2A818C02" w14:textId="77777777" w:rsidR="003C12A5" w:rsidRPr="00D76BAD" w:rsidRDefault="003C12A5" w:rsidP="003C12A5">
            <w:pPr>
              <w:pStyle w:val="NormalWeb"/>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sz w:val="22"/>
                <w:szCs w:val="22"/>
              </w:rPr>
            </w:pPr>
            <w:r w:rsidRPr="00D76BAD">
              <w:rPr>
                <w:sz w:val="22"/>
                <w:szCs w:val="22"/>
              </w:rPr>
              <w:t xml:space="preserve">Asian and “unknown” race remained associated with </w:t>
            </w:r>
            <w:r w:rsidRPr="00D76BAD">
              <w:rPr>
                <w:rStyle w:val="Strong"/>
                <w:rFonts w:eastAsiaTheme="majorEastAsia"/>
                <w:sz w:val="22"/>
                <w:szCs w:val="22"/>
              </w:rPr>
              <w:t>lower odds</w:t>
            </w:r>
            <w:r w:rsidRPr="00D76BAD">
              <w:rPr>
                <w:sz w:val="22"/>
                <w:szCs w:val="22"/>
              </w:rPr>
              <w:t xml:space="preserve"> of co-MRSA/MSSA in adjusted models.</w:t>
            </w:r>
          </w:p>
        </w:tc>
      </w:tr>
      <w:tr w:rsidR="003C12A5" w:rsidRPr="00D76BAD" w14:paraId="306707AB"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579DE901"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Arsoniadis et al.,</w:t>
            </w:r>
          </w:p>
          <w:p w14:paraId="6000C306"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2016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{"citationID":"wiPWSpb2","properties":{"formattedCitation":"[25]","plainCitation":"[25]","noteIndex":0},"citationItems":[{"id":2986,"uris":["http://zotero.org/users/19095250/items/Y92ZSB8K"],"itemData":{"id":2986,"type":"article-journal","abstract":"BACKGROUND: Previous reports on racial disparities in the treatment of Crohn's disease [CD] in African American [AA] patients have shown differences in both medical and surgical treatments in this population. No study thus far has examined the effect of AA race on outcomes after surgery for CD.\nMETHODS: Utilizing the National Surgical Quality Improvement Program [NSQIP] Participant User File [PUF] for the years 2005-2013, we examined the effect of AA race on postoperative complications in patients with CD undergoing intestinal surgery.\nRESULTS: AA patients had a significantly higher rate of complications overall compared to non-AA patients [23.5% vs 18.9%, p = 0.002]. Postoperative sepsis [10.9% vs 6.6%, p &lt; 0.001] and surgical site infection [17.6% vs 14.8%, p = 0.037] were most significant. After adjustment for age, sex, preoperative disease severity and lifestyle factors [smoking], race remained a statistically significant factor in postoperative complication rate. Only after additional adjustment was made for comorbidities and American Society of Anesthesiologists class did race lose significance within our model.\nCONCLUSION: African Americans experience a greater amount of postoperative complications following surgery for Crohn's disease. Preoperative disease management, addressing smoking status and control of comorbid disease are important factors in addressing the racial disparities in the surgical treatment of Crohn's disease.","container-title":"Journal of Crohn's &amp; Colitis","DOI":"10.1093/ecco-jcc/jjw175","ISSN":"1876-4479","issue":"4","journalAbbreviation":"J Crohns Colitis","language":"eng","note":"PMID: 27683803\nPMCID: PMC5881719","page":"468-473","source":"PubMed","title":"African Americans and Short-Term Outcomes after Surgery for Crohn's Disease: An ACS-NSQIP Analysis","title-short":"African Americans and Short-Term Outcomes after Surgery for Crohn's Disease","volume":"11","author":[{"family":"Arsoniadis","given":"Elliot G."},{"family":"Ho","given":"Yen-Yi"},{"family":"Melton","given":"Genevieve B."},{"family":"Madoff","given":"Robert D."},{"family":"Le","given":"Chap"},{"family":"Kwaan","given":"Mary R."}],"issued":{"date-parts":[["2017",4,1]]}}}],"schema":"https://github.com/citation-style-language/schema/raw/master/csl-citation.json"}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[25]</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18469A18"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w:t>
            </w:r>
          </w:p>
        </w:tc>
        <w:tc>
          <w:tcPr>
            <w:tcW w:w="1633" w:type="dxa"/>
            <w:gridSpan w:val="2"/>
          </w:tcPr>
          <w:p w14:paraId="6792472F"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Retrospective (2005-2013); NSQIP-PUF</w:t>
            </w:r>
          </w:p>
        </w:tc>
        <w:tc>
          <w:tcPr>
            <w:tcW w:w="1754" w:type="dxa"/>
          </w:tcPr>
          <w:p w14:paraId="71C1C650"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9,513 CD patients </w:t>
            </w:r>
          </w:p>
        </w:tc>
        <w:tc>
          <w:tcPr>
            <w:tcW w:w="2245" w:type="dxa"/>
            <w:gridSpan w:val="2"/>
            <w:vAlign w:val="center"/>
          </w:tcPr>
          <w:p w14:paraId="31E1EF03"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Race (African American AA vs non-AA)</w:t>
            </w:r>
          </w:p>
        </w:tc>
        <w:tc>
          <w:tcPr>
            <w:tcW w:w="4711" w:type="dxa"/>
            <w:gridSpan w:val="2"/>
          </w:tcPr>
          <w:p w14:paraId="439B1AFC"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SSI risk </w:t>
            </w:r>
            <w:r w:rsidRPr="00D76BAD">
              <w:rPr>
                <w:rFonts w:ascii="Times New Roman" w:eastAsia="Times New Roman" w:hAnsi="Times New Roman" w:cs="Times New Roman"/>
                <w:kern w:val="0"/>
                <w:sz w:val="22"/>
                <w:szCs w:val="22"/>
                <w14:ligatures w14:val="none"/>
              </w:rPr>
              <w:t>↑</w:t>
            </w:r>
            <w:r w:rsidRPr="00D76BAD">
              <w:rPr>
                <w:rFonts w:ascii="Times New Roman" w:hAnsi="Times New Roman" w:cs="Times New Roman"/>
                <w:sz w:val="22"/>
                <w:szCs w:val="22"/>
              </w:rPr>
              <w:t xml:space="preserve"> among AA: </w:t>
            </w:r>
            <w:r w:rsidRPr="00D76BAD">
              <w:rPr>
                <w:rFonts w:ascii="Times New Roman" w:hAnsi="Times New Roman" w:cs="Times New Roman"/>
                <w:b/>
                <w:bCs/>
                <w:sz w:val="22"/>
                <w:szCs w:val="22"/>
              </w:rPr>
              <w:t>17.6% vs 14.8%, p=0.037</w:t>
            </w:r>
          </w:p>
        </w:tc>
      </w:tr>
      <w:tr w:rsidR="003C12A5" w:rsidRPr="00D76BAD" w14:paraId="0AB132A8" w14:textId="77777777" w:rsidTr="00F5109C">
        <w:trPr>
          <w:gridBefore w:val="3"/>
          <w:cnfStyle w:val="000000100000" w:firstRow="0" w:lastRow="0" w:firstColumn="0" w:lastColumn="0" w:oddVBand="0" w:evenVBand="0" w:oddHBand="1" w:evenHBand="0" w:firstRowFirstColumn="0" w:firstRowLastColumn="0" w:lastRowFirstColumn="0" w:lastRowLastColumn="0"/>
          <w:wBefore w:w="118" w:type="dxa"/>
        </w:trPr>
        <w:tc>
          <w:tcPr>
            <w:cnfStyle w:val="001000000000" w:firstRow="0" w:lastRow="0" w:firstColumn="1" w:lastColumn="0" w:oddVBand="0" w:evenVBand="0" w:oddHBand="0" w:evenHBand="0" w:firstRowFirstColumn="0" w:firstRowLastColumn="0" w:lastRowFirstColumn="0" w:lastRowLastColumn="0"/>
            <w:tcW w:w="1546" w:type="dxa"/>
          </w:tcPr>
          <w:p w14:paraId="7B9E07F4"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Qi et al.,</w:t>
            </w:r>
          </w:p>
          <w:p w14:paraId="78A41DDD"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2019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{"citationID":"aO4Mby5x","properties":{"formattedCitation":"[26]","plainCitation":"[26]","noteIndex":0},"citationItems":[{"id":2989,"uris":["http://zotero.org/users/19095250/items/Y4XJ7ZM8"],"itemData":{"id":2989,"type":"article-journal","abstract":"This cross-sectional study examines whether social risk factors, including race/ethnicity, insurance status, and neighborhood income, are associated with higher rates of surgical site infection after colectomy or abdominal hysterectomy.","container-title":"JAMA Network Open","DOI":"10.1001/jamanetworkopen.2019.12339","ISSN":"2574-3805","issue":"10","journalAbbreviation":"JAMA Netw Open","note":"PMID: 31577353\nPMCID: PMC6777422","page":"e1912339","source":"PubMed Central","title":"Associations Between Social Risk Factors and Surgical Site Infections After Colectomy and Abdominal Hysterectomy","volume":"2","author":[{"family":"Qi","given":"Andrew C."},{"family":"Peacock","given":"Kate"},{"family":"Luke","given":"Alina A."},{"family":"Barker","given":"Abigail"},{"family":"Olsen","given":"Margaret A."},{"family":"Joynt Maddox","given":"Karen E."}],"issued":{"date-parts":[["2019",10,2]]}}}],"schema":"https://github.com/citation-style-language/schema/raw/master/csl-citation.json"}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[26]</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4B1A9BCC"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w:t>
            </w:r>
          </w:p>
        </w:tc>
        <w:tc>
          <w:tcPr>
            <w:tcW w:w="1633" w:type="dxa"/>
            <w:gridSpan w:val="2"/>
          </w:tcPr>
          <w:p w14:paraId="56D7CC5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Cross-sectional. </w:t>
            </w:r>
          </w:p>
          <w:p w14:paraId="2FC6AFF2"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State Inpatient Database </w:t>
            </w:r>
          </w:p>
        </w:tc>
        <w:tc>
          <w:tcPr>
            <w:tcW w:w="1754" w:type="dxa"/>
          </w:tcPr>
          <w:p w14:paraId="7458B34C"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149,741patients</w:t>
            </w:r>
          </w:p>
          <w:p w14:paraId="09E36964"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7 U.S. states</w:t>
            </w:r>
          </w:p>
        </w:tc>
        <w:tc>
          <w:tcPr>
            <w:tcW w:w="2245" w:type="dxa"/>
            <w:gridSpan w:val="2"/>
          </w:tcPr>
          <w:p w14:paraId="744EE1B0"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Race/ethnicity, income, insurance</w:t>
            </w:r>
          </w:p>
        </w:tc>
        <w:tc>
          <w:tcPr>
            <w:tcW w:w="4711" w:type="dxa"/>
            <w:gridSpan w:val="2"/>
          </w:tcPr>
          <w:p w14:paraId="11351E44" w14:textId="77777777" w:rsidR="003C12A5" w:rsidRPr="00D76BAD" w:rsidRDefault="003C12A5" w:rsidP="003C12A5">
            <w:pPr>
              <w:pStyle w:val="NormalWeb"/>
              <w:numPr>
                <w:ilvl w:val="0"/>
                <w:numId w:val="2"/>
              </w:numPr>
              <w:spacing w:line="480" w:lineRule="auto"/>
              <w:contextualSpacing/>
              <w:cnfStyle w:val="000000100000" w:firstRow="0" w:lastRow="0" w:firstColumn="0" w:lastColumn="0" w:oddVBand="0" w:evenVBand="0" w:oddHBand="1" w:evenHBand="0" w:firstRowFirstColumn="0" w:firstRowLastColumn="0" w:lastRowFirstColumn="0" w:lastRowLastColumn="0"/>
              <w:rPr>
                <w:sz w:val="22"/>
                <w:szCs w:val="22"/>
              </w:rPr>
            </w:pPr>
            <w:r w:rsidRPr="00D76BAD">
              <w:rPr>
                <w:rStyle w:val="Strong"/>
                <w:rFonts w:eastAsiaTheme="majorEastAsia"/>
                <w:sz w:val="22"/>
                <w:szCs w:val="22"/>
              </w:rPr>
              <w:t>30-day SSI rate:</w:t>
            </w:r>
            <w:r w:rsidRPr="00D76BAD">
              <w:rPr>
                <w:sz w:val="22"/>
                <w:szCs w:val="22"/>
              </w:rPr>
              <w:t xml:space="preserve"> 2.55% after colectomy; 0.61% after hysterectomy. </w:t>
            </w:r>
          </w:p>
          <w:p w14:paraId="3DD6DDF6" w14:textId="77777777" w:rsidR="003C12A5" w:rsidRPr="00D76BAD" w:rsidRDefault="003C12A5" w:rsidP="003C12A5">
            <w:pPr>
              <w:pStyle w:val="NormalWeb"/>
              <w:numPr>
                <w:ilvl w:val="0"/>
                <w:numId w:val="2"/>
              </w:numPr>
              <w:spacing w:line="480" w:lineRule="auto"/>
              <w:contextualSpacing/>
              <w:cnfStyle w:val="000000100000" w:firstRow="0" w:lastRow="0" w:firstColumn="0" w:lastColumn="0" w:oddVBand="0" w:evenVBand="0" w:oddHBand="1" w:evenHBand="0" w:firstRowFirstColumn="0" w:firstRowLastColumn="0" w:lastRowFirstColumn="0" w:lastRowLastColumn="0"/>
              <w:rPr>
                <w:sz w:val="22"/>
                <w:szCs w:val="22"/>
              </w:rPr>
            </w:pPr>
            <w:r w:rsidRPr="00D76BAD">
              <w:rPr>
                <w:rStyle w:val="Strong"/>
                <w:rFonts w:eastAsiaTheme="majorEastAsia"/>
                <w:sz w:val="22"/>
                <w:szCs w:val="22"/>
              </w:rPr>
              <w:t>Colectomy cohort: Black race</w:t>
            </w:r>
            <w:r w:rsidRPr="00D76BAD">
              <w:rPr>
                <w:sz w:val="22"/>
                <w:szCs w:val="22"/>
              </w:rPr>
              <w:t xml:space="preserve"> associated with </w:t>
            </w:r>
            <w:r w:rsidRPr="00D76BAD">
              <w:rPr>
                <w:rStyle w:val="Emphasis"/>
                <w:rFonts w:eastAsiaTheme="majorEastAsia"/>
                <w:sz w:val="22"/>
                <w:szCs w:val="22"/>
              </w:rPr>
              <w:t>lower</w:t>
            </w:r>
            <w:r w:rsidRPr="00D76BAD">
              <w:rPr>
                <w:sz w:val="22"/>
                <w:szCs w:val="22"/>
              </w:rPr>
              <w:t xml:space="preserve"> SSI risk → </w:t>
            </w:r>
            <w:r w:rsidRPr="00D76BAD">
              <w:rPr>
                <w:b/>
                <w:bCs/>
                <w:sz w:val="22"/>
                <w:szCs w:val="22"/>
              </w:rPr>
              <w:t>(a</w:t>
            </w:r>
            <w:r w:rsidRPr="00D76BAD">
              <w:rPr>
                <w:rStyle w:val="Strong"/>
                <w:rFonts w:eastAsiaTheme="majorEastAsia"/>
                <w:sz w:val="22"/>
                <w:szCs w:val="22"/>
              </w:rPr>
              <w:t>OR 0.71;</w:t>
            </w:r>
            <w:r w:rsidRPr="00D76BAD">
              <w:rPr>
                <w:rStyle w:val="Strong"/>
                <w:sz w:val="22"/>
                <w:szCs w:val="22"/>
              </w:rPr>
              <w:t xml:space="preserve"> </w:t>
            </w:r>
            <w:r w:rsidRPr="00D76BAD">
              <w:rPr>
                <w:b/>
                <w:bCs/>
                <w:sz w:val="22"/>
                <w:szCs w:val="22"/>
              </w:rPr>
              <w:t>95% CI</w:t>
            </w:r>
            <w:r w:rsidRPr="00D76BAD">
              <w:rPr>
                <w:sz w:val="22"/>
                <w:szCs w:val="22"/>
              </w:rPr>
              <w:t xml:space="preserve"> </w:t>
            </w:r>
            <w:r w:rsidRPr="00D76BAD">
              <w:rPr>
                <w:rStyle w:val="Strong"/>
                <w:rFonts w:eastAsiaTheme="majorEastAsia"/>
                <w:sz w:val="22"/>
                <w:szCs w:val="22"/>
              </w:rPr>
              <w:t>0.61–0.82</w:t>
            </w:r>
            <w:r w:rsidRPr="00D76BAD">
              <w:rPr>
                <w:sz w:val="22"/>
                <w:szCs w:val="22"/>
              </w:rPr>
              <w:t>).</w:t>
            </w:r>
          </w:p>
          <w:p w14:paraId="770DF63D" w14:textId="77777777" w:rsidR="003C12A5" w:rsidRPr="00D76BAD" w:rsidRDefault="003C12A5" w:rsidP="003C12A5">
            <w:pPr>
              <w:pStyle w:val="NormalWeb"/>
              <w:numPr>
                <w:ilvl w:val="0"/>
                <w:numId w:val="2"/>
              </w:numPr>
              <w:spacing w:line="480" w:lineRule="auto"/>
              <w:contextualSpacing/>
              <w:cnfStyle w:val="000000100000" w:firstRow="0" w:lastRow="0" w:firstColumn="0" w:lastColumn="0" w:oddVBand="0" w:evenVBand="0" w:oddHBand="1" w:evenHBand="0" w:firstRowFirstColumn="0" w:firstRowLastColumn="0" w:lastRowFirstColumn="0" w:lastRowLastColumn="0"/>
              <w:rPr>
                <w:b/>
                <w:bCs/>
                <w:sz w:val="22"/>
                <w:szCs w:val="22"/>
              </w:rPr>
            </w:pPr>
            <w:r w:rsidRPr="00D76BAD">
              <w:rPr>
                <w:rStyle w:val="Strong"/>
                <w:rFonts w:eastAsiaTheme="majorEastAsia"/>
                <w:sz w:val="22"/>
                <w:szCs w:val="22"/>
              </w:rPr>
              <w:t>Medicare insurance</w:t>
            </w:r>
            <w:r w:rsidRPr="00D76BAD">
              <w:rPr>
                <w:sz w:val="22"/>
                <w:szCs w:val="22"/>
              </w:rPr>
              <w:t xml:space="preserve"> → ↑ SSI risk → </w:t>
            </w:r>
            <w:r w:rsidRPr="00D76BAD">
              <w:rPr>
                <w:b/>
                <w:bCs/>
                <w:sz w:val="22"/>
                <w:szCs w:val="22"/>
              </w:rPr>
              <w:t>(a</w:t>
            </w:r>
            <w:r w:rsidRPr="00D76BAD">
              <w:rPr>
                <w:rStyle w:val="Strong"/>
                <w:rFonts w:eastAsiaTheme="majorEastAsia"/>
                <w:sz w:val="22"/>
                <w:szCs w:val="22"/>
              </w:rPr>
              <w:t>OR 1.25</w:t>
            </w:r>
            <w:r w:rsidRPr="00D76BAD">
              <w:rPr>
                <w:rStyle w:val="Strong"/>
                <w:sz w:val="22"/>
                <w:szCs w:val="22"/>
              </w:rPr>
              <w:t xml:space="preserve">; </w:t>
            </w:r>
            <w:r w:rsidRPr="00D76BAD">
              <w:rPr>
                <w:b/>
                <w:bCs/>
                <w:sz w:val="22"/>
                <w:szCs w:val="22"/>
              </w:rPr>
              <w:t xml:space="preserve">95% CI </w:t>
            </w:r>
            <w:r w:rsidRPr="00D76BAD">
              <w:rPr>
                <w:rStyle w:val="Strong"/>
                <w:rFonts w:eastAsiaTheme="majorEastAsia"/>
                <w:sz w:val="22"/>
                <w:szCs w:val="22"/>
              </w:rPr>
              <w:t>1.10–1.41</w:t>
            </w:r>
            <w:r w:rsidRPr="00D76BAD">
              <w:rPr>
                <w:sz w:val="22"/>
                <w:szCs w:val="22"/>
              </w:rPr>
              <w:t>).</w:t>
            </w:r>
          </w:p>
          <w:p w14:paraId="6DAC7420" w14:textId="77777777" w:rsidR="003C12A5" w:rsidRPr="00D76BAD" w:rsidRDefault="003C12A5" w:rsidP="003C12A5">
            <w:pPr>
              <w:pStyle w:val="NormalWeb"/>
              <w:numPr>
                <w:ilvl w:val="0"/>
                <w:numId w:val="2"/>
              </w:numPr>
              <w:spacing w:line="480" w:lineRule="auto"/>
              <w:contextualSpacing/>
              <w:cnfStyle w:val="000000100000" w:firstRow="0" w:lastRow="0" w:firstColumn="0" w:lastColumn="0" w:oddVBand="0" w:evenVBand="0" w:oddHBand="1" w:evenHBand="0" w:firstRowFirstColumn="0" w:firstRowLastColumn="0" w:lastRowFirstColumn="0" w:lastRowLastColumn="0"/>
              <w:rPr>
                <w:sz w:val="22"/>
                <w:szCs w:val="22"/>
              </w:rPr>
            </w:pPr>
            <w:r w:rsidRPr="00D76BAD">
              <w:rPr>
                <w:rStyle w:val="Strong"/>
                <w:rFonts w:eastAsiaTheme="majorEastAsia"/>
                <w:sz w:val="22"/>
                <w:szCs w:val="22"/>
              </w:rPr>
              <w:lastRenderedPageBreak/>
              <w:t>Medicaid insurance</w:t>
            </w:r>
            <w:r w:rsidRPr="00D76BAD">
              <w:rPr>
                <w:sz w:val="22"/>
                <w:szCs w:val="22"/>
              </w:rPr>
              <w:t xml:space="preserve"> → ↑ SSI risk → (</w:t>
            </w:r>
            <w:r w:rsidRPr="00D76BAD">
              <w:rPr>
                <w:b/>
                <w:bCs/>
                <w:sz w:val="22"/>
                <w:szCs w:val="22"/>
              </w:rPr>
              <w:t>a</w:t>
            </w:r>
            <w:r w:rsidRPr="00D76BAD">
              <w:rPr>
                <w:rStyle w:val="Strong"/>
                <w:rFonts w:eastAsiaTheme="majorEastAsia"/>
                <w:sz w:val="22"/>
                <w:szCs w:val="22"/>
              </w:rPr>
              <w:t>OR 1.23;</w:t>
            </w:r>
            <w:r w:rsidRPr="00D76BAD">
              <w:rPr>
                <w:b/>
                <w:bCs/>
                <w:sz w:val="22"/>
                <w:szCs w:val="22"/>
              </w:rPr>
              <w:t xml:space="preserve"> 95% CI </w:t>
            </w:r>
            <w:r w:rsidRPr="00D76BAD">
              <w:rPr>
                <w:rStyle w:val="Strong"/>
                <w:rFonts w:eastAsiaTheme="majorEastAsia"/>
                <w:sz w:val="22"/>
                <w:szCs w:val="22"/>
              </w:rPr>
              <w:t>1.06–1.44</w:t>
            </w:r>
            <w:r w:rsidRPr="00D76BAD">
              <w:rPr>
                <w:sz w:val="22"/>
                <w:szCs w:val="22"/>
              </w:rPr>
              <w:t>).</w:t>
            </w:r>
          </w:p>
          <w:p w14:paraId="0BEFD41B" w14:textId="77777777" w:rsidR="003C12A5" w:rsidRPr="00D76BAD" w:rsidRDefault="003C12A5" w:rsidP="003C12A5">
            <w:pPr>
              <w:pStyle w:val="NormalWeb"/>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sz w:val="22"/>
                <w:szCs w:val="22"/>
              </w:rPr>
            </w:pPr>
            <w:r w:rsidRPr="00D76BAD">
              <w:rPr>
                <w:rStyle w:val="Strong"/>
                <w:rFonts w:eastAsiaTheme="majorEastAsia"/>
                <w:sz w:val="22"/>
                <w:szCs w:val="22"/>
              </w:rPr>
              <w:t>Lowest ZIP-code income quartile</w:t>
            </w:r>
            <w:r w:rsidRPr="00D76BAD">
              <w:rPr>
                <w:sz w:val="22"/>
                <w:szCs w:val="22"/>
              </w:rPr>
              <w:t xml:space="preserve"> → ↑ SSI risk → </w:t>
            </w:r>
            <w:r w:rsidRPr="00D76BAD">
              <w:rPr>
                <w:b/>
                <w:bCs/>
                <w:sz w:val="22"/>
                <w:szCs w:val="22"/>
              </w:rPr>
              <w:t>(a</w:t>
            </w:r>
            <w:r w:rsidRPr="00D76BAD">
              <w:rPr>
                <w:rStyle w:val="Strong"/>
                <w:rFonts w:eastAsiaTheme="majorEastAsia"/>
                <w:sz w:val="22"/>
                <w:szCs w:val="22"/>
              </w:rPr>
              <w:t>OR 1.14</w:t>
            </w:r>
            <w:r w:rsidRPr="00D76BAD">
              <w:rPr>
                <w:rStyle w:val="Strong"/>
                <w:sz w:val="22"/>
                <w:szCs w:val="22"/>
              </w:rPr>
              <w:t xml:space="preserve">; </w:t>
            </w:r>
            <w:r w:rsidRPr="00D76BAD">
              <w:rPr>
                <w:b/>
                <w:bCs/>
                <w:sz w:val="22"/>
                <w:szCs w:val="22"/>
              </w:rPr>
              <w:t>95% CI</w:t>
            </w:r>
            <w:r w:rsidRPr="00D76BAD">
              <w:rPr>
                <w:sz w:val="22"/>
                <w:szCs w:val="22"/>
              </w:rPr>
              <w:t xml:space="preserve"> </w:t>
            </w:r>
            <w:r w:rsidRPr="00D76BAD">
              <w:rPr>
                <w:rStyle w:val="Strong"/>
                <w:rFonts w:eastAsiaTheme="majorEastAsia"/>
                <w:sz w:val="22"/>
                <w:szCs w:val="22"/>
              </w:rPr>
              <w:t>1.01–1.29</w:t>
            </w:r>
            <w:r w:rsidRPr="00D76BAD">
              <w:rPr>
                <w:sz w:val="22"/>
                <w:szCs w:val="22"/>
              </w:rPr>
              <w:t>).</w:t>
            </w:r>
          </w:p>
          <w:p w14:paraId="0AA8D99E" w14:textId="77777777" w:rsidR="003C12A5" w:rsidRPr="00D76BAD" w:rsidRDefault="003C12A5" w:rsidP="003C12A5">
            <w:pPr>
              <w:pStyle w:val="NormalWeb"/>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sz w:val="22"/>
                <w:szCs w:val="22"/>
              </w:rPr>
            </w:pPr>
            <w:r w:rsidRPr="00D76BAD">
              <w:rPr>
                <w:rStyle w:val="Strong"/>
                <w:rFonts w:eastAsiaTheme="majorEastAsia"/>
                <w:sz w:val="22"/>
                <w:szCs w:val="22"/>
              </w:rPr>
              <w:t>Hysterectomy cohort:</w:t>
            </w:r>
            <w:r w:rsidRPr="00D76BAD">
              <w:rPr>
                <w:sz w:val="22"/>
                <w:szCs w:val="22"/>
              </w:rPr>
              <w:t xml:space="preserve"> No SDOH (race, insurance, income) showed a significant association with SSI after adjustment.</w:t>
            </w:r>
          </w:p>
        </w:tc>
      </w:tr>
      <w:tr w:rsidR="003C12A5" w:rsidRPr="00D76BAD" w14:paraId="7CD61085"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4AF1099C"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lastRenderedPageBreak/>
              <w:t>Stevens et al.,</w:t>
            </w:r>
          </w:p>
          <w:p w14:paraId="1C0A7074"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{"citationID":"cuOBRpX8","properties":{"formattedCitation":"[27]","plainCitation":"[27]","noteIndex":0},"citationItems":[{"id":2992,"uris":["http://zotero.org/users/19095250/items/XNMQWR9X"],"itemData":{"id":2992,"type":"article-journal","abstract":"INTRODUCTION: The Social Vulnerability Index (SVI) is a composite measure geocoded at the census tract level that has the potential to identify target populations at risk for postoperative surgical morbidity. We applied the SVI to examine demographics and disparities in surgical outcomes in pediatric trauma patients.\nMETHODS: Surgical pediatric trauma patients (≤18-year-old) at our institution from 2010 to 2020 were included. Patients were geocoded to identify their census tract of residence and estimated SVI and were stratified into high (≥70th percentile) and low (&lt;70th percentile) SVI groups. Demographics, clinical data, and outcomes were compared using Kruskal-Wallis and Fisher's exact tests.\nRESULTS: Of 355 patients included, 21.4% had high SVI percentiles while 78.6% had low SVI percentiles. Patients with high SVI were more likely to have government insurance (73.7% versus 37.2%, P &lt; 0.001), be of minority race (49.8% versus 19.1%, P &lt; 0.001), present with penetrating injuries (32.9% versus 19.7%, P = 0.007), and develop surgical site infections (3.9% versus 0.4%, P = 0.03) compared to the low SVI group.\nCONCLUSIONS: The SVI has the potential to examine health care disparities in pediatric trauma patients and identify discrete at-risk target populations for preventative resources allocation and intervention. Future studies are necessary to determine the utility of this tool in additional pediatric cohorts.","container-title":"The Journal of Surgical Research","DOI":"10.1016/j.jss.2023.01.013","ISSN":"1095-8673","journalAbbreviation":"J Surg Res","language":"eng","note":"PMID: 36868124","page":"55-62","source":"PubMed","title":"Using the Social Vulnerability Index to Examine Disparities in Surgical Pediatric Trauma Patients","volume":"287","author":[{"family":"Stevens","given":"Jenny"},{"family":"Reppucci","given":"Marina L."},{"family":"Pickett","given":"Kaci"},{"family":"Acker","given":"Shannon"},{"family":"Carmichael","given":"Heather"},{"family":"Velopulos","given":"Catherine G."},{"family":"Bensard","given":"Denis"},{"family":"Kulungowski","given":"Ann"}],"issued":{"date-parts":[["2023",7]]}}}],"schema":"https://github.com/citation-style-language/schema/raw/master/csl-citation.json"}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[27]</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5788D041"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 CLABSI</w:t>
            </w:r>
          </w:p>
        </w:tc>
        <w:tc>
          <w:tcPr>
            <w:tcW w:w="1633" w:type="dxa"/>
            <w:gridSpan w:val="2"/>
          </w:tcPr>
          <w:p w14:paraId="36AA3DB5"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D76BAD">
              <w:rPr>
                <w:rFonts w:ascii="Times New Roman" w:hAnsi="Times New Roman" w:cs="Times New Roman"/>
                <w:sz w:val="22"/>
                <w:szCs w:val="22"/>
              </w:rPr>
              <w:t>Retrospective (2010-2020);</w:t>
            </w:r>
          </w:p>
          <w:p w14:paraId="3C0E1867"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Children’s Hospital Colorado trauma registry, EMR, CDC-SVI 2018</w:t>
            </w:r>
          </w:p>
        </w:tc>
        <w:tc>
          <w:tcPr>
            <w:tcW w:w="1754" w:type="dxa"/>
          </w:tcPr>
          <w:p w14:paraId="03CB047C"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355 pediatric trauma patients (&lt;18 y), single center study </w:t>
            </w:r>
          </w:p>
        </w:tc>
        <w:tc>
          <w:tcPr>
            <w:tcW w:w="2245" w:type="dxa"/>
            <w:gridSpan w:val="2"/>
          </w:tcPr>
          <w:p w14:paraId="1E77AD17"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Overall, SVI (≥70th percentile = high vulnerability) SVI subcomponent Socioeconomic status, Household /disability, Minority /language, Housing/transportation</w:t>
            </w:r>
          </w:p>
        </w:tc>
        <w:tc>
          <w:tcPr>
            <w:tcW w:w="4711" w:type="dxa"/>
            <w:gridSpan w:val="2"/>
          </w:tcPr>
          <w:p w14:paraId="70380CFD"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SSI higher in ↑ SVI → </w:t>
            </w:r>
            <w:r w:rsidRPr="00D76BAD">
              <w:rPr>
                <w:rFonts w:ascii="Times New Roman" w:eastAsia="Times New Roman" w:hAnsi="Times New Roman" w:cs="Times New Roman"/>
                <w:b/>
                <w:bCs/>
                <w:kern w:val="0"/>
                <w:sz w:val="22"/>
                <w:szCs w:val="22"/>
                <w14:ligatures w14:val="none"/>
              </w:rPr>
              <w:t>3.9% vs 0.4% (P = 0.03).</w:t>
            </w:r>
          </w:p>
          <w:p w14:paraId="31574A9C"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b/>
                <w:bCs/>
                <w:kern w:val="0"/>
                <w:sz w:val="22"/>
                <w:szCs w:val="22"/>
                <w14:ligatures w14:val="none"/>
              </w:rPr>
              <w:t>No significant differences</w:t>
            </w:r>
            <w:r w:rsidRPr="00D76BAD">
              <w:rPr>
                <w:rFonts w:ascii="Times New Roman" w:eastAsia="Times New Roman" w:hAnsi="Times New Roman" w:cs="Times New Roman"/>
                <w:kern w:val="0"/>
                <w:sz w:val="22"/>
                <w:szCs w:val="22"/>
                <w14:ligatures w14:val="none"/>
              </w:rPr>
              <w:t xml:space="preserve"> in rates of postoperative </w:t>
            </w:r>
            <w:r w:rsidRPr="00D76BAD">
              <w:rPr>
                <w:rFonts w:ascii="Times New Roman" w:eastAsia="Times New Roman" w:hAnsi="Times New Roman" w:cs="Times New Roman"/>
                <w:b/>
                <w:bCs/>
                <w:kern w:val="0"/>
                <w:sz w:val="22"/>
                <w:szCs w:val="22"/>
                <w14:ligatures w14:val="none"/>
              </w:rPr>
              <w:t>pneumonia, UTI, DVT, or CLABSI</w:t>
            </w:r>
            <w:r w:rsidRPr="00D76BAD">
              <w:rPr>
                <w:rFonts w:ascii="Times New Roman" w:eastAsia="Times New Roman" w:hAnsi="Times New Roman" w:cs="Times New Roman"/>
                <w:kern w:val="0"/>
                <w:sz w:val="22"/>
                <w:szCs w:val="22"/>
                <w14:ligatures w14:val="none"/>
              </w:rPr>
              <w:t xml:space="preserve"> by SVI status.</w:t>
            </w:r>
          </w:p>
        </w:tc>
      </w:tr>
      <w:tr w:rsidR="003C12A5" w:rsidRPr="00D76BAD" w14:paraId="41F787E7"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3B44B3F4"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Welter et al.,</w:t>
            </w:r>
          </w:p>
          <w:p w14:paraId="55B8785F"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2023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{"citationID":"WtRw3lQp","properties":{"formattedCitation":"[28]","plainCitation":"[28]","noteIndex":0},"citationItems":[{"id":114,"uris":["http://zotero.org/users/19095250/items/ALBP2HFG"],"itemData":{"id":114,"type":"article-journal","abstract":"Background: Surgical site infection (SSI) is a common, morbid post-operative complication. We hypothesized the presence of racial differences in SSI rates,  comparing black/African American (BAA) to white non-Hispanic (WNH) patients.  Patients and Methods: Using the American College of Surgeons National Surgical  Quality Improvement Program (ACS-NSQIP) database (2017), BAA and WNH surgery  patients across 10 surgical specialties were identified: general surgery (GS),  vascular surgery (VS), cardiac surgery (CS), thoracic surgery (TS), orthopedics  (OS), neurosurgery (NS), urology (US), otolaryngology (ENT), plastic surgery  (PS), and gynecology (GYN). The primary outcome was SSI rate (superficial, deep  incisional, or organ/space). The secondary outcome was rate of non-surgical  infection. Pearson χ(2) and Fisher exact tests were used to test group  differences of categorical variables. Continuous variables were tested with the  Student t-test, or Mann-Whitney U test, with statistical significance set at a  value of p &lt; 0.05. Multivariable logistic regression models were conducted to  analyze the association between race/ethnicity and the infection outcomes.  Results: A total of 740,144 patients were included: 99,425 (13.4%) BAA and  640,749 (86.6%) WNH, distributed as follows; 32,2976 GS, 17,6175 OS, 44,383 VS,  2,227 CS, 9,645 TS, 42,298 NS, 42,726 US, 18,518 ENT, 20,709 PS, and 60,517 GYN  cases. Surgical site infection rates were higher among WNH in GS (4.4% vs. 4.1%;  p = 0.003) and TS (3.1% vs. 1.7%; p = 0.015); lower in VS (3.2% vs. 4.4%;  p &lt; 0.001), OS (1.2% vs.1.6%; p &lt; 0.001), and GYN (2.4% vs. 3%; p &lt; 0.001); and  similar between WNH and BAA in ENT (1.8% vs 1.8%; p = 0.76), and US (1.9% vs.  1.9%; p = 0.90). Non-surgical infection was higher in BAA in NS (3.2% vs. 2.5%;  p = 0.003), and higher in WNH in GYN (2.6% vs. 2%; p &lt; 0.001), OS (1.7% vs. 1.1%;  p &lt; 0.001), US (4.4% vs. 3.6%; p = 0.014), and VS (3.4% vs. 2.6%; p &lt; 0.001).  Conclusions: Variation exists in SSI rates between WNH and BAA patients among  surgical subspecialties. Further research is required to understand these  differences and address racial disparities in outcomes.","container-title":"Surgical infections","DOI":"10.1089/sur.2023.127","ISSN":"1557-8674 1096-2964","issue":"10","journalAbbreviation":"Surg Infect (Larchmt)","language":"eng","note":"publisher-place: United States\nPMID: 38011334","page":"860-868","title":"Are There Racial Differences in the Rate of Surgical Site Infection Based on Surgical Subspecialty?","volume":"24","author":[{"family":"Welter","given":"Matthew"},{"family":"Grosh","given":"Kent"},{"family":"Jose","given":"Joslyn"},{"family":"Khalil","given":"Sarah"},{"family":"Muharraq","given":"Afnan"},{"family":"Elian","given":"Alain"},{"family":"Munene","given":"Gitonga"},{"family":"Sawyer","given":"Robert"},{"family":"Shebrain","given":"Saad"}],"issued":{"date-parts":[["2023",12]]}}}],"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[28]</w:t>
            </w:r>
            <w:r w:rsidRPr="00D76BAD">
              <w:rPr>
                <w:rFonts w:ascii="Times New Roman" w:eastAsia="Times New Roman" w:hAnsi="Times New Roman" w:cs="Times New Roman"/>
                <w:b/>
                <w:bCs/>
                <w:kern w:val="0"/>
                <w:sz w:val="22"/>
                <w:szCs w:val="22"/>
                <w14:ligatures w14:val="none"/>
              </w:rPr>
              <w:fldChar w:fldCharType="end"/>
            </w:r>
          </w:p>
        </w:tc>
        <w:tc>
          <w:tcPr>
            <w:tcW w:w="1151" w:type="dxa"/>
          </w:tcPr>
          <w:p w14:paraId="20EEC176"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w:t>
            </w:r>
          </w:p>
        </w:tc>
        <w:tc>
          <w:tcPr>
            <w:tcW w:w="1633" w:type="dxa"/>
            <w:gridSpan w:val="2"/>
          </w:tcPr>
          <w:p w14:paraId="0280836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D76BAD">
              <w:rPr>
                <w:rFonts w:ascii="Times New Roman" w:hAnsi="Times New Roman" w:cs="Times New Roman"/>
                <w:sz w:val="22"/>
                <w:szCs w:val="22"/>
              </w:rPr>
              <w:t xml:space="preserve">Retrospective (2017); </w:t>
            </w:r>
          </w:p>
          <w:p w14:paraId="173D5DA9"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ACS-NSQIP</w:t>
            </w:r>
          </w:p>
        </w:tc>
        <w:tc>
          <w:tcPr>
            <w:tcW w:w="1754" w:type="dxa"/>
          </w:tcPr>
          <w:p w14:paraId="283ED71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t xml:space="preserve">740,144 patients; 10 surgical specialties: general surgery (GS), vascular surgery (VS), cardiac surgery (CS), thoracic surgery (TS), </w:t>
            </w:r>
            <w:r w:rsidRPr="00D76BAD">
              <w:rPr>
                <w:rFonts w:ascii="Times New Roman" w:hAnsi="Times New Roman" w:cs="Times New Roman"/>
                <w:sz w:val="22"/>
                <w:szCs w:val="22"/>
              </w:rPr>
              <w:lastRenderedPageBreak/>
              <w:t>orthopedics (OS), neurosurgery (NS), urology (US), otolaryngology (ENT), plastic surgery (PS), and gynecology (GYN).</w:t>
            </w:r>
          </w:p>
        </w:tc>
        <w:tc>
          <w:tcPr>
            <w:tcW w:w="2245" w:type="dxa"/>
            <w:gridSpan w:val="2"/>
          </w:tcPr>
          <w:p w14:paraId="0DCD7A46"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hAnsi="Times New Roman" w:cs="Times New Roman"/>
                <w:sz w:val="22"/>
                <w:szCs w:val="22"/>
              </w:rPr>
              <w:lastRenderedPageBreak/>
              <w:t>Race: Black African American (BAA) to White non-Hispanic (WNH)</w:t>
            </w:r>
          </w:p>
        </w:tc>
        <w:tc>
          <w:tcPr>
            <w:tcW w:w="4711" w:type="dxa"/>
            <w:gridSpan w:val="2"/>
          </w:tcPr>
          <w:p w14:paraId="1ED893C4" w14:textId="77777777" w:rsidR="003C12A5" w:rsidRPr="00D76BAD" w:rsidRDefault="003C12A5" w:rsidP="003C12A5">
            <w:pPr>
              <w:pStyle w:val="NormalWeb"/>
              <w:numPr>
                <w:ilvl w:val="0"/>
                <w:numId w:val="4"/>
              </w:numPr>
              <w:spacing w:line="480" w:lineRule="auto"/>
              <w:contextualSpacing/>
              <w:cnfStyle w:val="000000100000" w:firstRow="0" w:lastRow="0" w:firstColumn="0" w:lastColumn="0" w:oddVBand="0" w:evenVBand="0" w:oddHBand="1" w:evenHBand="0" w:firstRowFirstColumn="0" w:firstRowLastColumn="0" w:lastRowFirstColumn="0" w:lastRowLastColumn="0"/>
              <w:rPr>
                <w:sz w:val="22"/>
                <w:szCs w:val="22"/>
              </w:rPr>
            </w:pPr>
            <w:r w:rsidRPr="00D76BAD">
              <w:rPr>
                <w:rFonts w:eastAsiaTheme="majorEastAsia"/>
                <w:sz w:val="22"/>
                <w:szCs w:val="22"/>
              </w:rPr>
              <w:t xml:space="preserve">WNH had </w:t>
            </w:r>
            <w:r w:rsidRPr="00D76BAD">
              <w:rPr>
                <w:sz w:val="22"/>
                <w:szCs w:val="22"/>
              </w:rPr>
              <w:t>↑</w:t>
            </w:r>
            <w:r w:rsidRPr="00D76BAD">
              <w:rPr>
                <w:rFonts w:eastAsiaTheme="majorEastAsia"/>
                <w:sz w:val="22"/>
                <w:szCs w:val="22"/>
              </w:rPr>
              <w:t xml:space="preserve"> SSI in GS </w:t>
            </w:r>
            <w:r w:rsidRPr="00D76BAD">
              <w:rPr>
                <w:rFonts w:eastAsiaTheme="majorEastAsia"/>
                <w:b/>
                <w:bCs/>
                <w:sz w:val="22"/>
                <w:szCs w:val="22"/>
              </w:rPr>
              <w:t>(4.4% vs 4.1%, p=0.003)</w:t>
            </w:r>
            <w:r w:rsidRPr="00D76BAD">
              <w:rPr>
                <w:rFonts w:eastAsiaTheme="majorEastAsia"/>
                <w:sz w:val="22"/>
                <w:szCs w:val="22"/>
              </w:rPr>
              <w:t xml:space="preserve"> and TS </w:t>
            </w:r>
            <w:r w:rsidRPr="00D76BAD">
              <w:rPr>
                <w:rFonts w:eastAsiaTheme="majorEastAsia"/>
                <w:b/>
                <w:bCs/>
                <w:sz w:val="22"/>
                <w:szCs w:val="22"/>
              </w:rPr>
              <w:t>(3.1% vs 1.7%, p=0.015)</w:t>
            </w:r>
          </w:p>
          <w:p w14:paraId="75A992DA" w14:textId="77777777" w:rsidR="003C12A5" w:rsidRPr="00D76BAD" w:rsidRDefault="003C12A5" w:rsidP="00F5109C">
            <w:pPr>
              <w:pStyle w:val="NormalWeb"/>
              <w:spacing w:line="480" w:lineRule="auto"/>
              <w:ind w:left="360"/>
              <w:contextualSpacing/>
              <w:cnfStyle w:val="000000100000" w:firstRow="0" w:lastRow="0" w:firstColumn="0" w:lastColumn="0" w:oddVBand="0" w:evenVBand="0" w:oddHBand="1" w:evenHBand="0" w:firstRowFirstColumn="0" w:firstRowLastColumn="0" w:lastRowFirstColumn="0" w:lastRowLastColumn="0"/>
              <w:rPr>
                <w:sz w:val="22"/>
                <w:szCs w:val="22"/>
              </w:rPr>
            </w:pPr>
          </w:p>
          <w:p w14:paraId="0573AE6F" w14:textId="77777777" w:rsidR="003C12A5" w:rsidRPr="00D76BAD" w:rsidRDefault="003C12A5" w:rsidP="003C12A5">
            <w:pPr>
              <w:pStyle w:val="NormalWeb"/>
              <w:numPr>
                <w:ilvl w:val="0"/>
                <w:numId w:val="4"/>
              </w:numPr>
              <w:spacing w:line="480" w:lineRule="auto"/>
              <w:contextualSpacing/>
              <w:cnfStyle w:val="000000100000" w:firstRow="0" w:lastRow="0" w:firstColumn="0" w:lastColumn="0" w:oddVBand="0" w:evenVBand="0" w:oddHBand="1" w:evenHBand="0" w:firstRowFirstColumn="0" w:firstRowLastColumn="0" w:lastRowFirstColumn="0" w:lastRowLastColumn="0"/>
              <w:rPr>
                <w:sz w:val="22"/>
                <w:szCs w:val="22"/>
              </w:rPr>
            </w:pPr>
            <w:r w:rsidRPr="00D76BAD">
              <w:rPr>
                <w:rFonts w:eastAsiaTheme="majorEastAsia"/>
                <w:sz w:val="22"/>
                <w:szCs w:val="22"/>
              </w:rPr>
              <w:t xml:space="preserve">BAA had </w:t>
            </w:r>
            <w:r w:rsidRPr="00D76BAD">
              <w:rPr>
                <w:sz w:val="22"/>
                <w:szCs w:val="22"/>
              </w:rPr>
              <w:t>↑</w:t>
            </w:r>
            <w:r w:rsidRPr="00D76BAD">
              <w:rPr>
                <w:rFonts w:eastAsiaTheme="majorEastAsia"/>
                <w:sz w:val="22"/>
                <w:szCs w:val="22"/>
              </w:rPr>
              <w:t xml:space="preserve"> SSI in VS </w:t>
            </w:r>
            <w:r w:rsidRPr="00D76BAD">
              <w:rPr>
                <w:rFonts w:eastAsiaTheme="majorEastAsia"/>
                <w:b/>
                <w:bCs/>
                <w:sz w:val="22"/>
                <w:szCs w:val="22"/>
              </w:rPr>
              <w:t>(4.4% vs 3.2%, p&lt;0.001</w:t>
            </w:r>
            <w:r w:rsidRPr="00D76BAD">
              <w:rPr>
                <w:rFonts w:eastAsiaTheme="majorEastAsia"/>
                <w:sz w:val="22"/>
                <w:szCs w:val="22"/>
              </w:rPr>
              <w:t xml:space="preserve">), OS </w:t>
            </w:r>
            <w:r w:rsidRPr="00D76BAD">
              <w:rPr>
                <w:rFonts w:eastAsiaTheme="majorEastAsia"/>
                <w:b/>
                <w:bCs/>
                <w:sz w:val="22"/>
                <w:szCs w:val="22"/>
              </w:rPr>
              <w:t>(1.6% vs 1.2%, p&lt;0.001)</w:t>
            </w:r>
            <w:r w:rsidRPr="00D76BAD">
              <w:rPr>
                <w:rFonts w:eastAsiaTheme="majorEastAsia"/>
                <w:sz w:val="22"/>
                <w:szCs w:val="22"/>
              </w:rPr>
              <w:t xml:space="preserve">, and GYN </w:t>
            </w:r>
            <w:r w:rsidRPr="00D76BAD">
              <w:rPr>
                <w:rFonts w:eastAsiaTheme="majorEastAsia"/>
                <w:b/>
                <w:bCs/>
                <w:sz w:val="22"/>
                <w:szCs w:val="22"/>
              </w:rPr>
              <w:t>(3.0% vs 2.4%, p&lt;0.001</w:t>
            </w:r>
            <w:r w:rsidRPr="00D76BAD">
              <w:rPr>
                <w:rFonts w:eastAsiaTheme="majorEastAsia"/>
                <w:sz w:val="22"/>
                <w:szCs w:val="22"/>
              </w:rPr>
              <w:t>), with similar rates in ENT and US.</w:t>
            </w:r>
          </w:p>
        </w:tc>
      </w:tr>
      <w:tr w:rsidR="003C12A5" w:rsidRPr="00D76BAD" w14:paraId="70B0BD55" w14:textId="77777777" w:rsidTr="00F5109C">
        <w:trPr>
          <w:gridBefore w:val="2"/>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Pr>
          <w:p w14:paraId="50258FDE"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Yi et al.,</w:t>
            </w:r>
          </w:p>
          <w:p w14:paraId="4C0D2784"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2019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{"citationID":"jYndLxiX","properties":{"formattedCitation":"[29]","plainCitation":"[29]","noteIndex":0},"citationItems":[{"id":2998,"uris":["http://zotero.org/users/19095250/items/XRDZKG6P"],"itemData":{"id":2998,"type":"article-journal","abstract":"OBJECTIVE: To compare risk of surgical site infection (SSI) following cesarean delivery between women covered by Medicaid and private health insurance.\nSTUDY DESIGN: Retrospective cohort.\nSTUDY POPULATION: Cesarean deliveries covered by Medicaid or private insurance and reported to the National Healthcare Safety Network (NHSN) and state inpatient discharge databases by hospitals in California (2011-2013).\nMETHODS: Deliveries reported to NHSN and state inpatient discharge databases were linked to identify SSIs in the 30 days following cesarean delivery, primary payer, and patient and procedure characteristics. Additional hospital-level characteristics were obtained from public databases. Relative risk of SSI by primary payer primary payer was assessed using multivariable logistic regression adjusting for patient, procedure, and hospital characteristics, accounting for facility-level clustering.\nRESULTS: Of 291,757 cesarean deliveries included, 48% were covered by Medicaid. SSIs were detected following 1,055 deliveries covered by Medicaid (0.75%) and 955 deliveries covered by private insurance (0.63%) (unadjusted odds ratio, 1.2; 95% confidence interval [CI], 1.1-1.3; P &amp;lt; .0001). The adjusted odds of SSI following cesarean deliveries covered by Medicaid was 1.4 (95% CI, 1.2-1.6; P &amp;lt; .0001) times the odds of those covered by private insurance.\nCONCLUSIONS: In this, the largest and only multicenter study to investigate SSI risk following cesarean delivery by primary payer, Medicaid-insured women had a higher risk of infection than privately insured women. These findings suggest the need to evaluate and better characterize the quality of maternal healthcare for and needs of women covered by Medicaid to inform targeted infection prevention and policy.","container-title":"Infection Control and Hospital Epidemiology","DOI":"10.1017/ice.2019.66","ISSN":"1559-6834","issue":"6","journalAbbreviation":"Infect Control Hosp Epidemiol","language":"eng","note":"PMID: 30963987","page":"639-648","source":"PubMed","title":"Surgical site infection risk following cesarean deliveries covered by Medicaid or private insurance","volume":"40","author":[{"family":"Yi","given":"Sarah H."},{"family":"Perkins","given":"Kiran M."},{"family":"Kazakova","given":"Sophia V."},{"family":"Hatfield","given":"Kelly M."},{"family":"Kleinbaum","given":"David G."},{"family":"Baggs","given":"James"},{"family":"Slayton","given":"Rachel B."},{"family":"Jernigan","given":"John A."}],"issued":{"date-parts":[["2019",6]]}}}],"schema":"https://github.com/citation-style-language/schema/raw/master/csl-citation.json"}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[29]</w:t>
            </w:r>
            <w:r w:rsidRPr="00D76BAD">
              <w:rPr>
                <w:rFonts w:ascii="Times New Roman" w:eastAsia="Times New Roman" w:hAnsi="Times New Roman" w:cs="Times New Roman"/>
                <w:b/>
                <w:bCs/>
                <w:kern w:val="0"/>
                <w:sz w:val="22"/>
                <w:szCs w:val="22"/>
                <w14:ligatures w14:val="none"/>
              </w:rPr>
              <w:fldChar w:fldCharType="end"/>
            </w:r>
          </w:p>
          <w:p w14:paraId="2FB1D410"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p>
        </w:tc>
        <w:tc>
          <w:tcPr>
            <w:tcW w:w="1151" w:type="dxa"/>
          </w:tcPr>
          <w:p w14:paraId="54212CDF"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w:t>
            </w:r>
          </w:p>
        </w:tc>
        <w:tc>
          <w:tcPr>
            <w:tcW w:w="1633" w:type="dxa"/>
            <w:gridSpan w:val="2"/>
          </w:tcPr>
          <w:p w14:paraId="17C356A8"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Retrospective (2011-2013); state inpatient discharge database </w:t>
            </w:r>
          </w:p>
        </w:tc>
        <w:tc>
          <w:tcPr>
            <w:tcW w:w="1754" w:type="dxa"/>
          </w:tcPr>
          <w:p w14:paraId="3BE0373C"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291,757 cesarean deliveries,</w:t>
            </w:r>
          </w:p>
          <w:p w14:paraId="23B3C839"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California</w:t>
            </w:r>
          </w:p>
        </w:tc>
        <w:tc>
          <w:tcPr>
            <w:tcW w:w="2245" w:type="dxa"/>
            <w:gridSpan w:val="2"/>
          </w:tcPr>
          <w:p w14:paraId="4314FADD" w14:textId="77777777" w:rsidR="003C12A5" w:rsidRPr="00D76BAD" w:rsidRDefault="003C12A5" w:rsidP="00F5109C">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Insurance </w:t>
            </w:r>
          </w:p>
        </w:tc>
        <w:tc>
          <w:tcPr>
            <w:tcW w:w="4711" w:type="dxa"/>
            <w:gridSpan w:val="2"/>
          </w:tcPr>
          <w:p w14:paraId="16E8C70E"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Cesarean deliveries covered by Medicaid had ↑ SSI risk</w:t>
            </w:r>
          </w:p>
          <w:p w14:paraId="7B292499" w14:textId="77777777" w:rsidR="003C12A5" w:rsidRPr="00D76BAD" w:rsidRDefault="003C12A5" w:rsidP="00F5109C">
            <w:pPr>
              <w:pStyle w:val="ListParagraph"/>
              <w:spacing w:line="480" w:lineRule="auto"/>
              <w:ind w:left="36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b/>
                <w:bCs/>
                <w:kern w:val="0"/>
                <w:sz w:val="22"/>
                <w:szCs w:val="22"/>
                <w14:ligatures w14:val="none"/>
              </w:rPr>
              <w:t>(aOR 1.40; 95% CI 1.20–1.60, p&lt;0.0001)</w:t>
            </w:r>
          </w:p>
          <w:p w14:paraId="746DEA7B"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 incidence by insurance type: Medicaid: 0.75% (1,055 infections), Private insurance: 0.63% (955 infections)</w:t>
            </w:r>
          </w:p>
          <w:p w14:paraId="37C955EA" w14:textId="77777777" w:rsidR="003C12A5" w:rsidRPr="00D76BAD" w:rsidRDefault="003C12A5" w:rsidP="003C12A5">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Medicaid covered nearly half of cesarean deliveries (48%), indicating large population-level inequality exposure.</w:t>
            </w:r>
          </w:p>
          <w:p w14:paraId="41F1B4C5" w14:textId="77777777" w:rsidR="003C12A5" w:rsidRPr="00D76BAD" w:rsidRDefault="003C12A5" w:rsidP="00F5109C">
            <w:pPr>
              <w:pStyle w:val="ListParagraph"/>
              <w:spacing w:line="480" w:lineRule="auto"/>
              <w:ind w:left="36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2"/>
                <w:szCs w:val="22"/>
                <w14:ligatures w14:val="none"/>
              </w:rPr>
            </w:pPr>
          </w:p>
        </w:tc>
      </w:tr>
      <w:tr w:rsidR="003C12A5" w:rsidRPr="00D76BAD" w14:paraId="7C2EA0F8" w14:textId="77777777" w:rsidTr="00F5109C">
        <w:trPr>
          <w:gridBefore w:val="2"/>
          <w:cnfStyle w:val="000000100000" w:firstRow="0" w:lastRow="0" w:firstColumn="0" w:lastColumn="0" w:oddVBand="0" w:evenVBand="0" w:oddHBand="1" w:evenHBand="0" w:firstRowFirstColumn="0" w:firstRowLastColumn="0" w:lastRowFirstColumn="0" w:lastRowLastColumn="0"/>
          <w:wBefore w:w="67" w:type="dxa"/>
        </w:trPr>
        <w:tc>
          <w:tcPr>
            <w:cnfStyle w:val="001000000000" w:firstRow="0" w:lastRow="0" w:firstColumn="1" w:lastColumn="0" w:oddVBand="0" w:evenVBand="0" w:oddHBand="0" w:evenHBand="0" w:firstRowFirstColumn="0" w:firstRowLastColumn="0" w:lastRowFirstColumn="0" w:lastRowLastColumn="0"/>
            <w:tcW w:w="1597" w:type="dxa"/>
            <w:gridSpan w:val="2"/>
            <w:tcBorders>
              <w:bottom w:val="single" w:sz="4" w:space="0" w:color="auto"/>
            </w:tcBorders>
          </w:tcPr>
          <w:p w14:paraId="475C68EE" w14:textId="77777777" w:rsidR="003C12A5" w:rsidRPr="00D76BAD" w:rsidRDefault="003C12A5" w:rsidP="003C12A5">
            <w:pPr>
              <w:pStyle w:val="ListParagraph"/>
              <w:numPr>
                <w:ilvl w:val="0"/>
                <w:numId w:val="1"/>
              </w:numPr>
              <w:spacing w:line="480" w:lineRule="auto"/>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Taree et al., </w:t>
            </w:r>
          </w:p>
          <w:p w14:paraId="3F324076" w14:textId="77777777" w:rsidR="003C12A5" w:rsidRPr="00D76BAD" w:rsidRDefault="003C12A5" w:rsidP="00F5109C">
            <w:pPr>
              <w:pStyle w:val="ListParagraph"/>
              <w:spacing w:line="480" w:lineRule="auto"/>
              <w:ind w:left="360"/>
              <w:jc w:val="left"/>
              <w:rPr>
                <w:rFonts w:ascii="Times New Roman" w:eastAsia="Times New Roman" w:hAnsi="Times New Roman" w:cs="Times New Roman"/>
                <w:b/>
                <w:bCs/>
                <w:kern w:val="0"/>
                <w:sz w:val="22"/>
                <w:szCs w:val="22"/>
                <w14:ligatures w14:val="none"/>
              </w:rPr>
            </w:pPr>
            <w:r w:rsidRPr="00D76BAD">
              <w:rPr>
                <w:rFonts w:ascii="Times New Roman" w:eastAsia="Times New Roman" w:hAnsi="Times New Roman" w:cs="Times New Roman"/>
                <w:b/>
                <w:bCs/>
                <w:kern w:val="0"/>
                <w:sz w:val="22"/>
                <w:szCs w:val="22"/>
                <w14:ligatures w14:val="none"/>
              </w:rPr>
              <w:t xml:space="preserve">2021 </w:t>
            </w:r>
            <w:r w:rsidRPr="00D76BAD">
              <w:rPr>
                <w:rFonts w:ascii="Times New Roman" w:eastAsia="Times New Roman" w:hAnsi="Times New Roman" w:cs="Times New Roman"/>
                <w:b/>
                <w:bCs/>
                <w:kern w:val="0"/>
                <w:sz w:val="22"/>
                <w:szCs w:val="22"/>
                <w14:ligatures w14:val="none"/>
              </w:rPr>
              <w:fldChar w:fldCharType="begin"/>
            </w:r>
            <w:r>
              <w:rPr>
                <w:rFonts w:ascii="Times New Roman" w:eastAsia="Times New Roman" w:hAnsi="Times New Roman" w:cs="Times New Roman"/>
                <w:b/>
                <w:bCs/>
                <w:kern w:val="0"/>
                <w:sz w:val="22"/>
                <w:szCs w:val="22"/>
                <w14:ligatures w14:val="none"/>
              </w:rPr>
              <w:instrText xml:space="preserve"> ADDIN ZOTERO_ITEM CSL_CITATION {"citationID":"tCx97Cg4","properties":{"formattedCitation":"[30]","plainCitation":"[30]","noteIndex":0},"citationItems":[{"id":2994,"uris":["http://zotero.org/users/19095250/items/A5Y55I47"],"itemData":{"id":2994,"type":"article-journal","abstract":"STUDY DESIGN: This was a retrospective cohort study.\nOBJECTIVE: Identify the independent risk factors for 30- and 90-day readmission because of surgical site infection (SSI) in patients undergoing elective posterior lumbar fusion (PLF).\nSUMMARY OF BACKGROUND DATA: SSI is a significant cause of morbidity in the 30- and 90-day windows after hospital discharge. There remains a gap in the literature on independent risk factors for readmission because of SSI after PLF procedures. In addition, readmission for SSI after spine surgery beyond the 30-day postoperative period has not been well studied.\nMETHODS: A retrospective analysis was performed on data from the 2012 to 2014 Healthcare Cost and Utilization Project Nationwide Readmissions Database. The authors identified 65,121 patients who underwent PLF. There were 191 patients (0.30%) readmitted with a diagnosis of SSI in the 30-day readmission window, and 283 (0.43%) patients readmitted with a diagnosis of SSI in the 90-day window. Baseline patient demographics and medical comorbidities were assessed. Bivariate and multivariate analyses were performed to examine the independent risk factors for readmission because of SSI.\nRESULTS: In the 30-day window after discharge, this study identified patients with liver disease, uncomplicated diabetes, deficiency anemia, depression, psychosis, renal failure, obesity, and Medicaid or Medicare insurance as higher risk patients for unplanned readmission with a diagnosis of SSI. The study identified the same risk factors in the 90-day window with the addition of diabetes with chronic complications, chronic pulmonary disease, and pulmonary circulation disease.\nCONCLUSIONS: Independent risk factors for readmission because of SSI included liver disease, uncomplicated diabetes, obesity, and Medicaid insurance status. These findings suggest that additional intervention in the perioperative workup for patients with these risk factors may be necessary to lower unplanned readmission because of SSI after PLF surgery.","container-title":"Clinical Spine Surgery","DOI":"10.1097/BSD.0000000000001095","ISSN":"2380-0194","issue":"4","journalAbbreviation":"Clin Spine Surg","language":"eng","note":"PMID: 33122569","page":"E216-E222","source":"PubMed","title":"Risk Factors for 30- and 90-Day Readmissions Due To Surgical Site Infection Following Posterior Lumbar Fusion","volume":"34","author":[{"family":"Taree","given":"Amir"},{"family":"Mikhail","given":"Christopher M."},{"family":"Markowitz","given":"Jonathan"},{"family":"Ranson","given":"William A."},{"family":"Choi","given":"Brian"},{"family":"Schwartz","given":"John T."},{"family":"Cho","given":"Samuel K."}],"issued":{"date-parts":[["2021",5,1]]}}}],"schema":"https://github.com/citation-style-language/schema/raw/master/csl-citation.json"} </w:instrText>
            </w:r>
            <w:r w:rsidRPr="00D76BAD">
              <w:rPr>
                <w:rFonts w:ascii="Times New Roman" w:eastAsia="Times New Roman" w:hAnsi="Times New Roman" w:cs="Times New Roman"/>
                <w:b/>
                <w:bCs/>
                <w:kern w:val="0"/>
                <w:sz w:val="22"/>
                <w:szCs w:val="22"/>
                <w14:ligatures w14:val="none"/>
              </w:rPr>
              <w:fldChar w:fldCharType="separate"/>
            </w:r>
            <w:r w:rsidRPr="008B38D2">
              <w:rPr>
                <w:rFonts w:ascii="Times New Roman" w:hAnsi="Times New Roman" w:cs="Times New Roman"/>
                <w:sz w:val="22"/>
              </w:rPr>
              <w:t>[30]</w:t>
            </w:r>
            <w:r w:rsidRPr="00D76BAD">
              <w:rPr>
                <w:rFonts w:ascii="Times New Roman" w:eastAsia="Times New Roman" w:hAnsi="Times New Roman" w:cs="Times New Roman"/>
                <w:b/>
                <w:bCs/>
                <w:kern w:val="0"/>
                <w:sz w:val="22"/>
                <w:szCs w:val="22"/>
                <w14:ligatures w14:val="none"/>
              </w:rPr>
              <w:fldChar w:fldCharType="end"/>
            </w:r>
          </w:p>
        </w:tc>
        <w:tc>
          <w:tcPr>
            <w:tcW w:w="1151" w:type="dxa"/>
            <w:tcBorders>
              <w:bottom w:val="single" w:sz="4" w:space="0" w:color="auto"/>
            </w:tcBorders>
          </w:tcPr>
          <w:p w14:paraId="05DFCC1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SSI</w:t>
            </w:r>
          </w:p>
        </w:tc>
        <w:tc>
          <w:tcPr>
            <w:tcW w:w="1633" w:type="dxa"/>
            <w:gridSpan w:val="2"/>
            <w:tcBorders>
              <w:bottom w:val="single" w:sz="4" w:space="0" w:color="auto"/>
            </w:tcBorders>
          </w:tcPr>
          <w:p w14:paraId="75A4F39A"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Retrospective (2012-2014)</w:t>
            </w:r>
          </w:p>
          <w:p w14:paraId="5422611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 HCUP</w:t>
            </w:r>
          </w:p>
          <w:p w14:paraId="45F2A869"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p>
        </w:tc>
        <w:tc>
          <w:tcPr>
            <w:tcW w:w="1754" w:type="dxa"/>
            <w:tcBorders>
              <w:bottom w:val="single" w:sz="4" w:space="0" w:color="auto"/>
            </w:tcBorders>
          </w:tcPr>
          <w:p w14:paraId="093398D1"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 xml:space="preserve">65,121 patients; 191 SSI readmissions (30-day) and 283 </w:t>
            </w:r>
            <w:r w:rsidRPr="00D76BAD">
              <w:rPr>
                <w:rFonts w:ascii="Times New Roman" w:eastAsia="Times New Roman" w:hAnsi="Times New Roman" w:cs="Times New Roman"/>
                <w:kern w:val="0"/>
                <w:sz w:val="22"/>
                <w:szCs w:val="22"/>
                <w14:ligatures w14:val="none"/>
              </w:rPr>
              <w:lastRenderedPageBreak/>
              <w:t>SSI readmissions (90-day)</w:t>
            </w:r>
          </w:p>
        </w:tc>
        <w:tc>
          <w:tcPr>
            <w:tcW w:w="2245" w:type="dxa"/>
            <w:gridSpan w:val="2"/>
            <w:tcBorders>
              <w:bottom w:val="single" w:sz="4" w:space="0" w:color="auto"/>
            </w:tcBorders>
          </w:tcPr>
          <w:p w14:paraId="1B7A4725" w14:textId="77777777" w:rsidR="003C12A5" w:rsidRPr="00D76BAD" w:rsidRDefault="003C12A5" w:rsidP="00F5109C">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lastRenderedPageBreak/>
              <w:t xml:space="preserve">Insurance </w:t>
            </w:r>
          </w:p>
        </w:tc>
        <w:tc>
          <w:tcPr>
            <w:tcW w:w="4711" w:type="dxa"/>
            <w:gridSpan w:val="2"/>
            <w:tcBorders>
              <w:bottom w:val="single" w:sz="4" w:space="0" w:color="auto"/>
            </w:tcBorders>
          </w:tcPr>
          <w:p w14:paraId="3D081947"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t>Medicare and Medicaid patients had significantly higher odds of SSI-related readmission at both 30 and 90 days (P &lt; 0.0001).</w:t>
            </w:r>
          </w:p>
          <w:p w14:paraId="7ABE9387" w14:textId="77777777" w:rsidR="003C12A5" w:rsidRPr="00D76BAD" w:rsidRDefault="003C12A5" w:rsidP="003C12A5">
            <w:pPr>
              <w:pStyle w:val="ListParagraph"/>
              <w:numPr>
                <w:ilvl w:val="0"/>
                <w:numId w:val="2"/>
              </w:num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2"/>
                <w:szCs w:val="22"/>
                <w14:ligatures w14:val="none"/>
              </w:rPr>
            </w:pPr>
            <w:r w:rsidRPr="00D76BAD">
              <w:rPr>
                <w:rFonts w:ascii="Times New Roman" w:eastAsia="Times New Roman" w:hAnsi="Times New Roman" w:cs="Times New Roman"/>
                <w:kern w:val="0"/>
                <w:sz w:val="22"/>
                <w:szCs w:val="22"/>
                <w14:ligatures w14:val="none"/>
              </w:rPr>
              <w:lastRenderedPageBreak/>
              <w:t>Medicaid insurance was an independent predictor of SSI readmission in adjusted models at 30 and 90 days (multivariable).</w:t>
            </w:r>
          </w:p>
        </w:tc>
      </w:tr>
    </w:tbl>
    <w:p w14:paraId="23E23EE9" w14:textId="77777777" w:rsidR="003C12A5" w:rsidRPr="00D76BAD" w:rsidRDefault="003C12A5" w:rsidP="003C12A5">
      <w:pPr>
        <w:spacing w:line="480" w:lineRule="auto"/>
        <w:rPr>
          <w:rFonts w:ascii="Times New Roman" w:hAnsi="Times New Roman" w:cs="Times New Roman"/>
          <w:sz w:val="22"/>
          <w:szCs w:val="22"/>
        </w:rPr>
      </w:pPr>
    </w:p>
    <w:p w14:paraId="39942B04" w14:textId="77777777" w:rsidR="003C12A5" w:rsidRPr="00D76BAD" w:rsidRDefault="003C12A5" w:rsidP="003C12A5">
      <w:pPr>
        <w:spacing w:line="480" w:lineRule="auto"/>
        <w:rPr>
          <w:rFonts w:ascii="Times New Roman" w:hAnsi="Times New Roman" w:cs="Times New Roman"/>
          <w:sz w:val="22"/>
          <w:szCs w:val="22"/>
        </w:rPr>
      </w:pPr>
      <w:r w:rsidRPr="00D76BAD">
        <w:rPr>
          <w:rFonts w:ascii="Times New Roman" w:hAnsi="Times New Roman" w:cs="Times New Roman"/>
          <w:i/>
          <w:iCs/>
          <w:sz w:val="22"/>
          <w:szCs w:val="22"/>
        </w:rPr>
        <w:t>Note</w:t>
      </w:r>
      <w:r w:rsidRPr="00D76BAD">
        <w:rPr>
          <w:rFonts w:ascii="Times New Roman" w:hAnsi="Times New Roman" w:cs="Times New Roman"/>
          <w:sz w:val="22"/>
          <w:szCs w:val="22"/>
        </w:rPr>
        <w:t xml:space="preserve">: HAI, healthcare-associated infection; CDI, </w:t>
      </w:r>
      <w:r w:rsidRPr="00D76BAD">
        <w:rPr>
          <w:rFonts w:ascii="Times New Roman" w:hAnsi="Times New Roman" w:cs="Times New Roman"/>
          <w:i/>
          <w:iCs/>
          <w:sz w:val="22"/>
          <w:szCs w:val="22"/>
        </w:rPr>
        <w:t>Clostridioides difficile</w:t>
      </w:r>
      <w:r w:rsidRPr="00D76BAD">
        <w:rPr>
          <w:rFonts w:ascii="Times New Roman" w:hAnsi="Times New Roman" w:cs="Times New Roman"/>
          <w:sz w:val="22"/>
          <w:szCs w:val="22"/>
        </w:rPr>
        <w:t xml:space="preserve"> infection; MRSA, methicillin-resistant </w:t>
      </w:r>
      <w:r w:rsidRPr="00D76BAD">
        <w:rPr>
          <w:rFonts w:ascii="Times New Roman" w:hAnsi="Times New Roman" w:cs="Times New Roman"/>
          <w:i/>
          <w:iCs/>
          <w:sz w:val="22"/>
          <w:szCs w:val="22"/>
        </w:rPr>
        <w:t>Staphylococcus aureus</w:t>
      </w:r>
      <w:r w:rsidRPr="00D76BAD">
        <w:rPr>
          <w:rFonts w:ascii="Times New Roman" w:hAnsi="Times New Roman" w:cs="Times New Roman"/>
          <w:sz w:val="22"/>
          <w:szCs w:val="22"/>
        </w:rPr>
        <w:t xml:space="preserve">; MSSA, methicillin-susceptible </w:t>
      </w:r>
      <w:r w:rsidRPr="00D76BAD">
        <w:rPr>
          <w:rFonts w:ascii="Times New Roman" w:hAnsi="Times New Roman" w:cs="Times New Roman"/>
          <w:i/>
          <w:iCs/>
          <w:sz w:val="22"/>
          <w:szCs w:val="22"/>
        </w:rPr>
        <w:t>Staphylococcus aureus</w:t>
      </w:r>
      <w:r w:rsidRPr="00D76BAD">
        <w:rPr>
          <w:rFonts w:ascii="Times New Roman" w:hAnsi="Times New Roman" w:cs="Times New Roman"/>
          <w:sz w:val="22"/>
          <w:szCs w:val="22"/>
        </w:rPr>
        <w:t>; CLABSI, central line–associated bloodstream infection; CAUTI, catheter-associated urinary tract infection; VAP, ventilator-associated pneumonia; SSI, surgical site infection.</w:t>
      </w:r>
    </w:p>
    <w:p w14:paraId="0442FF0A" w14:textId="77777777" w:rsidR="003C12A5" w:rsidRPr="00D76BAD" w:rsidRDefault="003C12A5" w:rsidP="003C12A5">
      <w:pPr>
        <w:spacing w:line="480" w:lineRule="auto"/>
        <w:rPr>
          <w:rFonts w:ascii="Times New Roman" w:hAnsi="Times New Roman" w:cs="Times New Roman"/>
          <w:sz w:val="22"/>
          <w:szCs w:val="22"/>
        </w:rPr>
      </w:pPr>
      <w:r w:rsidRPr="00D76BAD">
        <w:rPr>
          <w:rFonts w:ascii="Times New Roman" w:hAnsi="Times New Roman" w:cs="Times New Roman"/>
          <w:sz w:val="22"/>
          <w:szCs w:val="22"/>
        </w:rPr>
        <w:t xml:space="preserve">CF, Cystic Fibrosis; CD, Crohn’s Disease </w:t>
      </w:r>
    </w:p>
    <w:p w14:paraId="193EDA28" w14:textId="77777777" w:rsidR="003C12A5" w:rsidRPr="00D53B48" w:rsidRDefault="003C12A5" w:rsidP="003C12A5">
      <w:pPr>
        <w:spacing w:line="480" w:lineRule="auto"/>
        <w:rPr>
          <w:rFonts w:ascii="Times New Roman" w:hAnsi="Times New Roman" w:cs="Times New Roman"/>
          <w:sz w:val="22"/>
          <w:szCs w:val="22"/>
        </w:rPr>
      </w:pPr>
      <w:r w:rsidRPr="00D53B48">
        <w:rPr>
          <w:rFonts w:ascii="Times New Roman" w:hAnsi="Times New Roman" w:cs="Times New Roman"/>
          <w:sz w:val="22"/>
          <w:szCs w:val="22"/>
        </w:rPr>
        <w:t>SDOH, social determinants of health; ADI, Area Deprivation Index; Social Vulnerability Index; SDI, Social Deprivation Index; LOS, length of stay.</w:t>
      </w:r>
    </w:p>
    <w:p w14:paraId="1B43FADD" w14:textId="77777777" w:rsidR="003C12A5" w:rsidRPr="00D53B48" w:rsidRDefault="003C12A5" w:rsidP="003C12A5">
      <w:pPr>
        <w:spacing w:line="480" w:lineRule="auto"/>
        <w:rPr>
          <w:rFonts w:ascii="Times New Roman" w:hAnsi="Times New Roman" w:cs="Times New Roman"/>
          <w:sz w:val="22"/>
          <w:szCs w:val="22"/>
        </w:rPr>
      </w:pPr>
      <w:r w:rsidRPr="00D53B48">
        <w:rPr>
          <w:rFonts w:ascii="Times New Roman" w:hAnsi="Times New Roman" w:cs="Times New Roman"/>
          <w:sz w:val="22"/>
          <w:szCs w:val="22"/>
        </w:rPr>
        <w:t xml:space="preserve">NIS, National Inpatient Sample; NHDS, National Hospital Discharge Survey; HCUP, Healthcare Cost and Utilization Project; </w:t>
      </w:r>
      <w:r w:rsidRPr="00D76BAD">
        <w:rPr>
          <w:rFonts w:ascii="Times New Roman" w:hAnsi="Times New Roman" w:cs="Times New Roman"/>
          <w:sz w:val="22"/>
          <w:szCs w:val="22"/>
        </w:rPr>
        <w:t>ACS-</w:t>
      </w:r>
      <w:r w:rsidRPr="00D53B48">
        <w:rPr>
          <w:rFonts w:ascii="Times New Roman" w:hAnsi="Times New Roman" w:cs="Times New Roman"/>
          <w:sz w:val="22"/>
          <w:szCs w:val="22"/>
        </w:rPr>
        <w:t xml:space="preserve">NSQIP, </w:t>
      </w:r>
      <w:r w:rsidRPr="00D76BAD">
        <w:rPr>
          <w:rFonts w:ascii="Times New Roman" w:hAnsi="Times New Roman" w:cs="Times New Roman"/>
          <w:sz w:val="22"/>
          <w:szCs w:val="22"/>
        </w:rPr>
        <w:t xml:space="preserve">American College of Surgeons- </w:t>
      </w:r>
      <w:r w:rsidRPr="00D53B48">
        <w:rPr>
          <w:rFonts w:ascii="Times New Roman" w:hAnsi="Times New Roman" w:cs="Times New Roman"/>
          <w:sz w:val="22"/>
          <w:szCs w:val="22"/>
        </w:rPr>
        <w:t>National Surgical Quality Improvement Program; PHIS, Pediatric Health Information System; SPS, Solutions for Patient Safety; EMR, electronic medical record; EHR, electronic health record.</w:t>
      </w:r>
    </w:p>
    <w:p w14:paraId="3DF3DA7C" w14:textId="19FBAAF5" w:rsidR="004E780C" w:rsidRDefault="003C12A5" w:rsidP="003C12A5">
      <w:r w:rsidRPr="00D53B48">
        <w:rPr>
          <w:rFonts w:ascii="Times New Roman" w:hAnsi="Times New Roman" w:cs="Times New Roman"/>
          <w:sz w:val="22"/>
          <w:szCs w:val="22"/>
        </w:rPr>
        <w:t xml:space="preserve">aOR, adjusted odds ratio; IRR, incidence rate ratio; HR, hazard ratio; RR, rate ratio; CI, confidence </w:t>
      </w:r>
      <w:r w:rsidRPr="00D76BAD">
        <w:rPr>
          <w:rFonts w:ascii="Times New Roman" w:hAnsi="Times New Roman" w:cs="Times New Roman"/>
          <w:sz w:val="22"/>
          <w:szCs w:val="22"/>
        </w:rPr>
        <w:t xml:space="preserve">interval; PY, person-years.    </w:t>
      </w:r>
    </w:p>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4B16"/>
    <w:multiLevelType w:val="hybridMultilevel"/>
    <w:tmpl w:val="ABE4B6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AD75F3"/>
    <w:multiLevelType w:val="hybridMultilevel"/>
    <w:tmpl w:val="3D74F6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D8C71AE"/>
    <w:multiLevelType w:val="hybridMultilevel"/>
    <w:tmpl w:val="EE0E1C4C"/>
    <w:lvl w:ilvl="0" w:tplc="04090001">
      <w:start w:val="1"/>
      <w:numFmt w:val="bullet"/>
      <w:lvlText w:val=""/>
      <w:lvlJc w:val="left"/>
      <w:pPr>
        <w:ind w:left="360" w:hanging="360"/>
      </w:pPr>
      <w:rPr>
        <w:rFonts w:ascii="Symbol" w:hAnsi="Symbol" w:hint="default"/>
      </w:rPr>
    </w:lvl>
    <w:lvl w:ilvl="1" w:tplc="01DCA926">
      <w:start w:val="30"/>
      <w:numFmt w:val="bullet"/>
      <w:lvlText w:val="•"/>
      <w:lvlJc w:val="left"/>
      <w:pPr>
        <w:ind w:left="1080" w:hanging="360"/>
      </w:pPr>
      <w:rPr>
        <w:rFonts w:ascii="Times New Roman" w:eastAsia="Times New Roman" w:hAnsi="Times New Roman" w:cs="Times New Roman" w:hint="default"/>
        <w:b w:val="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6250B7"/>
    <w:multiLevelType w:val="hybridMultilevel"/>
    <w:tmpl w:val="6B3E88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5241B9"/>
    <w:multiLevelType w:val="hybridMultilevel"/>
    <w:tmpl w:val="167A8D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D562E48"/>
    <w:multiLevelType w:val="hybridMultilevel"/>
    <w:tmpl w:val="8A7AE8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20A5B55"/>
    <w:multiLevelType w:val="hybridMultilevel"/>
    <w:tmpl w:val="36246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D70FA7"/>
    <w:multiLevelType w:val="hybridMultilevel"/>
    <w:tmpl w:val="7A9671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D450B10"/>
    <w:multiLevelType w:val="hybridMultilevel"/>
    <w:tmpl w:val="0C543E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E4A65BF"/>
    <w:multiLevelType w:val="hybridMultilevel"/>
    <w:tmpl w:val="21A05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96E469A"/>
    <w:multiLevelType w:val="hybridMultilevel"/>
    <w:tmpl w:val="A9F49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65567641">
    <w:abstractNumId w:val="7"/>
  </w:num>
  <w:num w:numId="2" w16cid:durableId="1735353278">
    <w:abstractNumId w:val="8"/>
  </w:num>
  <w:num w:numId="3" w16cid:durableId="2002584429">
    <w:abstractNumId w:val="3"/>
  </w:num>
  <w:num w:numId="4" w16cid:durableId="1292052903">
    <w:abstractNumId w:val="5"/>
  </w:num>
  <w:num w:numId="5" w16cid:durableId="1673484429">
    <w:abstractNumId w:val="9"/>
  </w:num>
  <w:num w:numId="6" w16cid:durableId="405958286">
    <w:abstractNumId w:val="2"/>
  </w:num>
  <w:num w:numId="7" w16cid:durableId="1529757412">
    <w:abstractNumId w:val="0"/>
  </w:num>
  <w:num w:numId="8" w16cid:durableId="1303075158">
    <w:abstractNumId w:val="10"/>
  </w:num>
  <w:num w:numId="9" w16cid:durableId="33046875">
    <w:abstractNumId w:val="4"/>
  </w:num>
  <w:num w:numId="10" w16cid:durableId="160775152">
    <w:abstractNumId w:val="6"/>
  </w:num>
  <w:num w:numId="11" w16cid:durableId="2094273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2A5"/>
    <w:rsid w:val="002978F5"/>
    <w:rsid w:val="003852CF"/>
    <w:rsid w:val="003C12A5"/>
    <w:rsid w:val="004E780C"/>
    <w:rsid w:val="00B0143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2EF9F"/>
  <w15:chartTrackingRefBased/>
  <w15:docId w15:val="{1795CD7F-2BC7-4A81-BB7E-707268A9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2A5"/>
  </w:style>
  <w:style w:type="paragraph" w:styleId="Heading1">
    <w:name w:val="heading 1"/>
    <w:basedOn w:val="Normal"/>
    <w:next w:val="Normal"/>
    <w:link w:val="Heading1Char"/>
    <w:uiPriority w:val="9"/>
    <w:qFormat/>
    <w:rsid w:val="003C12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12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12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12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12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12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12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12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12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12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12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12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12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12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12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12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12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12A5"/>
    <w:rPr>
      <w:rFonts w:eastAsiaTheme="majorEastAsia" w:cstheme="majorBidi"/>
      <w:color w:val="272727" w:themeColor="text1" w:themeTint="D8"/>
    </w:rPr>
  </w:style>
  <w:style w:type="paragraph" w:styleId="Title">
    <w:name w:val="Title"/>
    <w:basedOn w:val="Normal"/>
    <w:next w:val="Normal"/>
    <w:link w:val="TitleChar"/>
    <w:uiPriority w:val="10"/>
    <w:qFormat/>
    <w:rsid w:val="003C12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12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12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12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12A5"/>
    <w:pPr>
      <w:spacing w:before="160"/>
      <w:jc w:val="center"/>
    </w:pPr>
    <w:rPr>
      <w:i/>
      <w:iCs/>
      <w:color w:val="404040" w:themeColor="text1" w:themeTint="BF"/>
    </w:rPr>
  </w:style>
  <w:style w:type="character" w:customStyle="1" w:styleId="QuoteChar">
    <w:name w:val="Quote Char"/>
    <w:basedOn w:val="DefaultParagraphFont"/>
    <w:link w:val="Quote"/>
    <w:uiPriority w:val="29"/>
    <w:rsid w:val="003C12A5"/>
    <w:rPr>
      <w:i/>
      <w:iCs/>
      <w:color w:val="404040" w:themeColor="text1" w:themeTint="BF"/>
    </w:rPr>
  </w:style>
  <w:style w:type="paragraph" w:styleId="ListParagraph">
    <w:name w:val="List Paragraph"/>
    <w:basedOn w:val="Normal"/>
    <w:uiPriority w:val="34"/>
    <w:qFormat/>
    <w:rsid w:val="003C12A5"/>
    <w:pPr>
      <w:ind w:left="720"/>
      <w:contextualSpacing/>
    </w:pPr>
  </w:style>
  <w:style w:type="character" w:styleId="IntenseEmphasis">
    <w:name w:val="Intense Emphasis"/>
    <w:basedOn w:val="DefaultParagraphFont"/>
    <w:uiPriority w:val="21"/>
    <w:qFormat/>
    <w:rsid w:val="003C12A5"/>
    <w:rPr>
      <w:i/>
      <w:iCs/>
      <w:color w:val="0F4761" w:themeColor="accent1" w:themeShade="BF"/>
    </w:rPr>
  </w:style>
  <w:style w:type="paragraph" w:styleId="IntenseQuote">
    <w:name w:val="Intense Quote"/>
    <w:basedOn w:val="Normal"/>
    <w:next w:val="Normal"/>
    <w:link w:val="IntenseQuoteChar"/>
    <w:uiPriority w:val="30"/>
    <w:qFormat/>
    <w:rsid w:val="003C12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12A5"/>
    <w:rPr>
      <w:i/>
      <w:iCs/>
      <w:color w:val="0F4761" w:themeColor="accent1" w:themeShade="BF"/>
    </w:rPr>
  </w:style>
  <w:style w:type="character" w:styleId="IntenseReference">
    <w:name w:val="Intense Reference"/>
    <w:basedOn w:val="DefaultParagraphFont"/>
    <w:uiPriority w:val="32"/>
    <w:qFormat/>
    <w:rsid w:val="003C12A5"/>
    <w:rPr>
      <w:b/>
      <w:bCs/>
      <w:smallCaps/>
      <w:color w:val="0F4761" w:themeColor="accent1" w:themeShade="BF"/>
      <w:spacing w:val="5"/>
    </w:rPr>
  </w:style>
  <w:style w:type="table" w:styleId="PlainTable5">
    <w:name w:val="Plain Table 5"/>
    <w:basedOn w:val="TableNormal"/>
    <w:uiPriority w:val="45"/>
    <w:rsid w:val="003C12A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3C12A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C12A5"/>
    <w:rPr>
      <w:b/>
      <w:bCs/>
    </w:rPr>
  </w:style>
  <w:style w:type="character" w:styleId="Emphasis">
    <w:name w:val="Emphasis"/>
    <w:basedOn w:val="DefaultParagraphFont"/>
    <w:uiPriority w:val="20"/>
    <w:qFormat/>
    <w:rsid w:val="003C12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9107</Words>
  <Characters>56191</Characters>
  <Application>Microsoft Office Word</Application>
  <DocSecurity>0</DocSecurity>
  <Lines>1652</Lines>
  <Paragraphs>680</Paragraphs>
  <ScaleCrop>false</ScaleCrop>
  <Company/>
  <LinksUpToDate>false</LinksUpToDate>
  <CharactersWithSpaces>64618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2025-12-23T13:51:00Z</dcterms:created>
  <dcterms:modified xsi:type="dcterms:W3CDTF">2025-12-23T13:51:00Z</dcterms:modified>
</cp:coreProperties>
</file>