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C35" w:rsidRPr="00BC42CE" w:rsidRDefault="004B7C35" w:rsidP="004B7C35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BC42CE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</w:rPr>
        <w:t>Supplementary material 4: Standard operating procedures (SOPs) for operationalizing implementation strategies during CHW home visits</w:t>
      </w:r>
    </w:p>
    <w:p w:rsidR="004B7C35" w:rsidRPr="00CA6A69" w:rsidRDefault="004B7C35" w:rsidP="00B15276">
      <w:pPr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1. Introduction</w:t>
      </w:r>
    </w:p>
    <w:p w:rsidR="004B7C35" w:rsidRPr="00CA6A69" w:rsidRDefault="004B7C35" w:rsidP="00232E54">
      <w:pPr>
        <w:pStyle w:val="NormalWeb"/>
        <w:spacing w:line="360" w:lineRule="auto"/>
        <w:jc w:val="both"/>
      </w:pPr>
      <w:r w:rsidRPr="00CA6A69">
        <w:t xml:space="preserve">This SOP provides guidance for Community Health Workers (CHWs) conducting household visits to deliver the adapted visual-aided adolescent nutrition education intervention. It supports consistent </w:t>
      </w:r>
      <w:r w:rsidRPr="00CA6A69">
        <w:rPr>
          <w:rStyle w:val="Strong"/>
          <w:b w:val="0"/>
        </w:rPr>
        <w:t>operationalization of implementation strategies</w:t>
      </w:r>
      <w:r w:rsidRPr="00CA6A69">
        <w:t xml:space="preserve">, ensuring quality, fidelity, and alignment with </w:t>
      </w:r>
      <w:r w:rsidRPr="00CA6A69">
        <w:rPr>
          <w:rStyle w:val="Strong"/>
          <w:b w:val="0"/>
        </w:rPr>
        <w:t>Social Cognitive Theory (SCT)</w:t>
      </w:r>
      <w:r w:rsidR="008D716D">
        <w:rPr>
          <w:rStyle w:val="Strong"/>
          <w:b w:val="0"/>
          <w:lang w:val="en-US"/>
        </w:rPr>
        <w:t>‒</w:t>
      </w:r>
      <w:r w:rsidRPr="00CA6A69">
        <w:rPr>
          <w:rStyle w:val="Strong"/>
          <w:b w:val="0"/>
        </w:rPr>
        <w:t>informed</w:t>
      </w:r>
      <w:r w:rsidR="00BE0CDB" w:rsidRPr="00CA6A69">
        <w:rPr>
          <w:rStyle w:val="Strong"/>
          <w:b w:val="0"/>
          <w:lang w:val="en-US"/>
        </w:rPr>
        <w:t xml:space="preserve"> beha</w:t>
      </w:r>
      <w:r w:rsidR="00F12730" w:rsidRPr="00CA6A69">
        <w:rPr>
          <w:rStyle w:val="Strong"/>
          <w:b w:val="0"/>
          <w:lang w:val="en-US"/>
        </w:rPr>
        <w:t>vioral change</w:t>
      </w:r>
      <w:r w:rsidRPr="00CA6A69">
        <w:rPr>
          <w:rStyle w:val="Strong"/>
          <w:b w:val="0"/>
        </w:rPr>
        <w:t xml:space="preserve"> methods</w:t>
      </w:r>
      <w:r w:rsidRPr="00CA6A69">
        <w:t>, including modelling, guided practice, reinforcement, and mobilization of social support.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2. Purpose</w:t>
      </w:r>
    </w:p>
    <w:p w:rsidR="004B7C35" w:rsidRPr="00CA6A69" w:rsidRDefault="004B7C35" w:rsidP="00232E54">
      <w:pPr>
        <w:pStyle w:val="NormalWeb"/>
        <w:spacing w:line="360" w:lineRule="auto"/>
        <w:jc w:val="both"/>
      </w:pPr>
      <w:r w:rsidRPr="00CA6A69">
        <w:t xml:space="preserve">To ensure that CHWs deliver the adapted nutrition education sessions </w:t>
      </w:r>
      <w:r w:rsidRPr="008D716D">
        <w:rPr>
          <w:rStyle w:val="Strong"/>
          <w:b w:val="0"/>
        </w:rPr>
        <w:t>consistently and as intended</w:t>
      </w:r>
      <w:r w:rsidRPr="00CA6A69">
        <w:t xml:space="preserve">, supporting implementation fidelity and effective use of intervention materials. These SOPs standardize </w:t>
      </w:r>
      <w:r w:rsidRPr="008D716D">
        <w:rPr>
          <w:rStyle w:val="Strong"/>
          <w:b w:val="0"/>
        </w:rPr>
        <w:t>implementation strategies</w:t>
      </w:r>
      <w:r w:rsidRPr="00CA6A69">
        <w:t>, including session flow, use of visual tools, and interactive delivery approaches during each home visit.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3. Scope</w:t>
      </w:r>
    </w:p>
    <w:p w:rsidR="004B7C35" w:rsidRPr="00CA6A69" w:rsidRDefault="004B7C35" w:rsidP="00232E54">
      <w:pPr>
        <w:pStyle w:val="NormalWeb"/>
        <w:spacing w:line="360" w:lineRule="auto"/>
        <w:jc w:val="both"/>
      </w:pPr>
      <w:r w:rsidRPr="00CA6A69">
        <w:t>These SOPs apply to all CHWs trained under this intervention and guide delivery to adolescents aged 10–24 years and their parents</w:t>
      </w:r>
      <w:r w:rsidR="00717DB7" w:rsidRPr="00CA6A69">
        <w:rPr>
          <w:lang w:val="en-US"/>
        </w:rPr>
        <w:t xml:space="preserve"> or </w:t>
      </w:r>
      <w:r w:rsidRPr="00CA6A69">
        <w:t>guardians in Mayuge District</w:t>
      </w:r>
      <w:r w:rsidR="00717DB7" w:rsidRPr="00CA6A69">
        <w:rPr>
          <w:lang w:val="en-US"/>
        </w:rPr>
        <w:t>, Uganda</w:t>
      </w:r>
      <w:r w:rsidRPr="00CA6A69">
        <w:t>. Each session should last approximately 45–60 minutes and include structured interaction, demonstrations, and agreed follow-up actions.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4. Materials required</w:t>
      </w:r>
    </w:p>
    <w:p w:rsidR="004B7C35" w:rsidRPr="00CA6A69" w:rsidRDefault="004B7C35" w:rsidP="00232E54">
      <w:pPr>
        <w:pStyle w:val="NormalWeb"/>
        <w:numPr>
          <w:ilvl w:val="0"/>
          <w:numId w:val="10"/>
        </w:numPr>
        <w:spacing w:line="360" w:lineRule="auto"/>
        <w:jc w:val="both"/>
      </w:pPr>
      <w:r w:rsidRPr="00CA6A69">
        <w:t xml:space="preserve">CHW Training Guide booklet (English or </w:t>
      </w:r>
      <w:r w:rsidRPr="00CA6A69">
        <w:rPr>
          <w:i/>
        </w:rPr>
        <w:t xml:space="preserve">Lusoga </w:t>
      </w:r>
      <w:r w:rsidRPr="00CA6A69">
        <w:t>version)</w:t>
      </w:r>
    </w:p>
    <w:p w:rsidR="004B7C35" w:rsidRPr="00CA6A69" w:rsidRDefault="004B7C35" w:rsidP="00232E54">
      <w:pPr>
        <w:pStyle w:val="NormalWeb"/>
        <w:numPr>
          <w:ilvl w:val="0"/>
          <w:numId w:val="10"/>
        </w:numPr>
        <w:spacing w:line="360" w:lineRule="auto"/>
        <w:jc w:val="both"/>
      </w:pPr>
      <w:r w:rsidRPr="00CA6A69">
        <w:t>Thematic visual-aided flyers (Themes 1–9)</w:t>
      </w:r>
    </w:p>
    <w:p w:rsidR="004B7C35" w:rsidRPr="00CA6A69" w:rsidRDefault="004B7C35" w:rsidP="00232E54">
      <w:pPr>
        <w:pStyle w:val="NormalWeb"/>
        <w:numPr>
          <w:ilvl w:val="0"/>
          <w:numId w:val="10"/>
        </w:numPr>
        <w:spacing w:line="360" w:lineRule="auto"/>
        <w:jc w:val="both"/>
      </w:pPr>
      <w:r w:rsidRPr="00CA6A69">
        <w:t>Attendance sheet or digital register</w:t>
      </w:r>
    </w:p>
    <w:p w:rsidR="004B7C35" w:rsidRPr="00CA6A69" w:rsidRDefault="004B7C35" w:rsidP="00232E54">
      <w:pPr>
        <w:pStyle w:val="NormalWeb"/>
        <w:numPr>
          <w:ilvl w:val="0"/>
          <w:numId w:val="10"/>
        </w:numPr>
        <w:spacing w:line="360" w:lineRule="auto"/>
        <w:jc w:val="both"/>
      </w:pPr>
      <w:r w:rsidRPr="00CA6A69">
        <w:t>Demonstration items (local foods, utensils)</w:t>
      </w:r>
    </w:p>
    <w:p w:rsidR="004B7C35" w:rsidRPr="00CA6A69" w:rsidRDefault="004B7C35" w:rsidP="00232E54">
      <w:pPr>
        <w:pStyle w:val="NormalWeb"/>
        <w:numPr>
          <w:ilvl w:val="0"/>
          <w:numId w:val="10"/>
        </w:numPr>
        <w:spacing w:line="360" w:lineRule="auto"/>
        <w:jc w:val="both"/>
      </w:pPr>
      <w:r w:rsidRPr="00CA6A69">
        <w:t>Pen, notebook, and CHW identification card</w:t>
      </w:r>
    </w:p>
    <w:p w:rsidR="004B7C35" w:rsidRPr="00CA6A69" w:rsidRDefault="004B7C35" w:rsidP="00232E54">
      <w:pPr>
        <w:pStyle w:val="NormalWeb"/>
        <w:numPr>
          <w:ilvl w:val="0"/>
          <w:numId w:val="10"/>
        </w:numPr>
        <w:spacing w:line="360" w:lineRule="auto"/>
        <w:jc w:val="both"/>
      </w:pPr>
      <w:r w:rsidRPr="00CA6A69">
        <w:t>Monitoring and fidelity checklist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lastRenderedPageBreak/>
        <w:t>5. Procedures for conducting home visits</w:t>
      </w:r>
      <w:r w:rsidR="00362843"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 to deliver the intervention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Step 1: Preparation before the visit</w:t>
      </w:r>
    </w:p>
    <w:p w:rsidR="004B7C35" w:rsidRPr="00CA6A69" w:rsidRDefault="004B7C35" w:rsidP="00232E54">
      <w:pPr>
        <w:pStyle w:val="NormalWeb"/>
        <w:numPr>
          <w:ilvl w:val="0"/>
          <w:numId w:val="11"/>
        </w:numPr>
        <w:spacing w:line="360" w:lineRule="auto"/>
        <w:jc w:val="both"/>
      </w:pPr>
      <w:r w:rsidRPr="00CA6A69">
        <w:t>Review the theme-specific objectives and key messages.</w:t>
      </w:r>
    </w:p>
    <w:p w:rsidR="004B7C35" w:rsidRPr="00CA6A69" w:rsidRDefault="004B7C35" w:rsidP="00232E54">
      <w:pPr>
        <w:pStyle w:val="NormalWeb"/>
        <w:numPr>
          <w:ilvl w:val="0"/>
          <w:numId w:val="11"/>
        </w:numPr>
        <w:spacing w:line="360" w:lineRule="auto"/>
        <w:jc w:val="both"/>
      </w:pPr>
      <w:r w:rsidRPr="00CA6A69">
        <w:t>Ensure all implementation materials (flyers, guide, visuals) are ready.</w:t>
      </w:r>
    </w:p>
    <w:p w:rsidR="004B7C35" w:rsidRPr="00CA6A69" w:rsidRDefault="004B7C35" w:rsidP="00232E54">
      <w:pPr>
        <w:pStyle w:val="NormalWeb"/>
        <w:numPr>
          <w:ilvl w:val="0"/>
          <w:numId w:val="11"/>
        </w:numPr>
        <w:spacing w:line="360" w:lineRule="auto"/>
        <w:jc w:val="both"/>
      </w:pPr>
      <w:r w:rsidRPr="00CA6A69">
        <w:t>Identify households with adolescents aged 10–24 years.</w:t>
      </w:r>
    </w:p>
    <w:p w:rsidR="004B7C35" w:rsidRPr="00CA6A69" w:rsidRDefault="004B7C35" w:rsidP="00232E54">
      <w:pPr>
        <w:pStyle w:val="NormalWeb"/>
        <w:numPr>
          <w:ilvl w:val="0"/>
          <w:numId w:val="11"/>
        </w:numPr>
        <w:spacing w:line="360" w:lineRule="auto"/>
        <w:jc w:val="both"/>
      </w:pPr>
      <w:r w:rsidRPr="00CA6A69">
        <w:t>Inform households in advance about the planned visit.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Step 2: Introduction and rapport building</w:t>
      </w:r>
    </w:p>
    <w:p w:rsidR="004B7C35" w:rsidRPr="00CA6A69" w:rsidRDefault="004B7C35" w:rsidP="00232E54">
      <w:pPr>
        <w:pStyle w:val="NormalWeb"/>
        <w:numPr>
          <w:ilvl w:val="0"/>
          <w:numId w:val="12"/>
        </w:numPr>
        <w:spacing w:line="360" w:lineRule="auto"/>
        <w:jc w:val="both"/>
      </w:pPr>
      <w:r w:rsidRPr="00CA6A69">
        <w:t>Greet the household respectfully and introduce yourself and the purpose of the visit.</w:t>
      </w:r>
    </w:p>
    <w:p w:rsidR="004B7C35" w:rsidRPr="00CA6A69" w:rsidRDefault="004B7C35" w:rsidP="00232E54">
      <w:pPr>
        <w:pStyle w:val="NormalWeb"/>
        <w:numPr>
          <w:ilvl w:val="0"/>
          <w:numId w:val="12"/>
        </w:numPr>
        <w:spacing w:line="360" w:lineRule="auto"/>
        <w:jc w:val="both"/>
      </w:pPr>
      <w:r w:rsidRPr="00CA6A69">
        <w:t>Explain the relevance of adolescent nutrition and the specific theme.</w:t>
      </w:r>
    </w:p>
    <w:p w:rsidR="004B7C35" w:rsidRPr="00CA6A69" w:rsidRDefault="004B7C35" w:rsidP="00232E54">
      <w:pPr>
        <w:pStyle w:val="NormalWeb"/>
        <w:numPr>
          <w:ilvl w:val="0"/>
          <w:numId w:val="12"/>
        </w:numPr>
        <w:spacing w:line="360" w:lineRule="auto"/>
        <w:jc w:val="both"/>
      </w:pPr>
      <w:r w:rsidRPr="00CA6A69">
        <w:t>Encourage participation from adolescents and parents/guardians.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Step 3: Strategy-guided message delivery and engagement</w:t>
      </w:r>
    </w:p>
    <w:p w:rsidR="004B7C35" w:rsidRPr="00CA6A69" w:rsidRDefault="004B7C35" w:rsidP="00232E54">
      <w:pPr>
        <w:pStyle w:val="NormalWeb"/>
        <w:numPr>
          <w:ilvl w:val="0"/>
          <w:numId w:val="13"/>
        </w:numPr>
        <w:spacing w:line="360" w:lineRule="auto"/>
        <w:jc w:val="both"/>
      </w:pPr>
      <w:r w:rsidRPr="00CA6A69">
        <w:t xml:space="preserve">Present the theme-specific flyer and read the key message aloud in </w:t>
      </w:r>
      <w:r w:rsidRPr="00773F97">
        <w:rPr>
          <w:i/>
        </w:rPr>
        <w:t>Lusoga</w:t>
      </w:r>
      <w:r w:rsidRPr="00CA6A69">
        <w:t xml:space="preserve"> or English.</w:t>
      </w:r>
    </w:p>
    <w:p w:rsidR="004B7C35" w:rsidRPr="00CA6A69" w:rsidRDefault="004B7C35" w:rsidP="00232E54">
      <w:pPr>
        <w:pStyle w:val="NormalWeb"/>
        <w:numPr>
          <w:ilvl w:val="0"/>
          <w:numId w:val="13"/>
        </w:numPr>
        <w:spacing w:line="360" w:lineRule="auto"/>
        <w:jc w:val="both"/>
      </w:pPr>
      <w:r w:rsidRPr="00CA6A69">
        <w:rPr>
          <w:rStyle w:val="Strong"/>
        </w:rPr>
        <w:t>Modelling:</w:t>
      </w:r>
      <w:r w:rsidRPr="00CA6A69">
        <w:t xml:space="preserve"> Demonstrate recommended practices (e.g., handwashing, balanced meal portions, food preparation) using local examples.</w:t>
      </w:r>
    </w:p>
    <w:p w:rsidR="004B7C35" w:rsidRPr="00CA6A69" w:rsidRDefault="004B7C35" w:rsidP="00232E54">
      <w:pPr>
        <w:pStyle w:val="NormalWeb"/>
        <w:numPr>
          <w:ilvl w:val="0"/>
          <w:numId w:val="13"/>
        </w:numPr>
        <w:spacing w:line="360" w:lineRule="auto"/>
        <w:jc w:val="both"/>
      </w:pPr>
      <w:r w:rsidRPr="00CA6A69">
        <w:rPr>
          <w:rStyle w:val="Strong"/>
        </w:rPr>
        <w:t>Guided practice:</w:t>
      </w:r>
      <w:r w:rsidRPr="00CA6A69">
        <w:t xml:space="preserve"> Invite adolescents and parents to repeat demonstrations or practice identifying healthy foods available in the household.</w:t>
      </w:r>
    </w:p>
    <w:p w:rsidR="004B7C35" w:rsidRPr="00CA6A69" w:rsidRDefault="004B7C35" w:rsidP="00232E54">
      <w:pPr>
        <w:pStyle w:val="NormalWeb"/>
        <w:numPr>
          <w:ilvl w:val="0"/>
          <w:numId w:val="13"/>
        </w:numPr>
        <w:spacing w:line="360" w:lineRule="auto"/>
        <w:jc w:val="both"/>
      </w:pPr>
      <w:r w:rsidRPr="00CA6A69">
        <w:rPr>
          <w:rStyle w:val="Strong"/>
        </w:rPr>
        <w:t>Reinforcement:</w:t>
      </w:r>
      <w:r w:rsidRPr="00CA6A69">
        <w:t xml:space="preserve"> Provide positive feedback, gently correcting misconceptions.</w:t>
      </w:r>
    </w:p>
    <w:p w:rsidR="004B7C35" w:rsidRPr="00CA6A69" w:rsidRDefault="004B7C35" w:rsidP="00232E54">
      <w:pPr>
        <w:pStyle w:val="NormalWeb"/>
        <w:numPr>
          <w:ilvl w:val="0"/>
          <w:numId w:val="13"/>
        </w:numPr>
        <w:spacing w:line="360" w:lineRule="auto"/>
        <w:jc w:val="both"/>
      </w:pPr>
      <w:r w:rsidRPr="00CA6A69">
        <w:rPr>
          <w:rStyle w:val="Strong"/>
        </w:rPr>
        <w:t>Mobilization of social support:</w:t>
      </w:r>
      <w:r w:rsidRPr="00CA6A69">
        <w:t xml:space="preserve"> Encourage parents and siblings to support adolescents in applying new practices.</w:t>
      </w:r>
    </w:p>
    <w:p w:rsidR="004B7C35" w:rsidRPr="00CA6A69" w:rsidRDefault="004B7C35" w:rsidP="00232E54">
      <w:pPr>
        <w:pStyle w:val="NormalWeb"/>
        <w:numPr>
          <w:ilvl w:val="0"/>
          <w:numId w:val="13"/>
        </w:numPr>
        <w:spacing w:line="360" w:lineRule="auto"/>
        <w:jc w:val="both"/>
      </w:pPr>
      <w:r w:rsidRPr="00CA6A69">
        <w:t>Facilitate brief discussion to allow participants to share experiences and questions.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Step 4: Review and reinforcement</w:t>
      </w:r>
    </w:p>
    <w:p w:rsidR="004B7C35" w:rsidRPr="00CA6A69" w:rsidRDefault="004B7C35" w:rsidP="00232E54">
      <w:pPr>
        <w:pStyle w:val="NormalWeb"/>
        <w:numPr>
          <w:ilvl w:val="0"/>
          <w:numId w:val="14"/>
        </w:numPr>
        <w:spacing w:line="360" w:lineRule="auto"/>
        <w:jc w:val="both"/>
      </w:pPr>
      <w:r w:rsidRPr="00CA6A69">
        <w:t>Ask participants to summarize key messages.</w:t>
      </w:r>
    </w:p>
    <w:p w:rsidR="004B7C35" w:rsidRPr="00CA6A69" w:rsidRDefault="004B7C35" w:rsidP="00232E54">
      <w:pPr>
        <w:pStyle w:val="NormalWeb"/>
        <w:numPr>
          <w:ilvl w:val="0"/>
          <w:numId w:val="14"/>
        </w:numPr>
        <w:spacing w:line="360" w:lineRule="auto"/>
        <w:jc w:val="both"/>
      </w:pPr>
      <w:r w:rsidRPr="00CA6A69">
        <w:t>Reinforce learning using visual cues from the flyers.</w:t>
      </w:r>
    </w:p>
    <w:p w:rsidR="004B7C35" w:rsidRPr="00CA6A69" w:rsidRDefault="004B7C35" w:rsidP="00232E54">
      <w:pPr>
        <w:pStyle w:val="NormalWeb"/>
        <w:numPr>
          <w:ilvl w:val="0"/>
          <w:numId w:val="14"/>
        </w:numPr>
        <w:spacing w:line="360" w:lineRule="auto"/>
        <w:jc w:val="both"/>
      </w:pPr>
      <w:r w:rsidRPr="00CA6A69">
        <w:t>Agree on one or two feasible household actions to implement before the next visit.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lastRenderedPageBreak/>
        <w:t>Step 5: Recording and follow-up</w:t>
      </w:r>
    </w:p>
    <w:p w:rsidR="004B7C35" w:rsidRPr="00CA6A69" w:rsidRDefault="004B7C35" w:rsidP="00232E54">
      <w:pPr>
        <w:pStyle w:val="NormalWeb"/>
        <w:numPr>
          <w:ilvl w:val="0"/>
          <w:numId w:val="15"/>
        </w:numPr>
        <w:spacing w:line="360" w:lineRule="auto"/>
        <w:jc w:val="both"/>
      </w:pPr>
      <w:r w:rsidRPr="00CA6A69">
        <w:t>Complete the attendance and fidelity checklist after each session.</w:t>
      </w:r>
    </w:p>
    <w:p w:rsidR="004B7C35" w:rsidRPr="00CA6A69" w:rsidRDefault="004B7C35" w:rsidP="00232E54">
      <w:pPr>
        <w:pStyle w:val="NormalWeb"/>
        <w:numPr>
          <w:ilvl w:val="0"/>
          <w:numId w:val="15"/>
        </w:numPr>
        <w:spacing w:line="360" w:lineRule="auto"/>
        <w:jc w:val="both"/>
      </w:pPr>
      <w:r w:rsidRPr="00CA6A69">
        <w:t>Note households requiring additional support or follow-up.</w:t>
      </w:r>
    </w:p>
    <w:p w:rsidR="004B7C35" w:rsidRPr="00CA6A69" w:rsidRDefault="004B7C35" w:rsidP="00232E54">
      <w:pPr>
        <w:pStyle w:val="NormalWeb"/>
        <w:numPr>
          <w:ilvl w:val="0"/>
          <w:numId w:val="15"/>
        </w:numPr>
        <w:spacing w:line="360" w:lineRule="auto"/>
        <w:jc w:val="both"/>
      </w:pPr>
      <w:r w:rsidRPr="00CA6A69">
        <w:t>Confirm timing and topic for the next visit.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6. Monitoring and supervision</w:t>
      </w:r>
    </w:p>
    <w:p w:rsidR="004B7C35" w:rsidRPr="00CA6A69" w:rsidRDefault="004B7C35" w:rsidP="00232E54">
      <w:pPr>
        <w:pStyle w:val="NormalWeb"/>
        <w:spacing w:line="360" w:lineRule="auto"/>
        <w:jc w:val="both"/>
      </w:pPr>
      <w:r w:rsidRPr="00CA6A69">
        <w:t xml:space="preserve">Supervisors will observe at least one session per CHW per month using a standardized checklist assessing </w:t>
      </w:r>
      <w:r w:rsidRPr="00CA6A69">
        <w:rPr>
          <w:rStyle w:val="Strong"/>
          <w:b w:val="0"/>
        </w:rPr>
        <w:t>fidelity to implementation strategies</w:t>
      </w:r>
      <w:r w:rsidRPr="00CA6A69">
        <w:rPr>
          <w:b/>
        </w:rPr>
        <w:t>,</w:t>
      </w:r>
      <w:r w:rsidRPr="00CA6A69">
        <w:t xml:space="preserve"> correct use of visual tools, household engagement, and message accuracy. Feedback will be provided immediately after observation to reinforce effective delivery and address challenges.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7. Documentation and reporting</w:t>
      </w:r>
    </w:p>
    <w:p w:rsidR="004B7C35" w:rsidRPr="00CA6A69" w:rsidRDefault="004B7C35" w:rsidP="00232E54">
      <w:pPr>
        <w:pStyle w:val="NormalWeb"/>
        <w:spacing w:line="360" w:lineRule="auto"/>
        <w:jc w:val="both"/>
      </w:pPr>
      <w:r w:rsidRPr="00CA6A69">
        <w:t>CHWs will maintain accurate records of all visits, including households reached, themes delivered, and observed responses. Monthly summaries will be submitted to the supervising health facility for review and feedback.</w:t>
      </w:r>
    </w:p>
    <w:p w:rsidR="004B7C35" w:rsidRPr="00CA6A69" w:rsidRDefault="004B7C35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69">
        <w:rPr>
          <w:rStyle w:val="Strong"/>
          <w:rFonts w:ascii="Times New Roman" w:hAnsi="Times New Roman" w:cs="Times New Roman"/>
          <w:bCs w:val="0"/>
          <w:sz w:val="24"/>
          <w:szCs w:val="24"/>
        </w:rPr>
        <w:t>8. Ethics and professional conduct</w:t>
      </w:r>
    </w:p>
    <w:p w:rsidR="004B7C35" w:rsidRPr="00CA6A69" w:rsidRDefault="004B7C35" w:rsidP="00232E54">
      <w:pPr>
        <w:pStyle w:val="NormalWeb"/>
        <w:numPr>
          <w:ilvl w:val="0"/>
          <w:numId w:val="16"/>
        </w:numPr>
        <w:spacing w:line="360" w:lineRule="auto"/>
        <w:jc w:val="both"/>
      </w:pPr>
      <w:r w:rsidRPr="00CA6A69">
        <w:t>Obtain consent before initiating each session.</w:t>
      </w:r>
    </w:p>
    <w:p w:rsidR="004B7C35" w:rsidRPr="00CA6A69" w:rsidRDefault="004B7C35" w:rsidP="00232E54">
      <w:pPr>
        <w:pStyle w:val="NormalWeb"/>
        <w:numPr>
          <w:ilvl w:val="0"/>
          <w:numId w:val="16"/>
        </w:numPr>
        <w:spacing w:line="360" w:lineRule="auto"/>
        <w:jc w:val="both"/>
      </w:pPr>
      <w:r w:rsidRPr="00CA6A69">
        <w:t>Respect household privacy and confidentiality.</w:t>
      </w:r>
    </w:p>
    <w:p w:rsidR="004B7C35" w:rsidRPr="00CA6A69" w:rsidRDefault="004B7C35" w:rsidP="00232E54">
      <w:pPr>
        <w:pStyle w:val="NormalWeb"/>
        <w:numPr>
          <w:ilvl w:val="0"/>
          <w:numId w:val="16"/>
        </w:numPr>
        <w:spacing w:line="360" w:lineRule="auto"/>
        <w:jc w:val="both"/>
      </w:pPr>
      <w:r w:rsidRPr="00CA6A69">
        <w:t>Use respectful, inclusive language.</w:t>
      </w:r>
    </w:p>
    <w:p w:rsidR="004B7C35" w:rsidRPr="00CA6A69" w:rsidRDefault="004B7C35" w:rsidP="00232E54">
      <w:pPr>
        <w:pStyle w:val="NormalWeb"/>
        <w:numPr>
          <w:ilvl w:val="0"/>
          <w:numId w:val="16"/>
        </w:numPr>
        <w:spacing w:line="360" w:lineRule="auto"/>
        <w:jc w:val="both"/>
      </w:pPr>
      <w:r w:rsidRPr="00CA6A69">
        <w:t xml:space="preserve">Avoid political or religious discussions unrelated to nutrition </w:t>
      </w:r>
      <w:r w:rsidR="00555906">
        <w:rPr>
          <w:lang w:val="en-US"/>
        </w:rPr>
        <w:t xml:space="preserve">and health </w:t>
      </w:r>
      <w:bookmarkStart w:id="0" w:name="_GoBack"/>
      <w:bookmarkEnd w:id="0"/>
      <w:r w:rsidRPr="00CA6A69">
        <w:t>education.</w:t>
      </w:r>
    </w:p>
    <w:p w:rsidR="00CE1DAA" w:rsidRPr="00CA6A69" w:rsidRDefault="00CE1DAA" w:rsidP="00232E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1DAA" w:rsidRPr="00CA6A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73390D"/>
    <w:multiLevelType w:val="multilevel"/>
    <w:tmpl w:val="C2C0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144C5"/>
    <w:multiLevelType w:val="multilevel"/>
    <w:tmpl w:val="F9DA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80C73"/>
    <w:multiLevelType w:val="multilevel"/>
    <w:tmpl w:val="A1F0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114F4C"/>
    <w:multiLevelType w:val="multilevel"/>
    <w:tmpl w:val="C66A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61418"/>
    <w:multiLevelType w:val="multilevel"/>
    <w:tmpl w:val="044C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63346"/>
    <w:multiLevelType w:val="multilevel"/>
    <w:tmpl w:val="A642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8791B"/>
    <w:multiLevelType w:val="multilevel"/>
    <w:tmpl w:val="994E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0"/>
  </w:num>
  <w:num w:numId="13">
    <w:abstractNumId w:val="9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2E54"/>
    <w:rsid w:val="00276957"/>
    <w:rsid w:val="00285D1C"/>
    <w:rsid w:val="00294203"/>
    <w:rsid w:val="0029639D"/>
    <w:rsid w:val="002C65CA"/>
    <w:rsid w:val="00326F90"/>
    <w:rsid w:val="00351773"/>
    <w:rsid w:val="00362843"/>
    <w:rsid w:val="00410BA4"/>
    <w:rsid w:val="004B7C35"/>
    <w:rsid w:val="00555906"/>
    <w:rsid w:val="0059422E"/>
    <w:rsid w:val="00626888"/>
    <w:rsid w:val="00651E57"/>
    <w:rsid w:val="006A0060"/>
    <w:rsid w:val="00717DB7"/>
    <w:rsid w:val="00773F97"/>
    <w:rsid w:val="00794D29"/>
    <w:rsid w:val="00895760"/>
    <w:rsid w:val="008D716D"/>
    <w:rsid w:val="00976BEE"/>
    <w:rsid w:val="00AA1D8D"/>
    <w:rsid w:val="00AF6362"/>
    <w:rsid w:val="00B067A7"/>
    <w:rsid w:val="00B15276"/>
    <w:rsid w:val="00B2575E"/>
    <w:rsid w:val="00B47730"/>
    <w:rsid w:val="00B8306B"/>
    <w:rsid w:val="00BC42CE"/>
    <w:rsid w:val="00BE0CDB"/>
    <w:rsid w:val="00C04F0F"/>
    <w:rsid w:val="00C37DEA"/>
    <w:rsid w:val="00CA6A69"/>
    <w:rsid w:val="00CB0664"/>
    <w:rsid w:val="00CE1DAA"/>
    <w:rsid w:val="00D013EF"/>
    <w:rsid w:val="00D11588"/>
    <w:rsid w:val="00D22FA2"/>
    <w:rsid w:val="00D71DA7"/>
    <w:rsid w:val="00DA7FE4"/>
    <w:rsid w:val="00E55679"/>
    <w:rsid w:val="00EE4D89"/>
    <w:rsid w:val="00F12730"/>
    <w:rsid w:val="00F56582"/>
    <w:rsid w:val="00F6131B"/>
    <w:rsid w:val="00F77CC2"/>
    <w:rsid w:val="00FC0C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E63A0"/>
  <w14:defaultImageDpi w14:val="300"/>
  <w15:docId w15:val="{8D3B23C1-4D3F-412D-874C-BEE4EB85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B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G"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62DEB5-1193-4A5B-9A86-E9C85377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Thomas Buyinza</cp:lastModifiedBy>
  <cp:revision>55</cp:revision>
  <dcterms:created xsi:type="dcterms:W3CDTF">2025-10-06T16:12:00Z</dcterms:created>
  <dcterms:modified xsi:type="dcterms:W3CDTF">2025-12-20T15:43:00Z</dcterms:modified>
  <cp:category/>
</cp:coreProperties>
</file>