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D9643" w14:textId="1E6B5335" w:rsidR="008826CA" w:rsidRPr="00A70D7A" w:rsidRDefault="008826CA" w:rsidP="004B753C">
      <w:pPr>
        <w:tabs>
          <w:tab w:val="left" w:pos="2185"/>
        </w:tabs>
        <w:jc w:val="both"/>
        <w:rPr>
          <w:rFonts w:ascii="EB Garamond" w:hAnsi="EB Garamond"/>
          <w:b/>
          <w:bCs/>
          <w:sz w:val="32"/>
          <w:szCs w:val="32"/>
        </w:rPr>
      </w:pPr>
      <w:r w:rsidRPr="00A70D7A">
        <w:rPr>
          <w:rFonts w:ascii="EB Garamond" w:hAnsi="EB Garamond"/>
          <w:b/>
          <w:bCs/>
          <w:sz w:val="32"/>
          <w:szCs w:val="32"/>
        </w:rPr>
        <w:t>Suppleme</w:t>
      </w:r>
      <w:r w:rsidR="00411B15" w:rsidRPr="00A70D7A">
        <w:rPr>
          <w:rFonts w:ascii="EB Garamond" w:hAnsi="EB Garamond"/>
          <w:b/>
          <w:bCs/>
          <w:sz w:val="32"/>
          <w:szCs w:val="32"/>
        </w:rPr>
        <w:t>n</w:t>
      </w:r>
      <w:r w:rsidRPr="00A70D7A">
        <w:rPr>
          <w:rFonts w:ascii="EB Garamond" w:hAnsi="EB Garamond"/>
          <w:b/>
          <w:bCs/>
          <w:sz w:val="32"/>
          <w:szCs w:val="32"/>
        </w:rPr>
        <w:t xml:space="preserve">tary </w:t>
      </w:r>
      <w:r w:rsidR="0064749D" w:rsidRPr="00A70D7A">
        <w:rPr>
          <w:rFonts w:ascii="EB Garamond" w:hAnsi="EB Garamond"/>
          <w:b/>
          <w:bCs/>
          <w:sz w:val="32"/>
          <w:szCs w:val="32"/>
        </w:rPr>
        <w:t>figures</w:t>
      </w:r>
    </w:p>
    <w:p w14:paraId="2E8C79BA" w14:textId="77777777" w:rsidR="0063352C" w:rsidRPr="00A70D7A" w:rsidRDefault="0063352C" w:rsidP="004B753C">
      <w:pPr>
        <w:tabs>
          <w:tab w:val="left" w:pos="2185"/>
        </w:tabs>
        <w:jc w:val="both"/>
        <w:rPr>
          <w:rFonts w:ascii="EB Garamond" w:hAnsi="EB Garamond"/>
          <w:b/>
          <w:bCs/>
        </w:rPr>
      </w:pPr>
    </w:p>
    <w:p w14:paraId="2906F761" w14:textId="6E079716" w:rsidR="001165FC" w:rsidRPr="00A70D7A" w:rsidRDefault="0063352C" w:rsidP="004B753C">
      <w:pPr>
        <w:jc w:val="both"/>
        <w:rPr>
          <w:rFonts w:ascii="EB Garamond" w:hAnsi="EB Garamond"/>
          <w:lang w:eastAsia="en-GB"/>
        </w:rPr>
      </w:pPr>
      <w:r w:rsidRPr="00A70D7A">
        <w:rPr>
          <w:rFonts w:ascii="EB Garamond" w:hAnsi="EB Garamond"/>
          <w:noProof/>
          <w:lang w:eastAsia="en-GB"/>
        </w:rPr>
        <w:drawing>
          <wp:inline distT="0" distB="0" distL="0" distR="0" wp14:anchorId="343C0DA5" wp14:editId="320E7E8F">
            <wp:extent cx="5727700" cy="3691890"/>
            <wp:effectExtent l="0" t="0" r="0" b="3810"/>
            <wp:docPr id="574473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73259" name=""/>
                    <pic:cNvPicPr/>
                  </pic:nvPicPr>
                  <pic:blipFill>
                    <a:blip r:embed="rId7"/>
                    <a:stretch>
                      <a:fillRect/>
                    </a:stretch>
                  </pic:blipFill>
                  <pic:spPr>
                    <a:xfrm>
                      <a:off x="0" y="0"/>
                      <a:ext cx="5727700" cy="3691890"/>
                    </a:xfrm>
                    <a:prstGeom prst="rect">
                      <a:avLst/>
                    </a:prstGeom>
                  </pic:spPr>
                </pic:pic>
              </a:graphicData>
            </a:graphic>
          </wp:inline>
        </w:drawing>
      </w:r>
    </w:p>
    <w:p w14:paraId="679D3B06" w14:textId="77777777" w:rsidR="001165FC" w:rsidRPr="00A70D7A" w:rsidRDefault="001165FC" w:rsidP="004B753C">
      <w:pPr>
        <w:jc w:val="both"/>
        <w:rPr>
          <w:rFonts w:ascii="EB Garamond" w:hAnsi="EB Garamond"/>
          <w:lang w:val="en-GB"/>
        </w:rPr>
      </w:pPr>
    </w:p>
    <w:p w14:paraId="18F5440B" w14:textId="023BD4D9" w:rsidR="004F2757" w:rsidRPr="00A70D7A" w:rsidRDefault="0063352C" w:rsidP="004B753C">
      <w:pPr>
        <w:jc w:val="both"/>
        <w:rPr>
          <w:rFonts w:ascii="EB Garamond" w:hAnsi="EB Garamond"/>
        </w:rPr>
      </w:pPr>
      <w:r w:rsidRPr="00A70D7A">
        <w:rPr>
          <w:rFonts w:ascii="EB Garamond" w:hAnsi="EB Garamond"/>
          <w:b/>
          <w:bCs/>
        </w:rPr>
        <w:t>Figure S1</w:t>
      </w:r>
      <w:r w:rsidRPr="00A70D7A">
        <w:rPr>
          <w:rFonts w:ascii="EB Garamond" w:hAnsi="EB Garamond"/>
          <w:b/>
          <w:bCs/>
          <w:lang w:val="en-GB"/>
        </w:rPr>
        <w:t xml:space="preserve">. Validation of monoallelic 7.9 KB deletion </w:t>
      </w:r>
      <w:r w:rsidR="00B551B4" w:rsidRPr="00A70D7A">
        <w:rPr>
          <w:rFonts w:ascii="EB Garamond" w:hAnsi="EB Garamond"/>
          <w:b/>
          <w:bCs/>
          <w:lang w:val="en-GB"/>
        </w:rPr>
        <w:t xml:space="preserve">of exons 4–7 </w:t>
      </w:r>
      <w:r w:rsidRPr="00A70D7A">
        <w:rPr>
          <w:rFonts w:ascii="EB Garamond" w:hAnsi="EB Garamond"/>
          <w:b/>
          <w:bCs/>
          <w:lang w:val="en-GB"/>
        </w:rPr>
        <w:t xml:space="preserve">in </w:t>
      </w:r>
      <w:r w:rsidRPr="00A70D7A">
        <w:rPr>
          <w:rFonts w:ascii="EB Garamond" w:hAnsi="EB Garamond"/>
          <w:b/>
          <w:bCs/>
          <w:i/>
          <w:iCs/>
          <w:lang w:val="en-GB"/>
        </w:rPr>
        <w:t>BRD1</w:t>
      </w:r>
      <w:r w:rsidRPr="00A70D7A">
        <w:rPr>
          <w:rFonts w:ascii="EB Garamond" w:hAnsi="EB Garamond"/>
          <w:b/>
          <w:bCs/>
          <w:lang w:val="en-GB"/>
        </w:rPr>
        <w:t xml:space="preserve">. </w:t>
      </w:r>
      <w:r w:rsidRPr="00A70D7A">
        <w:rPr>
          <w:rFonts w:ascii="EB Garamond" w:hAnsi="EB Garamond"/>
          <w:b/>
          <w:bCs/>
        </w:rPr>
        <w:t>A.</w:t>
      </w:r>
      <w:r w:rsidRPr="00A70D7A">
        <w:rPr>
          <w:rFonts w:ascii="EB Garamond" w:hAnsi="EB Garamond"/>
        </w:rPr>
        <w:t xml:space="preserve"> </w:t>
      </w:r>
      <w:r w:rsidR="00947D09" w:rsidRPr="00A70D7A">
        <w:rPr>
          <w:rFonts w:ascii="EB Garamond" w:hAnsi="EB Garamond"/>
        </w:rPr>
        <w:t>PCR primer</w:t>
      </w:r>
      <w:r w:rsidRPr="00A70D7A">
        <w:rPr>
          <w:rFonts w:ascii="EB Garamond" w:hAnsi="EB Garamond"/>
        </w:rPr>
        <w:t xml:space="preserve"> positions</w:t>
      </w:r>
      <w:r w:rsidR="00947D09" w:rsidRPr="00A70D7A">
        <w:rPr>
          <w:rFonts w:ascii="EB Garamond" w:hAnsi="EB Garamond"/>
        </w:rPr>
        <w:t xml:space="preserve"> </w:t>
      </w:r>
      <w:r w:rsidRPr="00A70D7A">
        <w:rPr>
          <w:rFonts w:ascii="EB Garamond" w:hAnsi="EB Garamond"/>
        </w:rPr>
        <w:t xml:space="preserve">flanking expected CRISPR cut sites on each side </w:t>
      </w:r>
      <w:r w:rsidR="00B551B4" w:rsidRPr="00A70D7A">
        <w:rPr>
          <w:rFonts w:ascii="EB Garamond" w:hAnsi="EB Garamond"/>
        </w:rPr>
        <w:t xml:space="preserve">(yellow lines) </w:t>
      </w:r>
      <w:r w:rsidRPr="00A70D7A">
        <w:rPr>
          <w:rFonts w:ascii="EB Garamond" w:hAnsi="EB Garamond"/>
        </w:rPr>
        <w:t xml:space="preserve">of the desired 7.9 KB deletion. </w:t>
      </w:r>
      <w:r w:rsidRPr="00A70D7A">
        <w:rPr>
          <w:rFonts w:ascii="EB Garamond" w:hAnsi="EB Garamond"/>
          <w:b/>
          <w:bCs/>
        </w:rPr>
        <w:t>B.</w:t>
      </w:r>
      <w:r w:rsidRPr="00A70D7A">
        <w:rPr>
          <w:rFonts w:ascii="EB Garamond" w:hAnsi="EB Garamond"/>
        </w:rPr>
        <w:t xml:space="preserve"> </w:t>
      </w:r>
      <w:r w:rsidR="004F2757" w:rsidRPr="00A70D7A">
        <w:rPr>
          <w:rFonts w:ascii="EB Garamond" w:hAnsi="EB Garamond"/>
        </w:rPr>
        <w:t>PCR validation of deletion</w:t>
      </w:r>
      <w:r w:rsidRPr="00A70D7A">
        <w:rPr>
          <w:rFonts w:ascii="EB Garamond" w:hAnsi="EB Garamond"/>
        </w:rPr>
        <w:t xml:space="preserve">. </w:t>
      </w:r>
      <w:r w:rsidR="00B551B4" w:rsidRPr="00A70D7A">
        <w:rPr>
          <w:rFonts w:ascii="EB Garamond" w:hAnsi="EB Garamond"/>
        </w:rPr>
        <w:t>P</w:t>
      </w:r>
      <w:r w:rsidRPr="00A70D7A">
        <w:rPr>
          <w:rFonts w:ascii="EB Garamond" w:hAnsi="EB Garamond"/>
        </w:rPr>
        <w:t>rimer pairs 1+6 and B+E</w:t>
      </w:r>
      <w:r w:rsidR="00B551B4" w:rsidRPr="00A70D7A">
        <w:rPr>
          <w:rFonts w:ascii="EB Garamond" w:hAnsi="EB Garamond"/>
        </w:rPr>
        <w:t xml:space="preserve"> were designed to produce PCR products over the desired cut sites, </w:t>
      </w:r>
      <w:r w:rsidR="007E2AEC" w:rsidRPr="00A70D7A">
        <w:rPr>
          <w:rFonts w:ascii="EB Garamond" w:hAnsi="EB Garamond"/>
        </w:rPr>
        <w:t>if</w:t>
      </w:r>
      <w:r w:rsidR="00B551B4" w:rsidRPr="00A70D7A">
        <w:rPr>
          <w:rFonts w:ascii="EB Garamond" w:hAnsi="EB Garamond"/>
        </w:rPr>
        <w:t xml:space="preserve"> no deletion has taken place</w:t>
      </w:r>
      <w:r w:rsidR="007E2AEC" w:rsidRPr="00A70D7A">
        <w:rPr>
          <w:rFonts w:ascii="EB Garamond" w:hAnsi="EB Garamond"/>
        </w:rPr>
        <w:t xml:space="preserve">, thus </w:t>
      </w:r>
      <w:r w:rsidR="00B551B4" w:rsidRPr="00A70D7A">
        <w:rPr>
          <w:rFonts w:ascii="EB Garamond" w:hAnsi="EB Garamond"/>
        </w:rPr>
        <w:t>produc</w:t>
      </w:r>
      <w:r w:rsidR="007E2AEC" w:rsidRPr="00A70D7A">
        <w:rPr>
          <w:rFonts w:ascii="EB Garamond" w:hAnsi="EB Garamond"/>
        </w:rPr>
        <w:t>ing</w:t>
      </w:r>
      <w:r w:rsidR="00B551B4" w:rsidRPr="00A70D7A">
        <w:rPr>
          <w:rFonts w:ascii="EB Garamond" w:hAnsi="EB Garamond"/>
        </w:rPr>
        <w:t xml:space="preserve"> one PCR product per primer pair </w:t>
      </w:r>
      <w:r w:rsidR="007E2AEC" w:rsidRPr="00A70D7A">
        <w:rPr>
          <w:rFonts w:ascii="EB Garamond" w:hAnsi="EB Garamond"/>
        </w:rPr>
        <w:t>for</w:t>
      </w:r>
      <w:r w:rsidR="00B551B4" w:rsidRPr="00A70D7A">
        <w:rPr>
          <w:rFonts w:ascii="EB Garamond" w:hAnsi="EB Garamond"/>
        </w:rPr>
        <w:t xml:space="preserve"> </w:t>
      </w:r>
      <w:r w:rsidR="007E2AEC" w:rsidRPr="00A70D7A">
        <w:rPr>
          <w:rFonts w:ascii="EB Garamond" w:hAnsi="EB Garamond"/>
        </w:rPr>
        <w:t xml:space="preserve">the </w:t>
      </w:r>
      <w:r w:rsidR="00B551B4" w:rsidRPr="00A70D7A">
        <w:rPr>
          <w:rFonts w:ascii="EB Garamond" w:hAnsi="EB Garamond"/>
        </w:rPr>
        <w:t xml:space="preserve">WT allele. Primer pair 1+E were designed to produce a PCR product over the desired deletion, </w:t>
      </w:r>
      <w:r w:rsidR="007E2AEC" w:rsidRPr="00A70D7A">
        <w:rPr>
          <w:rFonts w:ascii="EB Garamond" w:hAnsi="EB Garamond"/>
        </w:rPr>
        <w:t xml:space="preserve">if </w:t>
      </w:r>
      <w:r w:rsidR="00B551B4" w:rsidRPr="00A70D7A">
        <w:rPr>
          <w:rFonts w:ascii="EB Garamond" w:hAnsi="EB Garamond"/>
        </w:rPr>
        <w:t>the deletion has taken place</w:t>
      </w:r>
      <w:r w:rsidR="007E2AEC" w:rsidRPr="00A70D7A">
        <w:rPr>
          <w:rFonts w:ascii="EB Garamond" w:hAnsi="EB Garamond"/>
        </w:rPr>
        <w:t>, thus producing one PCR product for the BRD1 deletion allele. On the gel, we see two PCR bands for the WT allele and only one PCR band for the deletion allele of their expected product size, confirming heterozygosity in the clone</w:t>
      </w:r>
      <w:r w:rsidR="00F32DA6">
        <w:rPr>
          <w:rFonts w:ascii="EB Garamond" w:hAnsi="EB Garamond"/>
        </w:rPr>
        <w:t>s</w:t>
      </w:r>
      <w:r w:rsidR="007E2AEC" w:rsidRPr="00A70D7A">
        <w:rPr>
          <w:rFonts w:ascii="EB Garamond" w:hAnsi="EB Garamond"/>
        </w:rPr>
        <w:t>.</w:t>
      </w:r>
      <w:r w:rsidR="00561FF1" w:rsidRPr="00A70D7A">
        <w:rPr>
          <w:rFonts w:ascii="EB Garamond" w:hAnsi="EB Garamond"/>
        </w:rPr>
        <w:t xml:space="preserve"> </w:t>
      </w:r>
      <w:r w:rsidR="007E2AEC" w:rsidRPr="00A70D7A">
        <w:rPr>
          <w:rFonts w:ascii="EB Garamond" w:hAnsi="EB Garamond"/>
        </w:rPr>
        <w:t>Validation of clonality and allele-specificity were confirmed</w:t>
      </w:r>
      <w:r w:rsidR="00B842FF">
        <w:rPr>
          <w:rFonts w:ascii="EB Garamond" w:hAnsi="EB Garamond"/>
        </w:rPr>
        <w:t xml:space="preserve"> in the G10 clone</w:t>
      </w:r>
      <w:r w:rsidR="007E2AEC" w:rsidRPr="00A70D7A">
        <w:rPr>
          <w:rFonts w:ascii="EB Garamond" w:hAnsi="EB Garamond"/>
        </w:rPr>
        <w:t xml:space="preserve"> by Sanger sequencing (Figure 1A)</w:t>
      </w:r>
      <w:r w:rsidR="00B842FF">
        <w:rPr>
          <w:rFonts w:ascii="EB Garamond" w:hAnsi="EB Garamond"/>
        </w:rPr>
        <w:t>, and</w:t>
      </w:r>
      <w:r w:rsidR="00DE1AA2">
        <w:rPr>
          <w:rFonts w:ascii="EB Garamond" w:hAnsi="EB Garamond"/>
        </w:rPr>
        <w:t xml:space="preserve"> hPSCs from this clone only was used for all experiments of this study.</w:t>
      </w:r>
    </w:p>
    <w:p w14:paraId="244647F4" w14:textId="10884E6F" w:rsidR="001165FC" w:rsidRPr="00A70D7A" w:rsidRDefault="00987D0A" w:rsidP="004B753C">
      <w:pPr>
        <w:jc w:val="both"/>
        <w:rPr>
          <w:rFonts w:ascii="EB Garamond" w:hAnsi="EB Garamond"/>
          <w:lang w:eastAsia="en-GB"/>
        </w:rPr>
      </w:pPr>
      <w:r w:rsidRPr="00A70D7A">
        <w:rPr>
          <w:rFonts w:ascii="EB Garamond" w:hAnsi="EB Garamond"/>
          <w:noProof/>
          <w:lang w:eastAsia="en-GB"/>
        </w:rPr>
        <w:lastRenderedPageBreak/>
        <w:drawing>
          <wp:inline distT="0" distB="0" distL="0" distR="0" wp14:anchorId="5835C4FA" wp14:editId="3A53B6AB">
            <wp:extent cx="5762847" cy="6680943"/>
            <wp:effectExtent l="0" t="0" r="0" b="0"/>
            <wp:docPr id="1164520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20279" name=""/>
                    <pic:cNvPicPr/>
                  </pic:nvPicPr>
                  <pic:blipFill>
                    <a:blip r:embed="rId8"/>
                    <a:stretch>
                      <a:fillRect/>
                    </a:stretch>
                  </pic:blipFill>
                  <pic:spPr>
                    <a:xfrm>
                      <a:off x="0" y="0"/>
                      <a:ext cx="5792988" cy="6715886"/>
                    </a:xfrm>
                    <a:prstGeom prst="rect">
                      <a:avLst/>
                    </a:prstGeom>
                  </pic:spPr>
                </pic:pic>
              </a:graphicData>
            </a:graphic>
          </wp:inline>
        </w:drawing>
      </w:r>
    </w:p>
    <w:p w14:paraId="77C4E9CA" w14:textId="273D884B" w:rsidR="004B753C" w:rsidRPr="00A70D7A" w:rsidRDefault="004B753C" w:rsidP="004B753C">
      <w:pPr>
        <w:pStyle w:val="Caption"/>
        <w:jc w:val="both"/>
        <w:rPr>
          <w:rFonts w:ascii="EB Garamond" w:hAnsi="EB Garamond"/>
          <w:b/>
          <w:bCs/>
          <w:i w:val="0"/>
          <w:iCs w:val="0"/>
          <w:color w:val="auto"/>
          <w:sz w:val="24"/>
          <w:szCs w:val="24"/>
        </w:rPr>
      </w:pPr>
    </w:p>
    <w:p w14:paraId="63811D33" w14:textId="43C9C0DE" w:rsidR="004F1480" w:rsidRPr="00A27548" w:rsidRDefault="004F1480" w:rsidP="004B753C">
      <w:pPr>
        <w:pStyle w:val="Caption"/>
        <w:jc w:val="both"/>
        <w:rPr>
          <w:rFonts w:ascii="EB Garamond" w:hAnsi="EB Garamond"/>
          <w:i w:val="0"/>
          <w:iCs w:val="0"/>
          <w:color w:val="auto"/>
          <w:sz w:val="24"/>
          <w:szCs w:val="24"/>
          <w:lang w:val="en-GB"/>
        </w:rPr>
      </w:pPr>
      <w:r w:rsidRPr="00A70D7A">
        <w:rPr>
          <w:rFonts w:ascii="EB Garamond" w:hAnsi="EB Garamond"/>
          <w:b/>
          <w:bCs/>
          <w:i w:val="0"/>
          <w:iCs w:val="0"/>
          <w:color w:val="auto"/>
          <w:sz w:val="24"/>
          <w:szCs w:val="24"/>
        </w:rPr>
        <w:t>Figure S2</w:t>
      </w:r>
      <w:r w:rsidRPr="00A70D7A">
        <w:rPr>
          <w:rFonts w:ascii="EB Garamond" w:hAnsi="EB Garamond"/>
          <w:b/>
          <w:bCs/>
          <w:i w:val="0"/>
          <w:iCs w:val="0"/>
          <w:color w:val="auto"/>
          <w:sz w:val="24"/>
          <w:szCs w:val="24"/>
          <w:lang w:val="en-GB"/>
        </w:rPr>
        <w:t xml:space="preserve">. </w:t>
      </w:r>
      <w:r w:rsidRPr="00A27548">
        <w:rPr>
          <w:rFonts w:ascii="EB Garamond" w:hAnsi="EB Garamond"/>
          <w:i w:val="0"/>
          <w:iCs w:val="0"/>
          <w:color w:val="auto"/>
          <w:sz w:val="24"/>
          <w:szCs w:val="24"/>
          <w:lang w:val="en-GB"/>
        </w:rPr>
        <w:t>Bright</w:t>
      </w:r>
      <w:r w:rsidR="00825E06" w:rsidRPr="00A27548">
        <w:rPr>
          <w:rFonts w:ascii="EB Garamond" w:hAnsi="EB Garamond"/>
          <w:i w:val="0"/>
          <w:iCs w:val="0"/>
          <w:color w:val="auto"/>
          <w:sz w:val="24"/>
          <w:szCs w:val="24"/>
          <w:lang w:val="en-GB"/>
        </w:rPr>
        <w:t>-</w:t>
      </w:r>
      <w:r w:rsidRPr="00A27548">
        <w:rPr>
          <w:rFonts w:ascii="EB Garamond" w:hAnsi="EB Garamond"/>
          <w:i w:val="0"/>
          <w:iCs w:val="0"/>
          <w:color w:val="auto"/>
          <w:sz w:val="24"/>
          <w:szCs w:val="24"/>
          <w:lang w:val="en-GB"/>
        </w:rPr>
        <w:t xml:space="preserve">field (BF) and </w:t>
      </w:r>
      <w:r w:rsidR="00825E06" w:rsidRPr="00A27548">
        <w:rPr>
          <w:rFonts w:ascii="EB Garamond" w:hAnsi="EB Garamond"/>
          <w:i w:val="0"/>
          <w:iCs w:val="0"/>
          <w:color w:val="auto"/>
          <w:sz w:val="24"/>
          <w:szCs w:val="24"/>
          <w:lang w:val="en-GB"/>
        </w:rPr>
        <w:t>FITC (</w:t>
      </w:r>
      <w:r w:rsidRPr="00A27548">
        <w:rPr>
          <w:rFonts w:ascii="EB Garamond" w:hAnsi="EB Garamond"/>
          <w:i w:val="0"/>
          <w:iCs w:val="0"/>
          <w:color w:val="auto"/>
          <w:sz w:val="24"/>
          <w:szCs w:val="24"/>
          <w:lang w:val="en-GB"/>
        </w:rPr>
        <w:t>GFP</w:t>
      </w:r>
      <w:r w:rsidR="00825E06" w:rsidRPr="00A27548">
        <w:rPr>
          <w:rFonts w:ascii="EB Garamond" w:hAnsi="EB Garamond"/>
          <w:i w:val="0"/>
          <w:iCs w:val="0"/>
          <w:color w:val="auto"/>
          <w:sz w:val="24"/>
          <w:szCs w:val="24"/>
          <w:lang w:val="en-GB"/>
        </w:rPr>
        <w:t>) images of</w:t>
      </w:r>
      <w:r w:rsidRPr="00A27548">
        <w:rPr>
          <w:rFonts w:ascii="EB Garamond" w:hAnsi="EB Garamond"/>
          <w:i w:val="0"/>
          <w:iCs w:val="0"/>
          <w:color w:val="auto"/>
          <w:sz w:val="24"/>
          <w:szCs w:val="24"/>
          <w:lang w:val="en-GB"/>
        </w:rPr>
        <w:t xml:space="preserve"> iGLUTs </w:t>
      </w:r>
      <w:r w:rsidR="00987D0A" w:rsidRPr="00A27548">
        <w:rPr>
          <w:rFonts w:ascii="EB Garamond" w:hAnsi="EB Garamond"/>
          <w:i w:val="0"/>
          <w:iCs w:val="0"/>
          <w:color w:val="auto"/>
          <w:sz w:val="24"/>
          <w:szCs w:val="24"/>
          <w:lang w:val="en-GB"/>
        </w:rPr>
        <w:t xml:space="preserve">on day of transduction (D-1), </w:t>
      </w:r>
      <w:r w:rsidRPr="00A27548">
        <w:rPr>
          <w:rFonts w:ascii="EB Garamond" w:hAnsi="EB Garamond"/>
          <w:i w:val="0"/>
          <w:iCs w:val="0"/>
          <w:color w:val="auto"/>
          <w:sz w:val="24"/>
          <w:szCs w:val="24"/>
          <w:lang w:val="en-GB"/>
        </w:rPr>
        <w:t>one day post transduction (D0) and one day post dox induction (D1).</w:t>
      </w:r>
    </w:p>
    <w:p w14:paraId="5C114F5F" w14:textId="77777777" w:rsidR="004B753C" w:rsidRPr="00A70D7A" w:rsidRDefault="004B753C" w:rsidP="004B753C">
      <w:pPr>
        <w:jc w:val="both"/>
        <w:rPr>
          <w:rFonts w:ascii="EB Garamond" w:hAnsi="EB Garamond"/>
          <w:lang w:eastAsia="en-GB"/>
        </w:rPr>
      </w:pPr>
    </w:p>
    <w:p w14:paraId="15A0502E" w14:textId="7F38BF87" w:rsidR="004B753C" w:rsidRDefault="004F2757" w:rsidP="002837B8">
      <w:pPr>
        <w:tabs>
          <w:tab w:val="left" w:pos="2185"/>
        </w:tabs>
        <w:jc w:val="both"/>
        <w:rPr>
          <w:rFonts w:ascii="EB Garamond" w:hAnsi="EB Garamond"/>
          <w:b/>
          <w:bCs/>
        </w:rPr>
      </w:pPr>
      <w:r w:rsidRPr="00A70D7A">
        <w:rPr>
          <w:rFonts w:ascii="EB Garamond" w:hAnsi="EB Garamond"/>
          <w:b/>
          <w:bCs/>
          <w:noProof/>
        </w:rPr>
        <w:lastRenderedPageBreak/>
        <w:drawing>
          <wp:inline distT="0" distB="0" distL="0" distR="0" wp14:anchorId="070BE871" wp14:editId="540FDA5B">
            <wp:extent cx="5575257" cy="3157870"/>
            <wp:effectExtent l="0" t="0" r="0" b="4445"/>
            <wp:docPr id="456866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66198" name=""/>
                    <pic:cNvPicPr/>
                  </pic:nvPicPr>
                  <pic:blipFill>
                    <a:blip r:embed="rId9"/>
                    <a:stretch>
                      <a:fillRect/>
                    </a:stretch>
                  </pic:blipFill>
                  <pic:spPr>
                    <a:xfrm>
                      <a:off x="0" y="0"/>
                      <a:ext cx="5627070" cy="3187217"/>
                    </a:xfrm>
                    <a:prstGeom prst="rect">
                      <a:avLst/>
                    </a:prstGeom>
                  </pic:spPr>
                </pic:pic>
              </a:graphicData>
            </a:graphic>
          </wp:inline>
        </w:drawing>
      </w:r>
    </w:p>
    <w:p w14:paraId="2F1F8130" w14:textId="77777777" w:rsidR="002837B8" w:rsidRPr="002837B8" w:rsidRDefault="002837B8" w:rsidP="002837B8">
      <w:pPr>
        <w:tabs>
          <w:tab w:val="left" w:pos="2185"/>
        </w:tabs>
        <w:jc w:val="both"/>
        <w:rPr>
          <w:rFonts w:ascii="EB Garamond" w:hAnsi="EB Garamond"/>
          <w:b/>
          <w:bCs/>
        </w:rPr>
      </w:pPr>
    </w:p>
    <w:p w14:paraId="651C3AE2" w14:textId="2CB8FD77" w:rsidR="004F2757" w:rsidRDefault="004F2757" w:rsidP="004B753C">
      <w:pPr>
        <w:pStyle w:val="Caption"/>
        <w:jc w:val="both"/>
        <w:rPr>
          <w:rFonts w:ascii="EB Garamond" w:hAnsi="EB Garamond"/>
          <w:i w:val="0"/>
          <w:iCs w:val="0"/>
          <w:color w:val="auto"/>
          <w:sz w:val="24"/>
          <w:szCs w:val="24"/>
          <w:lang w:val="en-GB"/>
        </w:rPr>
      </w:pPr>
      <w:r w:rsidRPr="00A70D7A">
        <w:rPr>
          <w:rFonts w:ascii="EB Garamond" w:hAnsi="EB Garamond"/>
          <w:b/>
          <w:bCs/>
          <w:i w:val="0"/>
          <w:iCs w:val="0"/>
          <w:color w:val="auto"/>
          <w:sz w:val="24"/>
          <w:szCs w:val="24"/>
        </w:rPr>
        <w:t>Figure S</w:t>
      </w:r>
      <w:r w:rsidR="0006778D" w:rsidRPr="00A70D7A">
        <w:rPr>
          <w:rFonts w:ascii="EB Garamond" w:hAnsi="EB Garamond"/>
          <w:b/>
          <w:bCs/>
          <w:i w:val="0"/>
          <w:iCs w:val="0"/>
          <w:color w:val="auto"/>
          <w:sz w:val="24"/>
          <w:szCs w:val="24"/>
        </w:rPr>
        <w:t>3</w:t>
      </w:r>
      <w:r w:rsidR="0063352C" w:rsidRPr="00A70D7A">
        <w:rPr>
          <w:rFonts w:ascii="EB Garamond" w:hAnsi="EB Garamond"/>
          <w:b/>
          <w:bCs/>
          <w:i w:val="0"/>
          <w:iCs w:val="0"/>
          <w:color w:val="auto"/>
          <w:sz w:val="24"/>
          <w:szCs w:val="24"/>
          <w:lang w:val="en-GB"/>
        </w:rPr>
        <w:t xml:space="preserve">. </w:t>
      </w:r>
      <w:r w:rsidRPr="00A70D7A">
        <w:rPr>
          <w:rFonts w:ascii="EB Garamond" w:hAnsi="EB Garamond"/>
          <w:b/>
          <w:bCs/>
          <w:i w:val="0"/>
          <w:iCs w:val="0"/>
          <w:color w:val="auto"/>
          <w:sz w:val="24"/>
          <w:szCs w:val="24"/>
          <w:lang w:val="en-GB"/>
        </w:rPr>
        <w:t xml:space="preserve">Plate layout </w:t>
      </w:r>
      <w:r w:rsidR="00531C1F" w:rsidRPr="00A70D7A">
        <w:rPr>
          <w:rFonts w:ascii="EB Garamond" w:hAnsi="EB Garamond"/>
          <w:b/>
          <w:bCs/>
          <w:i w:val="0"/>
          <w:iCs w:val="0"/>
          <w:color w:val="auto"/>
          <w:sz w:val="24"/>
          <w:szCs w:val="24"/>
          <w:lang w:val="en-GB"/>
        </w:rPr>
        <w:t>used for ICC and MEA</w:t>
      </w:r>
      <w:r w:rsidR="00BC45C0" w:rsidRPr="00A70D7A">
        <w:rPr>
          <w:rFonts w:ascii="EB Garamond" w:hAnsi="EB Garamond"/>
          <w:b/>
          <w:bCs/>
          <w:i w:val="0"/>
          <w:iCs w:val="0"/>
          <w:color w:val="auto"/>
          <w:sz w:val="24"/>
          <w:szCs w:val="24"/>
          <w:lang w:val="en-GB"/>
        </w:rPr>
        <w:t>, showing three biological differentiation replicates per genotype</w:t>
      </w:r>
      <w:r w:rsidRPr="00A70D7A">
        <w:rPr>
          <w:rFonts w:ascii="EB Garamond" w:hAnsi="EB Garamond"/>
          <w:b/>
          <w:bCs/>
          <w:i w:val="0"/>
          <w:iCs w:val="0"/>
          <w:color w:val="auto"/>
          <w:sz w:val="24"/>
          <w:szCs w:val="24"/>
          <w:lang w:val="en-GB"/>
        </w:rPr>
        <w:t>.</w:t>
      </w:r>
      <w:r w:rsidRPr="00A70D7A">
        <w:rPr>
          <w:rFonts w:ascii="EB Garamond" w:hAnsi="EB Garamond"/>
          <w:i w:val="0"/>
          <w:iCs w:val="0"/>
          <w:color w:val="auto"/>
          <w:sz w:val="24"/>
          <w:szCs w:val="24"/>
          <w:lang w:val="en-GB"/>
        </w:rPr>
        <w:t xml:space="preserve"> </w:t>
      </w:r>
      <w:r w:rsidR="00B842FF">
        <w:rPr>
          <w:rFonts w:ascii="EB Garamond" w:hAnsi="EB Garamond"/>
          <w:i w:val="0"/>
          <w:iCs w:val="0"/>
          <w:color w:val="auto"/>
          <w:sz w:val="24"/>
          <w:szCs w:val="24"/>
          <w:lang w:val="en-GB"/>
        </w:rPr>
        <w:t xml:space="preserve">Human PSCs from the </w:t>
      </w:r>
      <w:r w:rsidR="00B842FF" w:rsidRPr="00B842FF">
        <w:rPr>
          <w:rFonts w:ascii="EB Garamond" w:hAnsi="EB Garamond"/>
          <w:color w:val="auto"/>
          <w:sz w:val="24"/>
          <w:szCs w:val="24"/>
          <w:lang w:val="en-GB"/>
        </w:rPr>
        <w:t>BRD1</w:t>
      </w:r>
      <w:r w:rsidR="00B842FF" w:rsidRPr="00B842FF">
        <w:rPr>
          <w:rFonts w:ascii="EB Garamond" w:hAnsi="EB Garamond"/>
          <w:color w:val="auto"/>
          <w:sz w:val="24"/>
          <w:szCs w:val="24"/>
          <w:vertAlign w:val="superscript"/>
          <w:lang w:val="en-GB"/>
        </w:rPr>
        <w:t>+/-</w:t>
      </w:r>
      <w:r w:rsidR="00B842FF">
        <w:rPr>
          <w:rFonts w:ascii="EB Garamond" w:hAnsi="EB Garamond"/>
          <w:i w:val="0"/>
          <w:iCs w:val="0"/>
          <w:color w:val="auto"/>
          <w:sz w:val="24"/>
          <w:szCs w:val="24"/>
          <w:lang w:val="en-GB"/>
        </w:rPr>
        <w:t xml:space="preserve"> G10 clone was used in all experiments. </w:t>
      </w:r>
      <w:r w:rsidRPr="00A70D7A">
        <w:rPr>
          <w:rFonts w:ascii="EB Garamond" w:hAnsi="EB Garamond"/>
          <w:b/>
          <w:bCs/>
          <w:i w:val="0"/>
          <w:iCs w:val="0"/>
          <w:color w:val="auto"/>
          <w:sz w:val="24"/>
          <w:szCs w:val="24"/>
          <w:lang w:val="en-GB"/>
        </w:rPr>
        <w:t>A.</w:t>
      </w:r>
      <w:r w:rsidRPr="00A70D7A">
        <w:rPr>
          <w:rFonts w:ascii="EB Garamond" w:hAnsi="EB Garamond"/>
          <w:i w:val="0"/>
          <w:iCs w:val="0"/>
          <w:color w:val="auto"/>
          <w:sz w:val="24"/>
          <w:szCs w:val="24"/>
          <w:lang w:val="en-GB"/>
        </w:rPr>
        <w:t xml:space="preserve"> ICC plate layout. </w:t>
      </w:r>
      <w:r w:rsidRPr="00A70D7A">
        <w:rPr>
          <w:rFonts w:ascii="EB Garamond" w:hAnsi="EB Garamond"/>
          <w:b/>
          <w:bCs/>
          <w:i w:val="0"/>
          <w:iCs w:val="0"/>
          <w:color w:val="auto"/>
          <w:sz w:val="24"/>
          <w:szCs w:val="24"/>
          <w:lang w:val="en-GB"/>
        </w:rPr>
        <w:t>B.</w:t>
      </w:r>
      <w:r w:rsidRPr="00A70D7A">
        <w:rPr>
          <w:rFonts w:ascii="EB Garamond" w:hAnsi="EB Garamond"/>
          <w:i w:val="0"/>
          <w:iCs w:val="0"/>
          <w:color w:val="auto"/>
          <w:sz w:val="24"/>
          <w:szCs w:val="24"/>
          <w:lang w:val="en-GB"/>
        </w:rPr>
        <w:t xml:space="preserve"> MEA plate layout.</w:t>
      </w:r>
    </w:p>
    <w:p w14:paraId="6693C839" w14:textId="77777777" w:rsidR="00B9162B" w:rsidRDefault="00B9162B" w:rsidP="00B9162B">
      <w:pPr>
        <w:rPr>
          <w:lang w:val="en-GB" w:eastAsia="en-GB"/>
        </w:rPr>
      </w:pPr>
    </w:p>
    <w:p w14:paraId="7D355418" w14:textId="54B7AD2B" w:rsidR="00B9162B" w:rsidRPr="00B9162B" w:rsidRDefault="00B9162B" w:rsidP="00B9162B">
      <w:pPr>
        <w:rPr>
          <w:lang w:val="en-GB" w:eastAsia="en-GB"/>
        </w:rPr>
      </w:pPr>
      <w:r>
        <w:rPr>
          <w:noProof/>
          <w:lang w:val="en-GB" w:eastAsia="en-GB"/>
        </w:rPr>
        <w:drawing>
          <wp:inline distT="0" distB="0" distL="0" distR="0" wp14:anchorId="257B2EBA" wp14:editId="2B009FCB">
            <wp:extent cx="4718756" cy="4570016"/>
            <wp:effectExtent l="0" t="0" r="5715" b="2540"/>
            <wp:docPr id="1025637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37345" name="Picture 1025637345"/>
                    <pic:cNvPicPr/>
                  </pic:nvPicPr>
                  <pic:blipFill rotWithShape="1">
                    <a:blip r:embed="rId10"/>
                    <a:srcRect t="3152"/>
                    <a:stretch>
                      <a:fillRect/>
                    </a:stretch>
                  </pic:blipFill>
                  <pic:spPr bwMode="auto">
                    <a:xfrm>
                      <a:off x="0" y="0"/>
                      <a:ext cx="4741600" cy="4592140"/>
                    </a:xfrm>
                    <a:prstGeom prst="rect">
                      <a:avLst/>
                    </a:prstGeom>
                    <a:ln>
                      <a:noFill/>
                    </a:ln>
                    <a:extLst>
                      <a:ext uri="{53640926-AAD7-44D8-BBD7-CCE9431645EC}">
                        <a14:shadowObscured xmlns:a14="http://schemas.microsoft.com/office/drawing/2010/main"/>
                      </a:ext>
                    </a:extLst>
                  </pic:spPr>
                </pic:pic>
              </a:graphicData>
            </a:graphic>
          </wp:inline>
        </w:drawing>
      </w:r>
    </w:p>
    <w:p w14:paraId="04821EF0" w14:textId="4C8B34DA" w:rsidR="004F2757" w:rsidRPr="00A70D7A" w:rsidRDefault="00B9162B" w:rsidP="004B753C">
      <w:pPr>
        <w:spacing w:line="276" w:lineRule="auto"/>
        <w:jc w:val="both"/>
        <w:rPr>
          <w:rFonts w:ascii="EB Garamond" w:hAnsi="EB Garamond"/>
          <w:lang w:val="en-GB"/>
        </w:rPr>
      </w:pPr>
      <w:r w:rsidRPr="00A70D7A">
        <w:rPr>
          <w:rFonts w:ascii="EB Garamond" w:hAnsi="EB Garamond"/>
          <w:b/>
          <w:bCs/>
        </w:rPr>
        <w:lastRenderedPageBreak/>
        <w:t>Figure S4.</w:t>
      </w:r>
      <w:r w:rsidRPr="00A70D7A">
        <w:rPr>
          <w:rFonts w:ascii="EB Garamond" w:hAnsi="EB Garamond"/>
          <w:b/>
          <w:bCs/>
          <w:lang w:val="en-GB"/>
        </w:rPr>
        <w:t xml:space="preserve"> </w:t>
      </w:r>
      <w:r>
        <w:rPr>
          <w:rFonts w:ascii="EB Garamond" w:hAnsi="EB Garamond"/>
          <w:lang w:val="en-GB"/>
        </w:rPr>
        <w:t>PCA plot of D7 iGLUTs.</w:t>
      </w:r>
    </w:p>
    <w:p w14:paraId="1F439881" w14:textId="77777777" w:rsidR="004F2757" w:rsidRPr="00A70D7A" w:rsidRDefault="004F2757" w:rsidP="004B753C">
      <w:pPr>
        <w:tabs>
          <w:tab w:val="left" w:pos="2185"/>
        </w:tabs>
        <w:jc w:val="both"/>
        <w:rPr>
          <w:rFonts w:ascii="EB Garamond" w:hAnsi="EB Garamond"/>
          <w:b/>
          <w:bCs/>
        </w:rPr>
      </w:pPr>
      <w:r w:rsidRPr="00A70D7A">
        <w:rPr>
          <w:rFonts w:ascii="EB Garamond" w:hAnsi="EB Garamond"/>
          <w:b/>
          <w:bCs/>
          <w:noProof/>
        </w:rPr>
        <w:drawing>
          <wp:inline distT="0" distB="0" distL="0" distR="0" wp14:anchorId="31751581" wp14:editId="78C174D4">
            <wp:extent cx="4814344" cy="2434590"/>
            <wp:effectExtent l="0" t="0" r="0" b="3810"/>
            <wp:docPr id="1213702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02094" name=""/>
                    <pic:cNvPicPr/>
                  </pic:nvPicPr>
                  <pic:blipFill>
                    <a:blip r:embed="rId11"/>
                    <a:stretch>
                      <a:fillRect/>
                    </a:stretch>
                  </pic:blipFill>
                  <pic:spPr>
                    <a:xfrm>
                      <a:off x="0" y="0"/>
                      <a:ext cx="4976537" cy="2516610"/>
                    </a:xfrm>
                    <a:prstGeom prst="rect">
                      <a:avLst/>
                    </a:prstGeom>
                  </pic:spPr>
                </pic:pic>
              </a:graphicData>
            </a:graphic>
          </wp:inline>
        </w:drawing>
      </w:r>
    </w:p>
    <w:p w14:paraId="4FD3C76F" w14:textId="77777777" w:rsidR="00A70D7A" w:rsidRPr="00A70D7A" w:rsidRDefault="00A70D7A" w:rsidP="004B753C">
      <w:pPr>
        <w:pStyle w:val="Caption"/>
        <w:jc w:val="both"/>
        <w:rPr>
          <w:rFonts w:ascii="EB Garamond" w:hAnsi="EB Garamond"/>
          <w:b/>
          <w:bCs/>
          <w:i w:val="0"/>
          <w:iCs w:val="0"/>
          <w:color w:val="auto"/>
          <w:sz w:val="24"/>
          <w:szCs w:val="24"/>
        </w:rPr>
      </w:pPr>
    </w:p>
    <w:p w14:paraId="152B1944" w14:textId="11903859" w:rsidR="004F2757" w:rsidRPr="00A70D7A" w:rsidRDefault="004F2757" w:rsidP="004B753C">
      <w:pPr>
        <w:pStyle w:val="Caption"/>
        <w:jc w:val="both"/>
        <w:rPr>
          <w:rFonts w:ascii="EB Garamond" w:hAnsi="EB Garamond"/>
          <w:i w:val="0"/>
          <w:iCs w:val="0"/>
          <w:color w:val="auto"/>
          <w:sz w:val="24"/>
          <w:szCs w:val="24"/>
          <w:lang w:val="en-GB"/>
        </w:rPr>
      </w:pPr>
      <w:r w:rsidRPr="00A70D7A">
        <w:rPr>
          <w:rFonts w:ascii="EB Garamond" w:hAnsi="EB Garamond"/>
          <w:b/>
          <w:bCs/>
          <w:i w:val="0"/>
          <w:iCs w:val="0"/>
          <w:color w:val="auto"/>
          <w:sz w:val="24"/>
          <w:szCs w:val="24"/>
        </w:rPr>
        <w:t>Figure S</w:t>
      </w:r>
      <w:r w:rsidR="00B9162B">
        <w:rPr>
          <w:rFonts w:ascii="EB Garamond" w:hAnsi="EB Garamond"/>
          <w:b/>
          <w:bCs/>
          <w:i w:val="0"/>
          <w:iCs w:val="0"/>
          <w:color w:val="auto"/>
          <w:sz w:val="24"/>
          <w:szCs w:val="24"/>
        </w:rPr>
        <w:t>5</w:t>
      </w:r>
      <w:r w:rsidR="00CF1CF8" w:rsidRPr="00A70D7A">
        <w:rPr>
          <w:rFonts w:ascii="EB Garamond" w:hAnsi="EB Garamond"/>
          <w:b/>
          <w:bCs/>
          <w:i w:val="0"/>
          <w:iCs w:val="0"/>
          <w:color w:val="auto"/>
          <w:sz w:val="24"/>
          <w:szCs w:val="24"/>
        </w:rPr>
        <w:t>.</w:t>
      </w:r>
      <w:r w:rsidRPr="00A70D7A">
        <w:rPr>
          <w:rFonts w:ascii="EB Garamond" w:hAnsi="EB Garamond"/>
          <w:b/>
          <w:bCs/>
          <w:i w:val="0"/>
          <w:iCs w:val="0"/>
          <w:color w:val="auto"/>
          <w:sz w:val="24"/>
          <w:szCs w:val="24"/>
          <w:lang w:val="en-GB"/>
        </w:rPr>
        <w:t xml:space="preserve"> </w:t>
      </w:r>
      <w:r w:rsidRPr="00A27548">
        <w:rPr>
          <w:rFonts w:ascii="EB Garamond" w:hAnsi="EB Garamond"/>
          <w:b/>
          <w:bCs/>
          <w:i w:val="0"/>
          <w:iCs w:val="0"/>
          <w:color w:val="auto"/>
          <w:sz w:val="24"/>
          <w:szCs w:val="24"/>
          <w:lang w:val="en-GB"/>
        </w:rPr>
        <w:t>Neurite outgrowth assay on D7 iGLUTs.</w:t>
      </w:r>
      <w:r w:rsidRPr="00A70D7A">
        <w:rPr>
          <w:rFonts w:ascii="EB Garamond" w:hAnsi="EB Garamond"/>
          <w:i w:val="0"/>
          <w:iCs w:val="0"/>
          <w:color w:val="auto"/>
          <w:sz w:val="24"/>
          <w:szCs w:val="24"/>
          <w:lang w:val="en-GB"/>
        </w:rPr>
        <w:t xml:space="preserve"> </w:t>
      </w:r>
      <w:r w:rsidR="006A5042" w:rsidRPr="00A70D7A">
        <w:rPr>
          <w:rFonts w:ascii="EB Garamond" w:hAnsi="EB Garamond"/>
          <w:i w:val="0"/>
          <w:iCs w:val="0"/>
          <w:color w:val="auto"/>
          <w:sz w:val="24"/>
          <w:szCs w:val="24"/>
          <w:lang w:val="en-GB"/>
        </w:rPr>
        <w:t xml:space="preserve">All data points represent the mean of nine snapshots per well. </w:t>
      </w:r>
      <w:r w:rsidRPr="00A70D7A">
        <w:rPr>
          <w:rFonts w:ascii="EB Garamond" w:hAnsi="EB Garamond"/>
          <w:b/>
          <w:bCs/>
          <w:i w:val="0"/>
          <w:iCs w:val="0"/>
          <w:color w:val="auto"/>
          <w:sz w:val="24"/>
          <w:szCs w:val="24"/>
          <w:lang w:val="en-GB"/>
        </w:rPr>
        <w:t xml:space="preserve">A. </w:t>
      </w:r>
      <w:r w:rsidRPr="00A70D7A">
        <w:rPr>
          <w:rFonts w:ascii="EB Garamond" w:hAnsi="EB Garamond"/>
          <w:i w:val="0"/>
          <w:iCs w:val="0"/>
          <w:color w:val="auto"/>
          <w:sz w:val="24"/>
          <w:szCs w:val="24"/>
          <w:lang w:val="en-GB"/>
        </w:rPr>
        <w:t xml:space="preserve">Total number of neurites per neuron. </w:t>
      </w:r>
      <w:r w:rsidRPr="00A70D7A">
        <w:rPr>
          <w:rFonts w:ascii="EB Garamond" w:hAnsi="EB Garamond"/>
          <w:b/>
          <w:bCs/>
          <w:i w:val="0"/>
          <w:iCs w:val="0"/>
          <w:color w:val="auto"/>
          <w:sz w:val="24"/>
          <w:szCs w:val="24"/>
          <w:lang w:val="en-GB"/>
        </w:rPr>
        <w:t xml:space="preserve">B. </w:t>
      </w:r>
      <w:r w:rsidRPr="00A70D7A">
        <w:rPr>
          <w:rFonts w:ascii="EB Garamond" w:hAnsi="EB Garamond"/>
          <w:i w:val="0"/>
          <w:iCs w:val="0"/>
          <w:color w:val="auto"/>
          <w:sz w:val="24"/>
          <w:szCs w:val="24"/>
          <w:lang w:val="en-GB"/>
        </w:rPr>
        <w:t>Total number of branch points per neurite.</w:t>
      </w:r>
    </w:p>
    <w:p w14:paraId="03C19125" w14:textId="77777777" w:rsidR="00CC2616" w:rsidRPr="00A70D7A" w:rsidRDefault="00CC2616" w:rsidP="004B753C">
      <w:pPr>
        <w:jc w:val="both"/>
        <w:rPr>
          <w:rFonts w:ascii="EB Garamond" w:hAnsi="EB Garamond"/>
          <w:lang w:val="en-GB" w:eastAsia="en-GB"/>
        </w:rPr>
      </w:pPr>
    </w:p>
    <w:p w14:paraId="70290A10" w14:textId="1D428A1F" w:rsidR="0002249D" w:rsidRPr="00A70D7A" w:rsidRDefault="003A2466" w:rsidP="004B753C">
      <w:pPr>
        <w:jc w:val="both"/>
        <w:rPr>
          <w:rFonts w:ascii="EB Garamond" w:hAnsi="EB Garamond"/>
          <w:lang w:val="en-GB"/>
        </w:rPr>
      </w:pPr>
      <w:r w:rsidRPr="00A70D7A">
        <w:rPr>
          <w:rFonts w:ascii="EB Garamond" w:hAnsi="EB Garamond"/>
          <w:noProof/>
        </w:rPr>
        <w:lastRenderedPageBreak/>
        <w:drawing>
          <wp:inline distT="0" distB="0" distL="0" distR="0" wp14:anchorId="1CB99B69" wp14:editId="5A835E25">
            <wp:extent cx="5727700" cy="5381625"/>
            <wp:effectExtent l="0" t="0" r="0" b="3175"/>
            <wp:docPr id="1148069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69339" name=""/>
                    <pic:cNvPicPr/>
                  </pic:nvPicPr>
                  <pic:blipFill>
                    <a:blip r:embed="rId12"/>
                    <a:stretch>
                      <a:fillRect/>
                    </a:stretch>
                  </pic:blipFill>
                  <pic:spPr>
                    <a:xfrm>
                      <a:off x="0" y="0"/>
                      <a:ext cx="5727700" cy="5381625"/>
                    </a:xfrm>
                    <a:prstGeom prst="rect">
                      <a:avLst/>
                    </a:prstGeom>
                  </pic:spPr>
                </pic:pic>
              </a:graphicData>
            </a:graphic>
          </wp:inline>
        </w:drawing>
      </w:r>
    </w:p>
    <w:p w14:paraId="1D82E581" w14:textId="77777777" w:rsidR="00987D0A" w:rsidRPr="00A70D7A" w:rsidRDefault="00987D0A" w:rsidP="004B753C">
      <w:pPr>
        <w:jc w:val="both"/>
        <w:rPr>
          <w:rFonts w:ascii="EB Garamond" w:hAnsi="EB Garamond"/>
          <w:b/>
          <w:bCs/>
        </w:rPr>
      </w:pPr>
    </w:p>
    <w:p w14:paraId="6BC3CD62" w14:textId="5CA7D294" w:rsidR="00EE0104" w:rsidRPr="00A70D7A" w:rsidRDefault="004F2757" w:rsidP="004B753C">
      <w:pPr>
        <w:jc w:val="both"/>
        <w:rPr>
          <w:rFonts w:ascii="EB Garamond" w:hAnsi="EB Garamond"/>
          <w:lang w:val="en-GB"/>
        </w:rPr>
      </w:pPr>
      <w:r w:rsidRPr="00A70D7A">
        <w:rPr>
          <w:rFonts w:ascii="EB Garamond" w:hAnsi="EB Garamond"/>
          <w:b/>
          <w:bCs/>
        </w:rPr>
        <w:t>Figure S</w:t>
      </w:r>
      <w:r w:rsidR="00B9162B">
        <w:rPr>
          <w:rFonts w:ascii="EB Garamond" w:hAnsi="EB Garamond"/>
          <w:b/>
          <w:bCs/>
        </w:rPr>
        <w:t>6</w:t>
      </w:r>
      <w:r w:rsidR="00CF1CF8" w:rsidRPr="00A70D7A">
        <w:rPr>
          <w:rFonts w:ascii="EB Garamond" w:hAnsi="EB Garamond"/>
          <w:b/>
          <w:bCs/>
        </w:rPr>
        <w:t>.</w:t>
      </w:r>
      <w:r w:rsidRPr="00A70D7A">
        <w:rPr>
          <w:rFonts w:ascii="EB Garamond" w:hAnsi="EB Garamond"/>
          <w:b/>
          <w:bCs/>
        </w:rPr>
        <w:t xml:space="preserve"> </w:t>
      </w:r>
      <w:r w:rsidR="003A2466" w:rsidRPr="00A70D7A">
        <w:rPr>
          <w:rFonts w:ascii="EB Garamond" w:hAnsi="EB Garamond"/>
          <w:lang w:val="en-GB"/>
        </w:rPr>
        <w:t xml:space="preserve">GSEA highlighting associated biological processes </w:t>
      </w:r>
      <w:r w:rsidR="0006778D" w:rsidRPr="00A70D7A">
        <w:rPr>
          <w:rFonts w:ascii="EB Garamond" w:hAnsi="EB Garamond"/>
          <w:lang w:val="en-GB"/>
        </w:rPr>
        <w:t xml:space="preserve">(BP) </w:t>
      </w:r>
      <w:r w:rsidR="003A2466" w:rsidRPr="00A70D7A">
        <w:rPr>
          <w:rFonts w:ascii="EB Garamond" w:hAnsi="EB Garamond"/>
          <w:lang w:val="en-GB"/>
        </w:rPr>
        <w:t xml:space="preserve">of DEGs in </w:t>
      </w:r>
      <w:r w:rsidR="003A2466" w:rsidRPr="00A70D7A">
        <w:rPr>
          <w:rFonts w:ascii="EB Garamond" w:hAnsi="EB Garamond"/>
          <w:i/>
          <w:iCs/>
          <w:lang w:val="en-GB"/>
        </w:rPr>
        <w:t>BRD1</w:t>
      </w:r>
      <w:r w:rsidR="003A2466" w:rsidRPr="00A70D7A">
        <w:rPr>
          <w:rFonts w:ascii="EB Garamond" w:hAnsi="EB Garamond"/>
          <w:i/>
          <w:iCs/>
          <w:vertAlign w:val="superscript"/>
          <w:lang w:val="en-GB"/>
        </w:rPr>
        <w:t>+/-</w:t>
      </w:r>
      <w:r w:rsidR="003A2466" w:rsidRPr="00A70D7A">
        <w:rPr>
          <w:rFonts w:ascii="EB Garamond" w:hAnsi="EB Garamond"/>
          <w:lang w:val="en-GB"/>
        </w:rPr>
        <w:t xml:space="preserve"> iGLUTs at D7, D21 and D28. </w:t>
      </w:r>
      <w:r w:rsidR="003A2466" w:rsidRPr="00A70D7A">
        <w:rPr>
          <w:rFonts w:ascii="EB Garamond" w:hAnsi="EB Garamond"/>
          <w:b/>
          <w:bCs/>
          <w:lang w:val="en-GB"/>
        </w:rPr>
        <w:t>A.</w:t>
      </w:r>
      <w:r w:rsidR="003A2466" w:rsidRPr="00A70D7A">
        <w:rPr>
          <w:rFonts w:ascii="EB Garamond" w:hAnsi="EB Garamond"/>
          <w:lang w:val="en-GB"/>
        </w:rPr>
        <w:t xml:space="preserve"> GSEA </w:t>
      </w:r>
      <w:r w:rsidR="0006778D" w:rsidRPr="00A70D7A">
        <w:rPr>
          <w:rFonts w:ascii="EB Garamond" w:hAnsi="EB Garamond"/>
          <w:lang w:val="en-GB"/>
        </w:rPr>
        <w:t xml:space="preserve">BP </w:t>
      </w:r>
      <w:r w:rsidR="003A2466" w:rsidRPr="00A70D7A">
        <w:rPr>
          <w:rFonts w:ascii="EB Garamond" w:hAnsi="EB Garamond"/>
          <w:lang w:val="en-GB"/>
        </w:rPr>
        <w:t xml:space="preserve">of D7 DEGs. </w:t>
      </w:r>
      <w:r w:rsidR="003A2466" w:rsidRPr="00A70D7A">
        <w:rPr>
          <w:rFonts w:ascii="EB Garamond" w:hAnsi="EB Garamond"/>
          <w:b/>
          <w:bCs/>
          <w:lang w:val="en-GB"/>
        </w:rPr>
        <w:t>B.</w:t>
      </w:r>
      <w:r w:rsidR="003A2466" w:rsidRPr="00A70D7A">
        <w:rPr>
          <w:rFonts w:ascii="EB Garamond" w:hAnsi="EB Garamond"/>
          <w:lang w:val="en-GB"/>
        </w:rPr>
        <w:t xml:space="preserve"> GSEA </w:t>
      </w:r>
      <w:r w:rsidR="0006778D" w:rsidRPr="00A70D7A">
        <w:rPr>
          <w:rFonts w:ascii="EB Garamond" w:hAnsi="EB Garamond"/>
          <w:lang w:val="en-GB"/>
        </w:rPr>
        <w:t xml:space="preserve">BP </w:t>
      </w:r>
      <w:r w:rsidR="003A2466" w:rsidRPr="00A70D7A">
        <w:rPr>
          <w:rFonts w:ascii="EB Garamond" w:hAnsi="EB Garamond"/>
          <w:lang w:val="en-GB"/>
        </w:rPr>
        <w:t xml:space="preserve">of D7 DEGs. </w:t>
      </w:r>
      <w:r w:rsidR="003A2466" w:rsidRPr="00A70D7A">
        <w:rPr>
          <w:rFonts w:ascii="EB Garamond" w:hAnsi="EB Garamond"/>
          <w:b/>
          <w:bCs/>
          <w:lang w:val="en-GB"/>
        </w:rPr>
        <w:t>C.</w:t>
      </w:r>
      <w:r w:rsidR="003A2466" w:rsidRPr="00A70D7A">
        <w:rPr>
          <w:rFonts w:ascii="EB Garamond" w:hAnsi="EB Garamond"/>
          <w:lang w:val="en-GB"/>
        </w:rPr>
        <w:t xml:space="preserve"> GSEA </w:t>
      </w:r>
      <w:r w:rsidR="0006778D" w:rsidRPr="00A70D7A">
        <w:rPr>
          <w:rFonts w:ascii="EB Garamond" w:hAnsi="EB Garamond"/>
          <w:lang w:val="en-GB"/>
        </w:rPr>
        <w:t xml:space="preserve">BP </w:t>
      </w:r>
      <w:r w:rsidR="003A2466" w:rsidRPr="00A70D7A">
        <w:rPr>
          <w:rFonts w:ascii="EB Garamond" w:hAnsi="EB Garamond"/>
          <w:lang w:val="en-GB"/>
        </w:rPr>
        <w:t>of D7 DEGs.</w:t>
      </w:r>
    </w:p>
    <w:sectPr w:rsidR="00EE0104" w:rsidRPr="00A70D7A" w:rsidSect="008C6C02">
      <w:headerReference w:type="default" r:id="rId13"/>
      <w:footerReference w:type="even"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D13A9" w14:textId="77777777" w:rsidR="00323288" w:rsidRDefault="00323288" w:rsidP="008826CA">
      <w:r>
        <w:separator/>
      </w:r>
    </w:p>
  </w:endnote>
  <w:endnote w:type="continuationSeparator" w:id="0">
    <w:p w14:paraId="38D4B42C" w14:textId="77777777" w:rsidR="00323288" w:rsidRDefault="00323288" w:rsidP="00882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EB Garamond">
    <w:panose1 w:val="00000500000000000000"/>
    <w:charset w:val="00"/>
    <w:family w:val="auto"/>
    <w:pitch w:val="variable"/>
    <w:sig w:usb0="E00002FF" w:usb1="020004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36068436"/>
      <w:docPartObj>
        <w:docPartGallery w:val="Page Numbers (Bottom of Page)"/>
        <w:docPartUnique/>
      </w:docPartObj>
    </w:sdtPr>
    <w:sdtContent>
      <w:p w14:paraId="555DB34E" w14:textId="58A257F9" w:rsidR="00987D0A" w:rsidRDefault="00987D0A" w:rsidP="004B753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F2240C" w14:textId="77777777" w:rsidR="00987D0A" w:rsidRDefault="00987D0A" w:rsidP="00987D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D9904" w14:textId="77777777" w:rsidR="00987D0A" w:rsidRDefault="00987D0A" w:rsidP="00987D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9CD4C" w14:textId="77777777" w:rsidR="00323288" w:rsidRDefault="00323288" w:rsidP="008826CA">
      <w:r>
        <w:separator/>
      </w:r>
    </w:p>
  </w:footnote>
  <w:footnote w:type="continuationSeparator" w:id="0">
    <w:p w14:paraId="30F5615D" w14:textId="77777777" w:rsidR="00323288" w:rsidRDefault="00323288" w:rsidP="00882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DE502" w14:textId="50AA0AC2" w:rsidR="00AB69D1" w:rsidRPr="00AB69D1" w:rsidRDefault="00AB69D1" w:rsidP="00AB69D1">
    <w:pPr>
      <w:pStyle w:val="Header"/>
      <w:jc w:val="right"/>
      <w:rPr>
        <w:rFonts w:ascii="EB Garamond" w:hAnsi="EB Garamond"/>
      </w:rPr>
    </w:pPr>
    <w:r w:rsidRPr="00AB69D1">
      <w:rPr>
        <w:rFonts w:ascii="EB Garamond" w:hAnsi="EB Garamond"/>
      </w:rPr>
      <w:t>Donskov et al</w:t>
    </w:r>
    <w:r>
      <w:rPr>
        <w:rFonts w:ascii="EB Garamond" w:hAnsi="EB Garamond"/>
      </w:rPr>
      <w:t xml:space="preserve">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defaultTabStop w:val="720"/>
  <w:autoHyphenation/>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AAB"/>
    <w:rsid w:val="0002249D"/>
    <w:rsid w:val="0006778D"/>
    <w:rsid w:val="00094EC7"/>
    <w:rsid w:val="001165FC"/>
    <w:rsid w:val="00164E02"/>
    <w:rsid w:val="0019469D"/>
    <w:rsid w:val="00194D12"/>
    <w:rsid w:val="001E1CD2"/>
    <w:rsid w:val="001F30C6"/>
    <w:rsid w:val="00231459"/>
    <w:rsid w:val="00270CC8"/>
    <w:rsid w:val="002837B8"/>
    <w:rsid w:val="002B7627"/>
    <w:rsid w:val="00304DAA"/>
    <w:rsid w:val="00323288"/>
    <w:rsid w:val="0035692C"/>
    <w:rsid w:val="00367F66"/>
    <w:rsid w:val="0038098E"/>
    <w:rsid w:val="003A2466"/>
    <w:rsid w:val="003E73DB"/>
    <w:rsid w:val="00411B15"/>
    <w:rsid w:val="00416076"/>
    <w:rsid w:val="00467F44"/>
    <w:rsid w:val="00482EBB"/>
    <w:rsid w:val="004B753C"/>
    <w:rsid w:val="004F1480"/>
    <w:rsid w:val="004F2757"/>
    <w:rsid w:val="00526DC4"/>
    <w:rsid w:val="00531C1F"/>
    <w:rsid w:val="00561FF1"/>
    <w:rsid w:val="005750C6"/>
    <w:rsid w:val="005C6AAB"/>
    <w:rsid w:val="00604EA7"/>
    <w:rsid w:val="00611EEC"/>
    <w:rsid w:val="0063352C"/>
    <w:rsid w:val="0064749D"/>
    <w:rsid w:val="006623B1"/>
    <w:rsid w:val="00663C59"/>
    <w:rsid w:val="00674FD6"/>
    <w:rsid w:val="006A0D16"/>
    <w:rsid w:val="006A5042"/>
    <w:rsid w:val="006F1717"/>
    <w:rsid w:val="00723434"/>
    <w:rsid w:val="007262E0"/>
    <w:rsid w:val="007526F3"/>
    <w:rsid w:val="00792094"/>
    <w:rsid w:val="007C6DB1"/>
    <w:rsid w:val="007E2AEC"/>
    <w:rsid w:val="0082176B"/>
    <w:rsid w:val="00825E06"/>
    <w:rsid w:val="0083746C"/>
    <w:rsid w:val="00845EA2"/>
    <w:rsid w:val="00877480"/>
    <w:rsid w:val="008826CA"/>
    <w:rsid w:val="008B50F9"/>
    <w:rsid w:val="008C6C02"/>
    <w:rsid w:val="00947D09"/>
    <w:rsid w:val="00960E53"/>
    <w:rsid w:val="00987D0A"/>
    <w:rsid w:val="009E1F8E"/>
    <w:rsid w:val="00A27548"/>
    <w:rsid w:val="00A70D7A"/>
    <w:rsid w:val="00A95677"/>
    <w:rsid w:val="00AA405C"/>
    <w:rsid w:val="00AB69D1"/>
    <w:rsid w:val="00AE5B9B"/>
    <w:rsid w:val="00AF6445"/>
    <w:rsid w:val="00B551B4"/>
    <w:rsid w:val="00B628F7"/>
    <w:rsid w:val="00B819F9"/>
    <w:rsid w:val="00B842FF"/>
    <w:rsid w:val="00B9162B"/>
    <w:rsid w:val="00B9322A"/>
    <w:rsid w:val="00BC45C0"/>
    <w:rsid w:val="00C178B1"/>
    <w:rsid w:val="00C92C34"/>
    <w:rsid w:val="00CB4DD5"/>
    <w:rsid w:val="00CC2616"/>
    <w:rsid w:val="00CE1374"/>
    <w:rsid w:val="00CF1CF8"/>
    <w:rsid w:val="00DB62CA"/>
    <w:rsid w:val="00DE1AA2"/>
    <w:rsid w:val="00E9233F"/>
    <w:rsid w:val="00EE0104"/>
    <w:rsid w:val="00F11773"/>
    <w:rsid w:val="00F32DA6"/>
    <w:rsid w:val="00F87924"/>
    <w:rsid w:val="00FD4430"/>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7F316"/>
  <w15:chartTrackingRefBased/>
  <w15:docId w15:val="{2CEBDDC4-4F56-D046-B9F9-E3C751345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6A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6A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6A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6A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6A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6AA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6AA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6AA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6AA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6A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6A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6A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6A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6A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6A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6A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6A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6AAB"/>
    <w:rPr>
      <w:rFonts w:eastAsiaTheme="majorEastAsia" w:cstheme="majorBidi"/>
      <w:color w:val="272727" w:themeColor="text1" w:themeTint="D8"/>
    </w:rPr>
  </w:style>
  <w:style w:type="paragraph" w:styleId="Title">
    <w:name w:val="Title"/>
    <w:basedOn w:val="Normal"/>
    <w:next w:val="Normal"/>
    <w:link w:val="TitleChar"/>
    <w:uiPriority w:val="10"/>
    <w:qFormat/>
    <w:rsid w:val="005C6AA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6A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6AA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6A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6AA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C6AAB"/>
    <w:rPr>
      <w:i/>
      <w:iCs/>
      <w:color w:val="404040" w:themeColor="text1" w:themeTint="BF"/>
    </w:rPr>
  </w:style>
  <w:style w:type="paragraph" w:styleId="ListParagraph">
    <w:name w:val="List Paragraph"/>
    <w:basedOn w:val="Normal"/>
    <w:uiPriority w:val="34"/>
    <w:qFormat/>
    <w:rsid w:val="005C6AAB"/>
    <w:pPr>
      <w:ind w:left="720"/>
      <w:contextualSpacing/>
    </w:pPr>
  </w:style>
  <w:style w:type="character" w:styleId="IntenseEmphasis">
    <w:name w:val="Intense Emphasis"/>
    <w:basedOn w:val="DefaultParagraphFont"/>
    <w:uiPriority w:val="21"/>
    <w:qFormat/>
    <w:rsid w:val="005C6AAB"/>
    <w:rPr>
      <w:i/>
      <w:iCs/>
      <w:color w:val="0F4761" w:themeColor="accent1" w:themeShade="BF"/>
    </w:rPr>
  </w:style>
  <w:style w:type="paragraph" w:styleId="IntenseQuote">
    <w:name w:val="Intense Quote"/>
    <w:basedOn w:val="Normal"/>
    <w:next w:val="Normal"/>
    <w:link w:val="IntenseQuoteChar"/>
    <w:uiPriority w:val="30"/>
    <w:qFormat/>
    <w:rsid w:val="005C6A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6AAB"/>
    <w:rPr>
      <w:i/>
      <w:iCs/>
      <w:color w:val="0F4761" w:themeColor="accent1" w:themeShade="BF"/>
    </w:rPr>
  </w:style>
  <w:style w:type="character" w:styleId="IntenseReference">
    <w:name w:val="Intense Reference"/>
    <w:basedOn w:val="DefaultParagraphFont"/>
    <w:uiPriority w:val="32"/>
    <w:qFormat/>
    <w:rsid w:val="005C6AAB"/>
    <w:rPr>
      <w:b/>
      <w:bCs/>
      <w:smallCaps/>
      <w:color w:val="0F4761" w:themeColor="accent1" w:themeShade="BF"/>
      <w:spacing w:val="5"/>
    </w:rPr>
  </w:style>
  <w:style w:type="paragraph" w:styleId="Header">
    <w:name w:val="header"/>
    <w:basedOn w:val="Normal"/>
    <w:link w:val="HeaderChar"/>
    <w:uiPriority w:val="99"/>
    <w:unhideWhenUsed/>
    <w:rsid w:val="008826CA"/>
    <w:pPr>
      <w:tabs>
        <w:tab w:val="center" w:pos="4513"/>
        <w:tab w:val="right" w:pos="9026"/>
      </w:tabs>
    </w:pPr>
  </w:style>
  <w:style w:type="character" w:customStyle="1" w:styleId="HeaderChar">
    <w:name w:val="Header Char"/>
    <w:basedOn w:val="DefaultParagraphFont"/>
    <w:link w:val="Header"/>
    <w:uiPriority w:val="99"/>
    <w:rsid w:val="008826CA"/>
  </w:style>
  <w:style w:type="paragraph" w:styleId="Footer">
    <w:name w:val="footer"/>
    <w:basedOn w:val="Normal"/>
    <w:link w:val="FooterChar"/>
    <w:uiPriority w:val="99"/>
    <w:unhideWhenUsed/>
    <w:rsid w:val="008826CA"/>
    <w:pPr>
      <w:tabs>
        <w:tab w:val="center" w:pos="4513"/>
        <w:tab w:val="right" w:pos="9026"/>
      </w:tabs>
    </w:pPr>
  </w:style>
  <w:style w:type="character" w:customStyle="1" w:styleId="FooterChar">
    <w:name w:val="Footer Char"/>
    <w:basedOn w:val="DefaultParagraphFont"/>
    <w:link w:val="Footer"/>
    <w:uiPriority w:val="99"/>
    <w:rsid w:val="008826CA"/>
  </w:style>
  <w:style w:type="paragraph" w:styleId="Caption">
    <w:name w:val="caption"/>
    <w:aliases w:val="Caption PhD"/>
    <w:basedOn w:val="Normal"/>
    <w:next w:val="Normal"/>
    <w:uiPriority w:val="35"/>
    <w:unhideWhenUsed/>
    <w:qFormat/>
    <w:rsid w:val="00723434"/>
    <w:pPr>
      <w:spacing w:after="200"/>
    </w:pPr>
    <w:rPr>
      <w:rFonts w:ascii="Times New Roman" w:eastAsia="Times New Roman" w:hAnsi="Times New Roman" w:cs="Times New Roman"/>
      <w:i/>
      <w:iCs/>
      <w:color w:val="0E2841" w:themeColor="text2"/>
      <w:kern w:val="0"/>
      <w:sz w:val="18"/>
      <w:szCs w:val="18"/>
      <w:lang w:val="en-US" w:eastAsia="en-GB"/>
      <w14:ligatures w14:val="none"/>
    </w:rPr>
  </w:style>
  <w:style w:type="character" w:styleId="CommentReference">
    <w:name w:val="annotation reference"/>
    <w:uiPriority w:val="99"/>
    <w:rsid w:val="00604EA7"/>
    <w:rPr>
      <w:sz w:val="18"/>
      <w:szCs w:val="1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PageNumber">
    <w:name w:val="page number"/>
    <w:basedOn w:val="DefaultParagraphFont"/>
    <w:uiPriority w:val="99"/>
    <w:semiHidden/>
    <w:unhideWhenUsed/>
    <w:rsid w:val="00987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21F17-EE8C-454C-93A0-A8D1FFABF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266</Words>
  <Characters>1518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Grinderslev Donskov</dc:creator>
  <cp:keywords/>
  <dc:description/>
  <cp:lastModifiedBy>Julie Grinderslev Donskov</cp:lastModifiedBy>
  <cp:revision>5</cp:revision>
  <dcterms:created xsi:type="dcterms:W3CDTF">2025-11-19T10:42:00Z</dcterms:created>
  <dcterms:modified xsi:type="dcterms:W3CDTF">2025-12-19T09:27:00Z</dcterms:modified>
</cp:coreProperties>
</file>