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240453" w14:textId="1CF8C281" w:rsidR="007616AE" w:rsidRPr="00462264" w:rsidRDefault="00E25B84" w:rsidP="00462264">
      <w:pPr>
        <w:widowControl/>
        <w:jc w:val="left"/>
        <w:rPr>
          <w:rFonts w:ascii="Times New Roman" w:eastAsia="Arial Unicode MS" w:hAnsi="Times New Roman" w:cs="Times New Roman"/>
          <w:sz w:val="24"/>
          <w:szCs w:val="24"/>
        </w:rPr>
      </w:pPr>
      <w:r>
        <w:rPr>
          <w:rFonts w:ascii="Times New Roman" w:eastAsia="Arial Unicode MS" w:hAnsi="Times New Roman" w:cs="Times New Roman"/>
          <w:noProof/>
          <w:sz w:val="24"/>
          <w:szCs w:val="24"/>
        </w:rPr>
        <w:drawing>
          <wp:inline distT="0" distB="0" distL="0" distR="0" wp14:anchorId="0E4A99CC" wp14:editId="4A798B9B">
            <wp:extent cx="5274310" cy="7439660"/>
            <wp:effectExtent l="0" t="0" r="0" b="2540"/>
            <wp:docPr id="1385172" name="Picture 1"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172" name="Picture 1" descr="A close-up of a chart&#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439660"/>
                    </a:xfrm>
                    <a:prstGeom prst="rect">
                      <a:avLst/>
                    </a:prstGeom>
                  </pic:spPr>
                </pic:pic>
              </a:graphicData>
            </a:graphic>
          </wp:inline>
        </w:drawing>
      </w:r>
    </w:p>
    <w:p w14:paraId="03BF43F2" w14:textId="77777777" w:rsidR="00462264" w:rsidRDefault="00462264" w:rsidP="00462264">
      <w:pPr>
        <w:widowControl/>
        <w:jc w:val="left"/>
        <w:rPr>
          <w:rFonts w:ascii="Times New Roman" w:hAnsi="Times New Roman" w:cs="Times New Roman"/>
          <w:b/>
          <w:bCs/>
          <w:sz w:val="24"/>
          <w:szCs w:val="24"/>
        </w:rPr>
      </w:pPr>
    </w:p>
    <w:p w14:paraId="4C3AA807" w14:textId="3AA03AE5" w:rsidR="007616AE" w:rsidRPr="00462264" w:rsidRDefault="00000000" w:rsidP="00462264">
      <w:pPr>
        <w:widowControl/>
        <w:jc w:val="left"/>
        <w:rPr>
          <w:rFonts w:ascii="Times New Roman" w:hAnsi="Times New Roman" w:cs="Times New Roman"/>
          <w:b/>
          <w:bCs/>
          <w:sz w:val="24"/>
          <w:szCs w:val="24"/>
        </w:rPr>
      </w:pPr>
      <w:r w:rsidRPr="00462264">
        <w:rPr>
          <w:rFonts w:ascii="Times New Roman" w:hAnsi="Times New Roman" w:cs="Times New Roman"/>
          <w:b/>
          <w:bCs/>
          <w:sz w:val="24"/>
          <w:szCs w:val="24"/>
        </w:rPr>
        <w:t>Figure S</w:t>
      </w:r>
      <w:r w:rsidR="005671E7">
        <w:rPr>
          <w:rFonts w:ascii="Times New Roman" w:hAnsi="Times New Roman" w:cs="Times New Roman" w:hint="eastAsia"/>
          <w:b/>
          <w:bCs/>
          <w:sz w:val="24"/>
          <w:szCs w:val="24"/>
        </w:rPr>
        <w:t>1</w:t>
      </w:r>
      <w:r w:rsidRPr="00462264">
        <w:rPr>
          <w:rFonts w:ascii="Times New Roman" w:hAnsi="Times New Roman" w:cs="Times New Roman"/>
          <w:b/>
          <w:bCs/>
          <w:sz w:val="24"/>
          <w:szCs w:val="24"/>
        </w:rPr>
        <w:t>. DT injection induced dose-dependent injury of saccular HCs. Related to Figure 3.</w:t>
      </w:r>
    </w:p>
    <w:p w14:paraId="113BD0F2" w14:textId="29A4E030" w:rsidR="007616AE" w:rsidRPr="00462264" w:rsidRDefault="00000000" w:rsidP="00462264">
      <w:pPr>
        <w:widowControl/>
        <w:jc w:val="left"/>
        <w:rPr>
          <w:rFonts w:ascii="Times New Roman" w:hAnsi="Times New Roman" w:cs="Times New Roman"/>
          <w:sz w:val="24"/>
          <w:szCs w:val="24"/>
        </w:rPr>
      </w:pPr>
      <w:bookmarkStart w:id="0" w:name="_Hlk204975199"/>
      <w:r w:rsidRPr="00462264">
        <w:rPr>
          <w:rFonts w:ascii="Times New Roman" w:hAnsi="Times New Roman" w:cs="Times New Roman"/>
          <w:sz w:val="24"/>
          <w:szCs w:val="24"/>
        </w:rPr>
        <w:t>(A) Schematic of the saccule and its different zones, including the striola (S) and the extrastriola (ES). Squares indicate sampling regions for quantitative statistics.</w:t>
      </w:r>
    </w:p>
    <w:p w14:paraId="7D796442"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lastRenderedPageBreak/>
        <w:t>(B) Low-magnification images showing a decrease in 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 density with increasing doses of DT.</w:t>
      </w:r>
    </w:p>
    <w:p w14:paraId="350838B5"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(C) Representative images demonstrating a decrease in 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Sox2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and Sox2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in both the striola and extrastriola following increasing doses of DT</w:t>
      </w:r>
    </w:p>
    <w:p w14:paraId="17743905"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(D) Total HC counts expressed as percentages of the control group.</w:t>
      </w:r>
    </w:p>
    <w:p w14:paraId="60BC304F"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(E) The number of residual saccular HCs correlates with the doses of DT (</w:t>
      </w:r>
      <w:bookmarkStart w:id="1" w:name="OLE_LINK1"/>
      <w:r w:rsidRPr="00462264">
        <w:rPr>
          <w:rFonts w:ascii="Times New Roman" w:hAnsi="Times New Roman" w:cs="Times New Roman"/>
          <w:sz w:val="24"/>
          <w:szCs w:val="24"/>
        </w:rPr>
        <w:t>simple linear regression</w:t>
      </w:r>
      <w:bookmarkEnd w:id="1"/>
      <w:r w:rsidRPr="00462264">
        <w:rPr>
          <w:rFonts w:ascii="Times New Roman" w:hAnsi="Times New Roman" w:cs="Times New Roman"/>
          <w:sz w:val="24"/>
          <w:szCs w:val="24"/>
        </w:rPr>
        <w:t>, p &lt; 0.0002).</w:t>
      </w:r>
    </w:p>
    <w:p w14:paraId="5E616106"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(F-H) Counts of 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(F), Sox2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type I HCs (G) and Sox2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type II HCs (H) in the striola and extrastriola expressed as percentages of the control group.</w:t>
      </w:r>
    </w:p>
    <w:bookmarkEnd w:id="0"/>
    <w:p w14:paraId="15407B3E" w14:textId="66171E67" w:rsid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Scale bars: 100 µm in B; 10 µm in C. </w:t>
      </w:r>
      <w:r w:rsidRPr="00462264">
        <w:rPr>
          <w:rFonts w:ascii="Times New Roman" w:eastAsia="Arial Unicode MS" w:hAnsi="Times New Roman" w:cs="Times New Roman"/>
          <w:sz w:val="24"/>
          <w:szCs w:val="24"/>
        </w:rPr>
        <w:t xml:space="preserve">Red asterisks indicate statistical significance compared with the NS group. </w:t>
      </w:r>
      <w:r w:rsidRPr="00462264">
        <w:rPr>
          <w:rFonts w:ascii="Times New Roman" w:hAnsi="Times New Roman" w:cs="Times New Roman"/>
          <w:sz w:val="24"/>
          <w:szCs w:val="24"/>
        </w:rPr>
        <w:t>One-way ANOVA was performed for D, F-H. * p &lt; 0.05, ** p &lt; 0.01, *** p &lt; 0.001, **** p &lt; 0.0001.</w:t>
      </w:r>
    </w:p>
    <w:p w14:paraId="0E80D199" w14:textId="12EBCB5C" w:rsidR="007616AE" w:rsidRPr="00462264" w:rsidRDefault="00462264" w:rsidP="0046226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CC8B580" w14:textId="69B98FC2" w:rsidR="007616AE" w:rsidRPr="00462264" w:rsidRDefault="00E25B84" w:rsidP="00462264">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ECCF2F3" wp14:editId="1C8236B5">
            <wp:extent cx="5274310" cy="2004695"/>
            <wp:effectExtent l="0" t="0" r="0" b="1905"/>
            <wp:docPr id="1482238425" name="Picture 2" descr="A collage of images of blue and purple parti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238425" name="Picture 2" descr="A collage of images of blue and purple particle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004695"/>
                    </a:xfrm>
                    <a:prstGeom prst="rect">
                      <a:avLst/>
                    </a:prstGeom>
                  </pic:spPr>
                </pic:pic>
              </a:graphicData>
            </a:graphic>
          </wp:inline>
        </w:drawing>
      </w:r>
    </w:p>
    <w:p w14:paraId="2235F727" w14:textId="11F90730"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b/>
          <w:bCs/>
          <w:sz w:val="24"/>
          <w:szCs w:val="24"/>
        </w:rPr>
        <w:t>Figure S</w:t>
      </w:r>
      <w:r w:rsidR="005671E7">
        <w:rPr>
          <w:rFonts w:ascii="Times New Roman" w:hAnsi="Times New Roman" w:cs="Times New Roman" w:hint="eastAsia"/>
          <w:b/>
          <w:bCs/>
          <w:sz w:val="24"/>
          <w:szCs w:val="24"/>
        </w:rPr>
        <w:t>2</w:t>
      </w:r>
      <w:r w:rsidRPr="00462264">
        <w:rPr>
          <w:rFonts w:ascii="Times New Roman" w:hAnsi="Times New Roman" w:cs="Times New Roman"/>
          <w:b/>
          <w:bCs/>
          <w:sz w:val="24"/>
          <w:szCs w:val="24"/>
        </w:rPr>
        <w:t>. Synapses of the residual utricular HCs after DT treatment. Related to Figure 4.</w:t>
      </w:r>
    </w:p>
    <w:p w14:paraId="4083653F"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(A) Representative immunofluorescence images of Ctbp2, Shank1/2/3 and Myo7a. </w:t>
      </w:r>
    </w:p>
    <w:p w14:paraId="0BCFF1C4"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(B) Quantification of Ctbp2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Shank1/2/3</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paired synapses and orphan Ctbp2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puncta (per HC). No significant differences were found among the three groups.</w:t>
      </w:r>
    </w:p>
    <w:p w14:paraId="2E99F57A"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Scale bars: 2 µm. One-way ANOVA </w:t>
      </w:r>
      <w:r w:rsidRPr="00462264">
        <w:rPr>
          <w:rFonts w:ascii="Times New Roman" w:eastAsia="Arial Unicode MS" w:hAnsi="Times New Roman" w:cs="Times New Roman"/>
          <w:sz w:val="24"/>
          <w:szCs w:val="24"/>
        </w:rPr>
        <w:t>was performed for B</w:t>
      </w:r>
      <w:r w:rsidRPr="00462264">
        <w:rPr>
          <w:rFonts w:ascii="Times New Roman" w:hAnsi="Times New Roman" w:cs="Times New Roman"/>
          <w:sz w:val="24"/>
          <w:szCs w:val="24"/>
        </w:rPr>
        <w:t xml:space="preserve">. </w:t>
      </w:r>
    </w:p>
    <w:p w14:paraId="1D9B8B50" w14:textId="77777777" w:rsidR="007616AE" w:rsidRPr="00462264" w:rsidRDefault="007616AE" w:rsidP="00462264">
      <w:pPr>
        <w:widowControl/>
        <w:jc w:val="left"/>
        <w:rPr>
          <w:rFonts w:ascii="Times New Roman" w:hAnsi="Times New Roman" w:cs="Times New Roman"/>
          <w:sz w:val="24"/>
          <w:szCs w:val="24"/>
        </w:rPr>
      </w:pPr>
    </w:p>
    <w:p w14:paraId="274C757D"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br w:type="page"/>
      </w:r>
    </w:p>
    <w:p w14:paraId="1DE51B75" w14:textId="3F867844" w:rsidR="00272797" w:rsidRPr="00462264" w:rsidRDefault="00E25B84" w:rsidP="00462264">
      <w:pPr>
        <w:widowControl/>
        <w:jc w:val="left"/>
        <w:rPr>
          <w:rFonts w:ascii="Times New Roman" w:hAnsi="Times New Roman" w:cs="Times New Roman"/>
          <w:sz w:val="24"/>
          <w:szCs w:val="24"/>
        </w:rPr>
      </w:pPr>
      <w:bookmarkStart w:id="2" w:name="_Hlk204979778"/>
      <w:r>
        <w:rPr>
          <w:rFonts w:ascii="Times New Roman" w:hAnsi="Times New Roman" w:cs="Times New Roman"/>
          <w:noProof/>
          <w:sz w:val="24"/>
          <w:szCs w:val="24"/>
        </w:rPr>
        <w:lastRenderedPageBreak/>
        <w:drawing>
          <wp:inline distT="0" distB="0" distL="0" distR="0" wp14:anchorId="24C099B4" wp14:editId="4E4086DA">
            <wp:extent cx="5274310" cy="3804285"/>
            <wp:effectExtent l="0" t="0" r="0" b="5715"/>
            <wp:docPr id="5745136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513616" name="Picture 5745136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804285"/>
                    </a:xfrm>
                    <a:prstGeom prst="rect">
                      <a:avLst/>
                    </a:prstGeom>
                  </pic:spPr>
                </pic:pic>
              </a:graphicData>
            </a:graphic>
          </wp:inline>
        </w:drawing>
      </w:r>
    </w:p>
    <w:p w14:paraId="43A9FC09" w14:textId="166EA49D"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b/>
          <w:bCs/>
          <w:sz w:val="24"/>
          <w:szCs w:val="24"/>
        </w:rPr>
        <w:t>Figure S</w:t>
      </w:r>
      <w:r w:rsidR="005671E7">
        <w:rPr>
          <w:rFonts w:ascii="Times New Roman" w:hAnsi="Times New Roman" w:cs="Times New Roman" w:hint="eastAsia"/>
          <w:b/>
          <w:bCs/>
          <w:sz w:val="24"/>
          <w:szCs w:val="24"/>
        </w:rPr>
        <w:t>3</w:t>
      </w:r>
      <w:r w:rsidRPr="00462264">
        <w:rPr>
          <w:rFonts w:ascii="Times New Roman" w:hAnsi="Times New Roman" w:cs="Times New Roman"/>
          <w:b/>
          <w:bCs/>
          <w:sz w:val="24"/>
          <w:szCs w:val="24"/>
        </w:rPr>
        <w:t xml:space="preserve"> HAVOR test results from DT-injected </w:t>
      </w:r>
      <w:r w:rsidR="00C41958" w:rsidRPr="00462264">
        <w:rPr>
          <w:rFonts w:ascii="Times New Roman" w:hAnsi="Times New Roman" w:cs="Times New Roman"/>
          <w:b/>
          <w:i/>
          <w:sz w:val="24"/>
          <w:szCs w:val="24"/>
        </w:rPr>
        <w:t>Pou4f3</w:t>
      </w:r>
      <w:r w:rsidRPr="00462264">
        <w:rPr>
          <w:rFonts w:ascii="Times New Roman" w:hAnsi="Times New Roman" w:cs="Times New Roman"/>
          <w:b/>
          <w:sz w:val="24"/>
          <w:szCs w:val="24"/>
          <w:vertAlign w:val="superscript"/>
        </w:rPr>
        <w:t>DTR</w:t>
      </w:r>
      <w:r w:rsidRPr="00462264">
        <w:rPr>
          <w:rFonts w:ascii="Times New Roman" w:hAnsi="Times New Roman" w:cs="Times New Roman"/>
          <w:b/>
          <w:sz w:val="24"/>
          <w:szCs w:val="24"/>
        </w:rPr>
        <w:t xml:space="preserve"> mice</w:t>
      </w:r>
      <w:r w:rsidRPr="00462264">
        <w:rPr>
          <w:rFonts w:ascii="Times New Roman" w:hAnsi="Times New Roman" w:cs="Times New Roman"/>
          <w:b/>
          <w:bCs/>
          <w:sz w:val="24"/>
          <w:szCs w:val="24"/>
        </w:rPr>
        <w:t xml:space="preserve">. Related to Figure 5. </w:t>
      </w:r>
    </w:p>
    <w:p w14:paraId="72EA1DD2" w14:textId="7159FD33" w:rsid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(A-E) Gain values in the HAVOR tests at various frequencies. Red asterisks indicate statistical significance compared with the NS group. One-way ANOVA </w:t>
      </w:r>
      <w:r w:rsidRPr="00462264">
        <w:rPr>
          <w:rFonts w:ascii="Times New Roman" w:eastAsia="Arial Unicode MS" w:hAnsi="Times New Roman" w:cs="Times New Roman"/>
          <w:sz w:val="24"/>
          <w:szCs w:val="24"/>
        </w:rPr>
        <w:t>was performed for A-E</w:t>
      </w:r>
      <w:r w:rsidRPr="00462264">
        <w:rPr>
          <w:rFonts w:ascii="Times New Roman" w:hAnsi="Times New Roman" w:cs="Times New Roman"/>
          <w:sz w:val="24"/>
          <w:szCs w:val="24"/>
        </w:rPr>
        <w:t xml:space="preserve">. * p &lt; 0.05, ** p &lt; 0.01, *** p &lt; 0.001, **** p &lt; 0.0001. </w:t>
      </w:r>
    </w:p>
    <w:p w14:paraId="34210217" w14:textId="77777777" w:rsidR="00462264" w:rsidRDefault="0046226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8F84896" w14:textId="678BDD68" w:rsidR="0064333E" w:rsidRPr="00462264" w:rsidRDefault="00E25B84" w:rsidP="00462264">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37088" behindDoc="0" locked="0" layoutInCell="1" allowOverlap="1" wp14:anchorId="7BB9D7CA" wp14:editId="5955DE5D">
            <wp:simplePos x="0" y="0"/>
            <wp:positionH relativeFrom="column">
              <wp:posOffset>5080</wp:posOffset>
            </wp:positionH>
            <wp:positionV relativeFrom="paragraph">
              <wp:posOffset>41910</wp:posOffset>
            </wp:positionV>
            <wp:extent cx="4612640" cy="2147570"/>
            <wp:effectExtent l="0" t="0" r="0" b="0"/>
            <wp:wrapTopAndBottom/>
            <wp:docPr id="821886992" name="Picture 4" descr="A graph of different typ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86992" name="Picture 4" descr="A graph of different types of cell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12640" cy="2147570"/>
                    </a:xfrm>
                    <a:prstGeom prst="rect">
                      <a:avLst/>
                    </a:prstGeom>
                  </pic:spPr>
                </pic:pic>
              </a:graphicData>
            </a:graphic>
            <wp14:sizeRelH relativeFrom="page">
              <wp14:pctWidth>0</wp14:pctWidth>
            </wp14:sizeRelH>
            <wp14:sizeRelV relativeFrom="page">
              <wp14:pctHeight>0</wp14:pctHeight>
            </wp14:sizeRelV>
          </wp:anchor>
        </w:drawing>
      </w:r>
    </w:p>
    <w:bookmarkEnd w:id="2"/>
    <w:p w14:paraId="57B5B1A6" w14:textId="7EBE95EF"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b/>
          <w:sz w:val="24"/>
          <w:szCs w:val="24"/>
        </w:rPr>
        <w:t>Figure S</w:t>
      </w:r>
      <w:r w:rsidR="005671E7">
        <w:rPr>
          <w:rFonts w:ascii="Times New Roman" w:hAnsi="Times New Roman" w:cs="Times New Roman" w:hint="eastAsia"/>
          <w:b/>
          <w:sz w:val="24"/>
          <w:szCs w:val="24"/>
        </w:rPr>
        <w:t>4</w:t>
      </w:r>
      <w:r w:rsidRPr="00462264">
        <w:rPr>
          <w:rFonts w:ascii="Times New Roman" w:hAnsi="Times New Roman" w:cs="Times New Roman"/>
          <w:sz w:val="24"/>
          <w:szCs w:val="24"/>
        </w:rPr>
        <w:t xml:space="preserve"> </w:t>
      </w:r>
      <w:r w:rsidRPr="00462264">
        <w:rPr>
          <w:rFonts w:ascii="Times New Roman" w:hAnsi="Times New Roman" w:cs="Times New Roman"/>
          <w:b/>
          <w:sz w:val="24"/>
          <w:szCs w:val="24"/>
        </w:rPr>
        <w:t xml:space="preserve">Quantification of Sox2⁻ type I and Sox2⁺ type II vestibular HCs in </w:t>
      </w:r>
      <w:r w:rsidR="00C41958" w:rsidRPr="00462264">
        <w:rPr>
          <w:rFonts w:ascii="Times New Roman" w:hAnsi="Times New Roman" w:cs="Times New Roman"/>
          <w:b/>
          <w:i/>
          <w:sz w:val="24"/>
          <w:szCs w:val="24"/>
        </w:rPr>
        <w:t>Pou4f3</w:t>
      </w:r>
      <w:r w:rsidRPr="00462264">
        <w:rPr>
          <w:rFonts w:ascii="Times New Roman" w:hAnsi="Times New Roman" w:cs="Times New Roman"/>
          <w:b/>
          <w:sz w:val="24"/>
          <w:szCs w:val="24"/>
          <w:vertAlign w:val="superscript"/>
        </w:rPr>
        <w:t>DTR</w:t>
      </w:r>
      <w:r w:rsidRPr="00462264">
        <w:rPr>
          <w:rFonts w:ascii="Times New Roman" w:hAnsi="Times New Roman" w:cs="Times New Roman"/>
          <w:b/>
          <w:sz w:val="24"/>
          <w:szCs w:val="24"/>
        </w:rPr>
        <w:t xml:space="preserve"> mice treated with 15 or 25 ng/g DT. Related to Figure 6.</w:t>
      </w:r>
    </w:p>
    <w:p w14:paraId="1ACF0784" w14:textId="2BCAFC39"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(A) The number of </w:t>
      </w:r>
      <w:r w:rsidR="008832CD" w:rsidRPr="00462264">
        <w:rPr>
          <w:rFonts w:ascii="Times New Roman" w:hAnsi="Times New Roman" w:cs="Times New Roman"/>
          <w:sz w:val="24"/>
          <w:szCs w:val="24"/>
        </w:rPr>
        <w:t xml:space="preserve">Sox2⁺ </w:t>
      </w:r>
      <w:r w:rsidRPr="00462264">
        <w:rPr>
          <w:rFonts w:ascii="Times New Roman" w:hAnsi="Times New Roman" w:cs="Times New Roman"/>
          <w:sz w:val="24"/>
          <w:szCs w:val="24"/>
        </w:rPr>
        <w:t xml:space="preserve">type II HCs was comparable between the two groups, whereas </w:t>
      </w:r>
      <w:r w:rsidR="008832CD" w:rsidRPr="00462264">
        <w:rPr>
          <w:rFonts w:ascii="Times New Roman" w:hAnsi="Times New Roman" w:cs="Times New Roman"/>
          <w:sz w:val="24"/>
          <w:szCs w:val="24"/>
        </w:rPr>
        <w:t xml:space="preserve">Sox2⁻ </w:t>
      </w:r>
      <w:r w:rsidRPr="00462264">
        <w:rPr>
          <w:rFonts w:ascii="Times New Roman" w:hAnsi="Times New Roman" w:cs="Times New Roman"/>
          <w:sz w:val="24"/>
          <w:szCs w:val="24"/>
        </w:rPr>
        <w:t>type I HCs were significantly reduced in the 25 ng/g DT group. Data were analyzed by unpaired t-test. ** p &lt; 0.01; ns, not significant.</w:t>
      </w:r>
      <w:r w:rsidRPr="00462264">
        <w:rPr>
          <w:rFonts w:ascii="Times New Roman" w:hAnsi="Times New Roman" w:cs="Times New Roman"/>
          <w:sz w:val="24"/>
          <w:szCs w:val="24"/>
        </w:rPr>
        <w:br w:type="page"/>
      </w:r>
    </w:p>
    <w:p w14:paraId="3737041C" w14:textId="47A70E0A" w:rsidR="00272797" w:rsidRPr="00462264" w:rsidRDefault="00E25B84" w:rsidP="00462264">
      <w:pPr>
        <w:widowControl/>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738112" behindDoc="0" locked="0" layoutInCell="1" allowOverlap="1" wp14:anchorId="7A1D4A26" wp14:editId="1E345963">
            <wp:simplePos x="0" y="0"/>
            <wp:positionH relativeFrom="column">
              <wp:posOffset>5080</wp:posOffset>
            </wp:positionH>
            <wp:positionV relativeFrom="paragraph">
              <wp:posOffset>52705</wp:posOffset>
            </wp:positionV>
            <wp:extent cx="4316730" cy="4440555"/>
            <wp:effectExtent l="0" t="0" r="1270" b="4445"/>
            <wp:wrapTopAndBottom/>
            <wp:docPr id="4371120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112001" name="Picture 43711200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16730" cy="4440555"/>
                    </a:xfrm>
                    <a:prstGeom prst="rect">
                      <a:avLst/>
                    </a:prstGeom>
                  </pic:spPr>
                </pic:pic>
              </a:graphicData>
            </a:graphic>
            <wp14:sizeRelH relativeFrom="page">
              <wp14:pctWidth>0</wp14:pctWidth>
            </wp14:sizeRelH>
            <wp14:sizeRelV relativeFrom="page">
              <wp14:pctHeight>0</wp14:pctHeight>
            </wp14:sizeRelV>
          </wp:anchor>
        </w:drawing>
      </w:r>
    </w:p>
    <w:p w14:paraId="684751A3" w14:textId="66A79FB7" w:rsidR="00272797" w:rsidRPr="00462264" w:rsidRDefault="00272797" w:rsidP="00462264">
      <w:pPr>
        <w:widowControl/>
        <w:jc w:val="left"/>
        <w:rPr>
          <w:rFonts w:ascii="Times New Roman" w:hAnsi="Times New Roman" w:cs="Times New Roman"/>
          <w:b/>
          <w:bCs/>
          <w:sz w:val="24"/>
          <w:szCs w:val="24"/>
        </w:rPr>
      </w:pPr>
    </w:p>
    <w:p w14:paraId="2C68621B" w14:textId="1AAAE85D" w:rsidR="007616AE" w:rsidRPr="00462264" w:rsidRDefault="0064333E" w:rsidP="00462264">
      <w:pPr>
        <w:widowControl/>
        <w:jc w:val="left"/>
        <w:rPr>
          <w:rFonts w:ascii="Times New Roman" w:hAnsi="Times New Roman" w:cs="Times New Roman"/>
          <w:b/>
          <w:bCs/>
          <w:sz w:val="24"/>
          <w:szCs w:val="24"/>
        </w:rPr>
      </w:pPr>
      <w:r w:rsidRPr="00462264">
        <w:rPr>
          <w:rFonts w:ascii="Times New Roman" w:hAnsi="Times New Roman" w:cs="Times New Roman"/>
          <w:b/>
          <w:bCs/>
          <w:sz w:val="24"/>
          <w:szCs w:val="24"/>
        </w:rPr>
        <w:t>Figure S</w:t>
      </w:r>
      <w:r w:rsidR="005671E7">
        <w:rPr>
          <w:rFonts w:ascii="Times New Roman" w:hAnsi="Times New Roman" w:cs="Times New Roman" w:hint="eastAsia"/>
          <w:b/>
          <w:bCs/>
          <w:sz w:val="24"/>
          <w:szCs w:val="24"/>
        </w:rPr>
        <w:t>5</w:t>
      </w:r>
      <w:r w:rsidRPr="00462264">
        <w:rPr>
          <w:rFonts w:ascii="Times New Roman" w:hAnsi="Times New Roman" w:cs="Times New Roman"/>
          <w:sz w:val="24"/>
          <w:szCs w:val="24"/>
        </w:rPr>
        <w:t xml:space="preserve"> </w:t>
      </w:r>
      <w:r w:rsidRPr="00462264">
        <w:rPr>
          <w:rFonts w:ascii="Times New Roman" w:hAnsi="Times New Roman" w:cs="Times New Roman"/>
          <w:b/>
          <w:bCs/>
          <w:sz w:val="24"/>
          <w:szCs w:val="24"/>
        </w:rPr>
        <w:t xml:space="preserve">The effect of IDPN and </w:t>
      </w:r>
      <w:r w:rsidR="00C41958" w:rsidRPr="00462264">
        <w:rPr>
          <w:rFonts w:ascii="Times New Roman" w:hAnsi="Times New Roman" w:cs="Times New Roman"/>
          <w:b/>
          <w:bCs/>
          <w:i/>
          <w:sz w:val="24"/>
          <w:szCs w:val="24"/>
        </w:rPr>
        <w:t>Atoh1</w:t>
      </w:r>
      <w:r w:rsidRPr="00462264">
        <w:rPr>
          <w:rFonts w:ascii="Times New Roman" w:hAnsi="Times New Roman" w:cs="Times New Roman"/>
          <w:b/>
          <w:bCs/>
          <w:sz w:val="24"/>
          <w:szCs w:val="24"/>
        </w:rPr>
        <w:t xml:space="preserve"> overexpression on </w:t>
      </w:r>
      <w:proofErr w:type="spellStart"/>
      <w:r w:rsidRPr="00462264">
        <w:rPr>
          <w:rFonts w:ascii="Times New Roman" w:hAnsi="Times New Roman" w:cs="Times New Roman"/>
          <w:b/>
          <w:bCs/>
          <w:sz w:val="24"/>
          <w:szCs w:val="24"/>
        </w:rPr>
        <w:t>stereociliary</w:t>
      </w:r>
      <w:proofErr w:type="spellEnd"/>
      <w:r w:rsidRPr="00462264">
        <w:rPr>
          <w:rFonts w:ascii="Times New Roman" w:hAnsi="Times New Roman" w:cs="Times New Roman"/>
          <w:b/>
          <w:bCs/>
          <w:sz w:val="24"/>
          <w:szCs w:val="24"/>
        </w:rPr>
        <w:t xml:space="preserve"> bundles and innervation of utricular HCs. Related to Figure 6.</w:t>
      </w:r>
    </w:p>
    <w:p w14:paraId="44AF8C10"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(A) High-magnification images of Phalloidin-labeled HC bundles. The white dashed lines mark HCs with short bundles.</w:t>
      </w:r>
    </w:p>
    <w:p w14:paraId="1D9D1031"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(B) Statistical data showing the percentages of residual HCs with long, short, or no bundles. Statistical significance for the percentages of HCs with long bundles is indicated on the graph.</w:t>
      </w:r>
    </w:p>
    <w:p w14:paraId="3462B167" w14:textId="6AAF948C" w:rsid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Scale bars: 10 </w:t>
      </w:r>
      <w:proofErr w:type="spellStart"/>
      <w:r w:rsidRPr="00462264">
        <w:rPr>
          <w:rFonts w:ascii="Times New Roman" w:hAnsi="Times New Roman" w:cs="Times New Roman"/>
          <w:sz w:val="24"/>
          <w:szCs w:val="24"/>
        </w:rPr>
        <w:t>μm</w:t>
      </w:r>
      <w:proofErr w:type="spellEnd"/>
      <w:r w:rsidRPr="00462264">
        <w:rPr>
          <w:rFonts w:ascii="Times New Roman" w:hAnsi="Times New Roman" w:cs="Times New Roman"/>
          <w:sz w:val="24"/>
          <w:szCs w:val="24"/>
        </w:rPr>
        <w:t xml:space="preserve"> in A. Blue, grey, and orange asterisks indicate statistical significance compared with the respective controls. Black asterisks indicate statistical significance between the two groups marked by the straight lines. Unpaired t-test </w:t>
      </w:r>
      <w:r w:rsidRPr="00462264">
        <w:rPr>
          <w:rFonts w:ascii="Times New Roman" w:eastAsia="Arial Unicode MS" w:hAnsi="Times New Roman" w:cs="Times New Roman"/>
          <w:sz w:val="24"/>
          <w:szCs w:val="24"/>
        </w:rPr>
        <w:t>was performed in B</w:t>
      </w:r>
      <w:r w:rsidRPr="00462264">
        <w:rPr>
          <w:rFonts w:ascii="Times New Roman" w:hAnsi="Times New Roman" w:cs="Times New Roman"/>
          <w:sz w:val="24"/>
          <w:szCs w:val="24"/>
        </w:rPr>
        <w:t>. * p &lt; 0.05, ** p &lt; 0.01, *** p &lt; 0.001, **** p &lt; 0.0001, ns, not significant.</w:t>
      </w:r>
    </w:p>
    <w:p w14:paraId="4E27DF55" w14:textId="77777777" w:rsidR="00462264" w:rsidRDefault="0046226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80B9F48" w14:textId="4F7E167D" w:rsidR="007616AE" w:rsidRPr="00462264" w:rsidRDefault="00E25B84" w:rsidP="00462264">
      <w:pPr>
        <w:widowControl/>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739136" behindDoc="0" locked="0" layoutInCell="1" allowOverlap="1" wp14:anchorId="33318EE8" wp14:editId="1DC4B3D9">
            <wp:simplePos x="0" y="0"/>
            <wp:positionH relativeFrom="column">
              <wp:posOffset>5080</wp:posOffset>
            </wp:positionH>
            <wp:positionV relativeFrom="paragraph">
              <wp:posOffset>84455</wp:posOffset>
            </wp:positionV>
            <wp:extent cx="5274310" cy="3795395"/>
            <wp:effectExtent l="0" t="0" r="0" b="1905"/>
            <wp:wrapTopAndBottom/>
            <wp:docPr id="7261994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199426" name="Picture 72619942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795395"/>
                    </a:xfrm>
                    <a:prstGeom prst="rect">
                      <a:avLst/>
                    </a:prstGeom>
                  </pic:spPr>
                </pic:pic>
              </a:graphicData>
            </a:graphic>
            <wp14:sizeRelH relativeFrom="page">
              <wp14:pctWidth>0</wp14:pctWidth>
            </wp14:sizeRelH>
            <wp14:sizeRelV relativeFrom="page">
              <wp14:pctHeight>0</wp14:pctHeight>
            </wp14:sizeRelV>
          </wp:anchor>
        </w:drawing>
      </w:r>
    </w:p>
    <w:p w14:paraId="5B0090B5" w14:textId="221A0537" w:rsidR="007616AE" w:rsidRPr="00462264" w:rsidRDefault="00000000" w:rsidP="00462264">
      <w:pPr>
        <w:widowControl/>
        <w:jc w:val="left"/>
        <w:rPr>
          <w:rFonts w:ascii="Times New Roman" w:hAnsi="Times New Roman" w:cs="Times New Roman"/>
          <w:b/>
          <w:bCs/>
          <w:sz w:val="24"/>
          <w:szCs w:val="24"/>
        </w:rPr>
      </w:pPr>
      <w:r w:rsidRPr="00462264">
        <w:rPr>
          <w:rFonts w:ascii="Times New Roman" w:hAnsi="Times New Roman" w:cs="Times New Roman"/>
          <w:b/>
          <w:bCs/>
          <w:sz w:val="24"/>
          <w:szCs w:val="24"/>
        </w:rPr>
        <w:t>Figure S</w:t>
      </w:r>
      <w:r w:rsidR="005671E7">
        <w:rPr>
          <w:rFonts w:ascii="Times New Roman" w:hAnsi="Times New Roman" w:cs="Times New Roman" w:hint="eastAsia"/>
          <w:b/>
          <w:bCs/>
          <w:sz w:val="24"/>
          <w:szCs w:val="24"/>
        </w:rPr>
        <w:t>6</w:t>
      </w:r>
      <w:r w:rsidRPr="00462264">
        <w:rPr>
          <w:rFonts w:ascii="Times New Roman" w:hAnsi="Times New Roman" w:cs="Times New Roman"/>
          <w:b/>
          <w:bCs/>
          <w:sz w:val="24"/>
          <w:szCs w:val="24"/>
        </w:rPr>
        <w:t xml:space="preserve"> IDPN injection or </w:t>
      </w:r>
      <w:r w:rsidR="00C41958" w:rsidRPr="00462264">
        <w:rPr>
          <w:rFonts w:ascii="Times New Roman" w:hAnsi="Times New Roman" w:cs="Times New Roman"/>
          <w:b/>
          <w:bCs/>
          <w:i/>
          <w:sz w:val="24"/>
          <w:szCs w:val="24"/>
        </w:rPr>
        <w:t>Atoh1</w:t>
      </w:r>
      <w:r w:rsidRPr="00462264">
        <w:rPr>
          <w:rFonts w:ascii="Times New Roman" w:hAnsi="Times New Roman" w:cs="Times New Roman"/>
          <w:b/>
          <w:bCs/>
          <w:sz w:val="24"/>
          <w:szCs w:val="24"/>
        </w:rPr>
        <w:t xml:space="preserve"> overexpression reduced crista type I HCs. Related to Figure 6.</w:t>
      </w:r>
    </w:p>
    <w:p w14:paraId="72ADFC67" w14:textId="44401838" w:rsidR="007616AE" w:rsidRPr="00462264" w:rsidRDefault="00000000" w:rsidP="00462264">
      <w:pPr>
        <w:widowControl/>
        <w:jc w:val="left"/>
        <w:rPr>
          <w:rFonts w:ascii="Times New Roman" w:hAnsi="Times New Roman" w:cs="Times New Roman"/>
          <w:sz w:val="24"/>
          <w:szCs w:val="24"/>
        </w:rPr>
      </w:pPr>
      <w:bookmarkStart w:id="3" w:name="_Hlk204979303"/>
      <w:r w:rsidRPr="00462264">
        <w:rPr>
          <w:rFonts w:ascii="Times New Roman" w:hAnsi="Times New Roman" w:cs="Times New Roman"/>
          <w:sz w:val="24"/>
          <w:szCs w:val="24"/>
        </w:rPr>
        <w:t>(A-B) Low-magnification images showing Myo7a</w:t>
      </w:r>
      <w:r w:rsidRPr="00462264">
        <w:rPr>
          <w:rFonts w:ascii="Times New Roman" w:hAnsi="Times New Roman" w:cs="Times New Roman"/>
          <w:sz w:val="24"/>
          <w:szCs w:val="24"/>
          <w:vertAlign w:val="superscript"/>
        </w:rPr>
        <w:t xml:space="preserve">+ </w:t>
      </w:r>
      <w:r w:rsidRPr="00462264">
        <w:rPr>
          <w:rFonts w:ascii="Times New Roman" w:hAnsi="Times New Roman" w:cs="Times New Roman"/>
          <w:sz w:val="24"/>
          <w:szCs w:val="24"/>
        </w:rPr>
        <w:t>HC density in the cristae.</w:t>
      </w:r>
    </w:p>
    <w:p w14:paraId="345D8C85"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(C) Quantification of total crista HC numbers.</w:t>
      </w:r>
    </w:p>
    <w:p w14:paraId="74F82E4A" w14:textId="27C4AB1C"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(D-E) Representative images demonstrating that most crista HCs in IDPN-treated mice (D) or </w:t>
      </w:r>
      <w:r w:rsidR="00C41958" w:rsidRPr="00462264">
        <w:rPr>
          <w:rFonts w:ascii="Times New Roman" w:hAnsi="Times New Roman" w:cs="Times New Roman"/>
          <w:i/>
          <w:sz w:val="24"/>
          <w:szCs w:val="24"/>
        </w:rPr>
        <w:t>Gfi1</w:t>
      </w:r>
      <w:r w:rsidRPr="00462264">
        <w:rPr>
          <w:rFonts w:ascii="Times New Roman" w:hAnsi="Times New Roman" w:cs="Times New Roman"/>
          <w:sz w:val="24"/>
          <w:szCs w:val="24"/>
          <w:vertAlign w:val="superscript"/>
        </w:rPr>
        <w:t>Cre</w:t>
      </w:r>
      <w:r w:rsidRPr="00462264">
        <w:rPr>
          <w:rFonts w:ascii="Times New Roman" w:hAnsi="Times New Roman" w:cs="Times New Roman"/>
          <w:sz w:val="24"/>
          <w:szCs w:val="24"/>
        </w:rPr>
        <w:t>/</w:t>
      </w:r>
      <w:r w:rsidR="00C41958" w:rsidRPr="00462264">
        <w:rPr>
          <w:rFonts w:ascii="Times New Roman" w:hAnsi="Times New Roman" w:cs="Times New Roman"/>
          <w:i/>
          <w:sz w:val="24"/>
          <w:szCs w:val="24"/>
        </w:rPr>
        <w:t>Atoh1</w:t>
      </w:r>
      <w:r w:rsidRPr="00462264">
        <w:rPr>
          <w:rFonts w:ascii="Times New Roman" w:hAnsi="Times New Roman" w:cs="Times New Roman"/>
          <w:sz w:val="24"/>
          <w:szCs w:val="24"/>
        </w:rPr>
        <w:t>-OE mice (E) were Sox2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in both the central and peripheral zones.</w:t>
      </w:r>
    </w:p>
    <w:p w14:paraId="194C6E52"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(F-H) Quantification of 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(F), Sox2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(G) and Sox2</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(H) in the central and peripheral zones.</w:t>
      </w:r>
      <w:bookmarkEnd w:id="3"/>
    </w:p>
    <w:p w14:paraId="3C9F88AC" w14:textId="0AC95E35" w:rsid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Scale bars: 100 </w:t>
      </w:r>
      <w:proofErr w:type="spellStart"/>
      <w:r w:rsidRPr="00462264">
        <w:rPr>
          <w:rFonts w:ascii="Times New Roman" w:hAnsi="Times New Roman" w:cs="Times New Roman"/>
          <w:sz w:val="24"/>
          <w:szCs w:val="24"/>
        </w:rPr>
        <w:t>μm</w:t>
      </w:r>
      <w:proofErr w:type="spellEnd"/>
      <w:r w:rsidRPr="00462264">
        <w:rPr>
          <w:rFonts w:ascii="Times New Roman" w:hAnsi="Times New Roman" w:cs="Times New Roman"/>
          <w:sz w:val="24"/>
          <w:szCs w:val="24"/>
        </w:rPr>
        <w:t xml:space="preserve"> in A and B; 10 </w:t>
      </w:r>
      <w:proofErr w:type="spellStart"/>
      <w:r w:rsidRPr="00462264">
        <w:rPr>
          <w:rFonts w:ascii="Times New Roman" w:hAnsi="Times New Roman" w:cs="Times New Roman"/>
          <w:sz w:val="24"/>
          <w:szCs w:val="24"/>
        </w:rPr>
        <w:t>μm</w:t>
      </w:r>
      <w:proofErr w:type="spellEnd"/>
      <w:r w:rsidRPr="00462264">
        <w:rPr>
          <w:rFonts w:ascii="Times New Roman" w:hAnsi="Times New Roman" w:cs="Times New Roman"/>
          <w:sz w:val="24"/>
          <w:szCs w:val="24"/>
        </w:rPr>
        <w:t xml:space="preserve"> in D and E. Blue, grey, and orange asterisks indicate statistical significance compared with the respective controls. Black asterisks indicate statistical significance between the two groups marked by the straight lines. Unpaired t-test </w:t>
      </w:r>
      <w:r w:rsidRPr="00462264">
        <w:rPr>
          <w:rFonts w:ascii="Times New Roman" w:eastAsia="Arial Unicode MS" w:hAnsi="Times New Roman" w:cs="Times New Roman"/>
          <w:sz w:val="24"/>
          <w:szCs w:val="24"/>
        </w:rPr>
        <w:t>was performed for C, F-H</w:t>
      </w:r>
      <w:r w:rsidRPr="00462264">
        <w:rPr>
          <w:rFonts w:ascii="Times New Roman" w:hAnsi="Times New Roman" w:cs="Times New Roman"/>
          <w:sz w:val="24"/>
          <w:szCs w:val="24"/>
        </w:rPr>
        <w:t>. * p &lt; 0.05, ** p &lt; 0.01, *** p &lt; 0.001, **** p &lt; 0.0001, ns, not significant.</w:t>
      </w:r>
    </w:p>
    <w:p w14:paraId="37834D1C" w14:textId="00B4E75B" w:rsidR="00272797" w:rsidRDefault="00272797" w:rsidP="00462264">
      <w:pPr>
        <w:widowControl/>
        <w:jc w:val="left"/>
        <w:rPr>
          <w:rFonts w:ascii="Times New Roman" w:hAnsi="Times New Roman" w:cs="Times New Roman"/>
          <w:sz w:val="24"/>
          <w:szCs w:val="24"/>
        </w:rPr>
      </w:pPr>
    </w:p>
    <w:p w14:paraId="52ABEF33" w14:textId="77777777" w:rsidR="00E25B84" w:rsidRDefault="00E25B84" w:rsidP="00462264">
      <w:pPr>
        <w:widowControl/>
        <w:jc w:val="left"/>
        <w:rPr>
          <w:rFonts w:ascii="Times New Roman" w:hAnsi="Times New Roman" w:cs="Times New Roman"/>
          <w:sz w:val="24"/>
          <w:szCs w:val="24"/>
        </w:rPr>
      </w:pPr>
    </w:p>
    <w:p w14:paraId="0AE9C06F" w14:textId="77777777" w:rsidR="00E25B84" w:rsidRDefault="00E25B84" w:rsidP="00462264">
      <w:pPr>
        <w:widowControl/>
        <w:jc w:val="left"/>
        <w:rPr>
          <w:rFonts w:ascii="Times New Roman" w:hAnsi="Times New Roman" w:cs="Times New Roman"/>
          <w:sz w:val="24"/>
          <w:szCs w:val="24"/>
        </w:rPr>
      </w:pPr>
    </w:p>
    <w:p w14:paraId="316BE5A8" w14:textId="77777777" w:rsidR="00E25B84" w:rsidRDefault="00E25B84" w:rsidP="00462264">
      <w:pPr>
        <w:widowControl/>
        <w:jc w:val="left"/>
        <w:rPr>
          <w:rFonts w:ascii="Times New Roman" w:hAnsi="Times New Roman" w:cs="Times New Roman"/>
          <w:sz w:val="24"/>
          <w:szCs w:val="24"/>
        </w:rPr>
      </w:pPr>
    </w:p>
    <w:p w14:paraId="6DB89709" w14:textId="77777777" w:rsidR="00E25B84" w:rsidRDefault="00E25B84" w:rsidP="00462264">
      <w:pPr>
        <w:widowControl/>
        <w:jc w:val="left"/>
        <w:rPr>
          <w:rFonts w:ascii="Times New Roman" w:hAnsi="Times New Roman" w:cs="Times New Roman"/>
          <w:sz w:val="24"/>
          <w:szCs w:val="24"/>
        </w:rPr>
      </w:pPr>
    </w:p>
    <w:p w14:paraId="23CD1BF9" w14:textId="77777777" w:rsidR="00E25B84" w:rsidRDefault="00E25B84" w:rsidP="00462264">
      <w:pPr>
        <w:widowControl/>
        <w:jc w:val="left"/>
        <w:rPr>
          <w:rFonts w:ascii="Times New Roman" w:hAnsi="Times New Roman" w:cs="Times New Roman"/>
          <w:sz w:val="24"/>
          <w:szCs w:val="24"/>
        </w:rPr>
      </w:pPr>
    </w:p>
    <w:p w14:paraId="17C6C0FD" w14:textId="77777777" w:rsidR="00E25B84" w:rsidRDefault="00E25B84" w:rsidP="00462264">
      <w:pPr>
        <w:widowControl/>
        <w:jc w:val="left"/>
        <w:rPr>
          <w:rFonts w:ascii="Times New Roman" w:hAnsi="Times New Roman" w:cs="Times New Roman"/>
          <w:sz w:val="24"/>
          <w:szCs w:val="24"/>
        </w:rPr>
      </w:pPr>
    </w:p>
    <w:p w14:paraId="290EF451" w14:textId="77777777" w:rsidR="00E25B84" w:rsidRDefault="00E25B84" w:rsidP="00462264">
      <w:pPr>
        <w:widowControl/>
        <w:jc w:val="left"/>
        <w:rPr>
          <w:rFonts w:ascii="Times New Roman" w:hAnsi="Times New Roman" w:cs="Times New Roman"/>
          <w:sz w:val="24"/>
          <w:szCs w:val="24"/>
        </w:rPr>
      </w:pPr>
    </w:p>
    <w:p w14:paraId="788402F0" w14:textId="77777777" w:rsidR="00E25B84" w:rsidRDefault="00E25B84" w:rsidP="00462264">
      <w:pPr>
        <w:widowControl/>
        <w:jc w:val="left"/>
        <w:rPr>
          <w:rFonts w:ascii="Times New Roman" w:hAnsi="Times New Roman" w:cs="Times New Roman"/>
          <w:sz w:val="24"/>
          <w:szCs w:val="24"/>
        </w:rPr>
      </w:pPr>
    </w:p>
    <w:p w14:paraId="50FA5A2B" w14:textId="77777777" w:rsidR="00E25B84" w:rsidRDefault="00E25B84" w:rsidP="00462264">
      <w:pPr>
        <w:widowControl/>
        <w:jc w:val="left"/>
        <w:rPr>
          <w:rFonts w:ascii="Times New Roman" w:hAnsi="Times New Roman" w:cs="Times New Roman"/>
          <w:sz w:val="24"/>
          <w:szCs w:val="24"/>
        </w:rPr>
      </w:pPr>
    </w:p>
    <w:p w14:paraId="19A901FD" w14:textId="2AEEBE8D" w:rsidR="007616AE" w:rsidRPr="00E25B84" w:rsidRDefault="00E25B84" w:rsidP="00462264">
      <w:pPr>
        <w:widowControl/>
        <w:jc w:val="left"/>
        <w:rPr>
          <w:rFonts w:ascii="Times New Roman" w:hAnsi="Times New Roman" w:cs="Times New Roman"/>
          <w:sz w:val="24"/>
          <w:szCs w:val="24"/>
        </w:rPr>
      </w:pPr>
      <w:r>
        <w:rPr>
          <w:rFonts w:ascii="Times New Roman" w:hAnsi="Times New Roman" w:cs="Times New Roman" w:hint="eastAsia"/>
          <w:noProof/>
          <w:sz w:val="24"/>
          <w:szCs w:val="24"/>
        </w:rPr>
        <w:lastRenderedPageBreak/>
        <w:drawing>
          <wp:anchor distT="0" distB="0" distL="114300" distR="114300" simplePos="0" relativeHeight="251740160" behindDoc="0" locked="0" layoutInCell="1" allowOverlap="1" wp14:anchorId="7171F6D5" wp14:editId="04E69A93">
            <wp:simplePos x="0" y="0"/>
            <wp:positionH relativeFrom="column">
              <wp:posOffset>5080</wp:posOffset>
            </wp:positionH>
            <wp:positionV relativeFrom="paragraph">
              <wp:posOffset>41910</wp:posOffset>
            </wp:positionV>
            <wp:extent cx="5274310" cy="5666105"/>
            <wp:effectExtent l="0" t="0" r="0" b="0"/>
            <wp:wrapTopAndBottom/>
            <wp:docPr id="1816368471" name="Picture 7"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368471" name="Picture 7" descr="A close-up of a graph&#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666105"/>
                    </a:xfrm>
                    <a:prstGeom prst="rect">
                      <a:avLst/>
                    </a:prstGeom>
                  </pic:spPr>
                </pic:pic>
              </a:graphicData>
            </a:graphic>
            <wp14:sizeRelH relativeFrom="page">
              <wp14:pctWidth>0</wp14:pctWidth>
            </wp14:sizeRelH>
            <wp14:sizeRelV relativeFrom="page">
              <wp14:pctHeight>0</wp14:pctHeight>
            </wp14:sizeRelV>
          </wp:anchor>
        </w:drawing>
      </w:r>
      <w:r w:rsidR="0064333E" w:rsidRPr="00462264">
        <w:rPr>
          <w:rFonts w:ascii="Times New Roman" w:hAnsi="Times New Roman" w:cs="Times New Roman"/>
          <w:b/>
          <w:bCs/>
          <w:sz w:val="24"/>
          <w:szCs w:val="24"/>
        </w:rPr>
        <w:t>Figure S</w:t>
      </w:r>
      <w:r w:rsidR="005671E7">
        <w:rPr>
          <w:rFonts w:ascii="Times New Roman" w:hAnsi="Times New Roman" w:cs="Times New Roman" w:hint="eastAsia"/>
          <w:b/>
          <w:bCs/>
          <w:sz w:val="24"/>
          <w:szCs w:val="24"/>
        </w:rPr>
        <w:t>7</w:t>
      </w:r>
      <w:r w:rsidR="0064333E" w:rsidRPr="00462264">
        <w:rPr>
          <w:rFonts w:ascii="Times New Roman" w:hAnsi="Times New Roman" w:cs="Times New Roman"/>
          <w:b/>
          <w:bCs/>
          <w:sz w:val="24"/>
          <w:szCs w:val="24"/>
        </w:rPr>
        <w:t xml:space="preserve"> IDPN injection or </w:t>
      </w:r>
      <w:r w:rsidR="00C41958" w:rsidRPr="00462264">
        <w:rPr>
          <w:rFonts w:ascii="Times New Roman" w:hAnsi="Times New Roman" w:cs="Times New Roman"/>
          <w:b/>
          <w:bCs/>
          <w:i/>
          <w:sz w:val="24"/>
          <w:szCs w:val="24"/>
        </w:rPr>
        <w:t>Atoh1</w:t>
      </w:r>
      <w:r w:rsidR="0064333E" w:rsidRPr="00462264">
        <w:rPr>
          <w:rFonts w:ascii="Times New Roman" w:hAnsi="Times New Roman" w:cs="Times New Roman"/>
          <w:b/>
          <w:bCs/>
          <w:sz w:val="24"/>
          <w:szCs w:val="24"/>
        </w:rPr>
        <w:t xml:space="preserve"> overexpression reduced saccular type I HCs. Related to Figure 6.</w:t>
      </w:r>
    </w:p>
    <w:p w14:paraId="00103D0A"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(A-B) Low-magnification images showing the density of 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in the saccules.</w:t>
      </w:r>
    </w:p>
    <w:p w14:paraId="5AC6B31F"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(C) Quantification of total saccular HC numbers.</w:t>
      </w:r>
    </w:p>
    <w:p w14:paraId="4B09F874" w14:textId="77777777"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(D) Quantification of Myo7a</w:t>
      </w:r>
      <w:r w:rsidRPr="00462264">
        <w:rPr>
          <w:rFonts w:ascii="Times New Roman" w:hAnsi="Times New Roman" w:cs="Times New Roman"/>
          <w:sz w:val="24"/>
          <w:szCs w:val="24"/>
          <w:vertAlign w:val="superscript"/>
        </w:rPr>
        <w:t>+</w:t>
      </w:r>
      <w:r w:rsidRPr="00462264">
        <w:rPr>
          <w:rFonts w:ascii="Times New Roman" w:hAnsi="Times New Roman" w:cs="Times New Roman"/>
          <w:sz w:val="24"/>
          <w:szCs w:val="24"/>
        </w:rPr>
        <w:t xml:space="preserve"> HCs in the striola and extrastriola.</w:t>
      </w:r>
    </w:p>
    <w:p w14:paraId="0A026734" w14:textId="7519417C" w:rsidR="007616AE" w:rsidRPr="00462264" w:rsidRDefault="00000000" w:rsidP="00462264">
      <w:pPr>
        <w:widowControl/>
        <w:jc w:val="left"/>
        <w:rPr>
          <w:rFonts w:ascii="Times New Roman" w:hAnsi="Times New Roman" w:cs="Times New Roman"/>
          <w:color w:val="000000" w:themeColor="text1"/>
          <w:sz w:val="24"/>
          <w:szCs w:val="24"/>
        </w:rPr>
      </w:pPr>
      <w:r w:rsidRPr="00462264">
        <w:rPr>
          <w:rFonts w:ascii="Times New Roman" w:hAnsi="Times New Roman" w:cs="Times New Roman"/>
          <w:color w:val="000000" w:themeColor="text1"/>
          <w:sz w:val="24"/>
          <w:szCs w:val="24"/>
        </w:rPr>
        <w:t>(E-F) Representative images demonstrating that most saccular HCs in IDPN-treated mice</w:t>
      </w:r>
      <w:r w:rsidR="00EF64D5" w:rsidRPr="00462264">
        <w:rPr>
          <w:rFonts w:ascii="Times New Roman" w:hAnsi="Times New Roman" w:cs="Times New Roman"/>
          <w:color w:val="000000" w:themeColor="text1"/>
          <w:sz w:val="24"/>
          <w:szCs w:val="24"/>
        </w:rPr>
        <w:t xml:space="preserve"> (E)</w:t>
      </w:r>
      <w:r w:rsidRPr="00462264">
        <w:rPr>
          <w:rFonts w:ascii="Times New Roman" w:hAnsi="Times New Roman" w:cs="Times New Roman"/>
          <w:color w:val="000000" w:themeColor="text1"/>
          <w:sz w:val="24"/>
          <w:szCs w:val="24"/>
        </w:rPr>
        <w:t xml:space="preserve"> or </w:t>
      </w:r>
      <w:r w:rsidR="00C41958" w:rsidRPr="00462264">
        <w:rPr>
          <w:rFonts w:ascii="Times New Roman" w:hAnsi="Times New Roman" w:cs="Times New Roman"/>
          <w:i/>
          <w:color w:val="000000" w:themeColor="text1"/>
          <w:sz w:val="24"/>
          <w:szCs w:val="24"/>
        </w:rPr>
        <w:t>Gfi1</w:t>
      </w:r>
      <w:r w:rsidRPr="00462264">
        <w:rPr>
          <w:rFonts w:ascii="Times New Roman" w:hAnsi="Times New Roman" w:cs="Times New Roman"/>
          <w:color w:val="000000" w:themeColor="text1"/>
          <w:sz w:val="24"/>
          <w:szCs w:val="24"/>
          <w:vertAlign w:val="superscript"/>
        </w:rPr>
        <w:t>Cre</w:t>
      </w:r>
      <w:r w:rsidRPr="00462264">
        <w:rPr>
          <w:rFonts w:ascii="Times New Roman" w:hAnsi="Times New Roman" w:cs="Times New Roman"/>
          <w:color w:val="000000" w:themeColor="text1"/>
          <w:sz w:val="24"/>
          <w:szCs w:val="24"/>
        </w:rPr>
        <w:t>/</w:t>
      </w:r>
      <w:r w:rsidR="00C41958" w:rsidRPr="00462264">
        <w:rPr>
          <w:rFonts w:ascii="Times New Roman" w:hAnsi="Times New Roman" w:cs="Times New Roman"/>
          <w:i/>
          <w:color w:val="000000" w:themeColor="text1"/>
          <w:sz w:val="24"/>
          <w:szCs w:val="24"/>
        </w:rPr>
        <w:t>Atoh1</w:t>
      </w:r>
      <w:r w:rsidRPr="00462264">
        <w:rPr>
          <w:rFonts w:ascii="Times New Roman" w:hAnsi="Times New Roman" w:cs="Times New Roman"/>
          <w:color w:val="000000" w:themeColor="text1"/>
          <w:sz w:val="24"/>
          <w:szCs w:val="24"/>
        </w:rPr>
        <w:t>-OE mice</w:t>
      </w:r>
      <w:r w:rsidR="00EF64D5" w:rsidRPr="00462264">
        <w:rPr>
          <w:rFonts w:ascii="Times New Roman" w:hAnsi="Times New Roman" w:cs="Times New Roman"/>
          <w:color w:val="000000" w:themeColor="text1"/>
          <w:sz w:val="24"/>
          <w:szCs w:val="24"/>
        </w:rPr>
        <w:t xml:space="preserve"> (F)</w:t>
      </w:r>
      <w:r w:rsidRPr="00462264">
        <w:rPr>
          <w:rFonts w:ascii="Times New Roman" w:hAnsi="Times New Roman" w:cs="Times New Roman"/>
          <w:color w:val="000000" w:themeColor="text1"/>
          <w:sz w:val="24"/>
          <w:szCs w:val="24"/>
        </w:rPr>
        <w:t xml:space="preserve"> were Sox2</w:t>
      </w:r>
      <w:r w:rsidRPr="00462264">
        <w:rPr>
          <w:rFonts w:ascii="Times New Roman" w:hAnsi="Times New Roman" w:cs="Times New Roman"/>
          <w:color w:val="000000" w:themeColor="text1"/>
          <w:sz w:val="24"/>
          <w:szCs w:val="24"/>
          <w:vertAlign w:val="superscript"/>
        </w:rPr>
        <w:t>+</w:t>
      </w:r>
      <w:r w:rsidRPr="00462264">
        <w:rPr>
          <w:rFonts w:ascii="Times New Roman" w:hAnsi="Times New Roman" w:cs="Times New Roman"/>
          <w:color w:val="000000" w:themeColor="text1"/>
          <w:sz w:val="24"/>
          <w:szCs w:val="24"/>
        </w:rPr>
        <w:t xml:space="preserve"> HCs in both the striola and extrastriola.</w:t>
      </w:r>
    </w:p>
    <w:p w14:paraId="476E2AB9" w14:textId="77777777" w:rsidR="007616AE" w:rsidRPr="00462264" w:rsidRDefault="00000000" w:rsidP="00462264">
      <w:pPr>
        <w:widowControl/>
        <w:jc w:val="left"/>
        <w:rPr>
          <w:rFonts w:ascii="Times New Roman" w:hAnsi="Times New Roman" w:cs="Times New Roman"/>
          <w:color w:val="000000" w:themeColor="text1"/>
          <w:sz w:val="24"/>
          <w:szCs w:val="24"/>
        </w:rPr>
      </w:pPr>
      <w:r w:rsidRPr="00462264">
        <w:rPr>
          <w:rFonts w:ascii="Times New Roman" w:hAnsi="Times New Roman" w:cs="Times New Roman"/>
          <w:color w:val="000000" w:themeColor="text1"/>
          <w:sz w:val="24"/>
          <w:szCs w:val="24"/>
        </w:rPr>
        <w:t>(G-H) Quantification of Sox2</w:t>
      </w:r>
      <w:r w:rsidRPr="00462264">
        <w:rPr>
          <w:rFonts w:ascii="Times New Roman" w:hAnsi="Times New Roman" w:cs="Times New Roman"/>
          <w:color w:val="000000" w:themeColor="text1"/>
          <w:sz w:val="24"/>
          <w:szCs w:val="24"/>
          <w:vertAlign w:val="superscript"/>
        </w:rPr>
        <w:t>–</w:t>
      </w:r>
      <w:r w:rsidRPr="00462264">
        <w:rPr>
          <w:rFonts w:ascii="Times New Roman" w:hAnsi="Times New Roman" w:cs="Times New Roman"/>
          <w:color w:val="000000" w:themeColor="text1"/>
          <w:sz w:val="24"/>
          <w:szCs w:val="24"/>
        </w:rPr>
        <w:t>/Myo7a</w:t>
      </w:r>
      <w:r w:rsidRPr="00462264">
        <w:rPr>
          <w:rFonts w:ascii="Times New Roman" w:hAnsi="Times New Roman" w:cs="Times New Roman"/>
          <w:color w:val="000000" w:themeColor="text1"/>
          <w:sz w:val="24"/>
          <w:szCs w:val="24"/>
          <w:vertAlign w:val="superscript"/>
        </w:rPr>
        <w:t>+</w:t>
      </w:r>
      <w:r w:rsidRPr="00462264">
        <w:rPr>
          <w:rFonts w:ascii="Times New Roman" w:hAnsi="Times New Roman" w:cs="Times New Roman"/>
          <w:color w:val="000000" w:themeColor="text1"/>
          <w:sz w:val="24"/>
          <w:szCs w:val="24"/>
        </w:rPr>
        <w:t xml:space="preserve"> HCs (G) and Sox2</w:t>
      </w:r>
      <w:r w:rsidRPr="00462264">
        <w:rPr>
          <w:rFonts w:ascii="Times New Roman" w:hAnsi="Times New Roman" w:cs="Times New Roman"/>
          <w:color w:val="000000" w:themeColor="text1"/>
          <w:sz w:val="24"/>
          <w:szCs w:val="24"/>
          <w:vertAlign w:val="superscript"/>
        </w:rPr>
        <w:t>+</w:t>
      </w:r>
      <w:r w:rsidRPr="00462264">
        <w:rPr>
          <w:rFonts w:ascii="Times New Roman" w:hAnsi="Times New Roman" w:cs="Times New Roman"/>
          <w:color w:val="000000" w:themeColor="text1"/>
          <w:sz w:val="24"/>
          <w:szCs w:val="24"/>
        </w:rPr>
        <w:t>/Myo7a</w:t>
      </w:r>
      <w:r w:rsidRPr="00462264">
        <w:rPr>
          <w:rFonts w:ascii="Times New Roman" w:hAnsi="Times New Roman" w:cs="Times New Roman"/>
          <w:color w:val="000000" w:themeColor="text1"/>
          <w:sz w:val="24"/>
          <w:szCs w:val="24"/>
          <w:vertAlign w:val="superscript"/>
        </w:rPr>
        <w:t>+</w:t>
      </w:r>
      <w:r w:rsidRPr="00462264">
        <w:rPr>
          <w:rFonts w:ascii="Times New Roman" w:hAnsi="Times New Roman" w:cs="Times New Roman"/>
          <w:color w:val="000000" w:themeColor="text1"/>
          <w:sz w:val="24"/>
          <w:szCs w:val="24"/>
        </w:rPr>
        <w:t xml:space="preserve"> HCs (H) in the striola and extrastriola.</w:t>
      </w:r>
    </w:p>
    <w:p w14:paraId="71CACF21" w14:textId="46505BCE"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color w:val="000000" w:themeColor="text1"/>
          <w:sz w:val="24"/>
          <w:szCs w:val="24"/>
        </w:rPr>
        <w:t xml:space="preserve">Scale bars: 100 </w:t>
      </w:r>
      <w:proofErr w:type="spellStart"/>
      <w:r w:rsidRPr="00462264">
        <w:rPr>
          <w:rFonts w:ascii="Times New Roman" w:hAnsi="Times New Roman" w:cs="Times New Roman"/>
          <w:color w:val="000000" w:themeColor="text1"/>
          <w:sz w:val="24"/>
          <w:szCs w:val="24"/>
        </w:rPr>
        <w:t>μm</w:t>
      </w:r>
      <w:proofErr w:type="spellEnd"/>
      <w:r w:rsidRPr="00462264">
        <w:rPr>
          <w:rFonts w:ascii="Times New Roman" w:hAnsi="Times New Roman" w:cs="Times New Roman"/>
          <w:color w:val="000000" w:themeColor="text1"/>
          <w:sz w:val="24"/>
          <w:szCs w:val="24"/>
        </w:rPr>
        <w:t xml:space="preserve"> in A and B; 10 </w:t>
      </w:r>
      <w:proofErr w:type="spellStart"/>
      <w:r w:rsidRPr="00462264">
        <w:rPr>
          <w:rFonts w:ascii="Times New Roman" w:hAnsi="Times New Roman" w:cs="Times New Roman"/>
          <w:color w:val="000000" w:themeColor="text1"/>
          <w:sz w:val="24"/>
          <w:szCs w:val="24"/>
        </w:rPr>
        <w:t>μm</w:t>
      </w:r>
      <w:proofErr w:type="spellEnd"/>
      <w:r w:rsidRPr="00462264">
        <w:rPr>
          <w:rFonts w:ascii="Times New Roman" w:hAnsi="Times New Roman" w:cs="Times New Roman"/>
          <w:color w:val="000000" w:themeColor="text1"/>
          <w:sz w:val="24"/>
          <w:szCs w:val="24"/>
        </w:rPr>
        <w:t xml:space="preserve"> in E and F. Blue, grey, and orange asterisks indicate statistical significance compared with the respective controls. Black asterisks indicate statistical significance between the two groups marked by the straight lines. Unpaired t-test </w:t>
      </w:r>
      <w:r w:rsidRPr="00462264">
        <w:rPr>
          <w:rFonts w:ascii="Times New Roman" w:eastAsia="Arial Unicode MS" w:hAnsi="Times New Roman" w:cs="Times New Roman"/>
          <w:color w:val="000000" w:themeColor="text1"/>
          <w:sz w:val="24"/>
          <w:szCs w:val="24"/>
        </w:rPr>
        <w:t>was performed for C, D, G, H</w:t>
      </w:r>
      <w:r w:rsidRPr="00462264">
        <w:rPr>
          <w:rFonts w:ascii="Times New Roman" w:hAnsi="Times New Roman" w:cs="Times New Roman"/>
          <w:color w:val="000000" w:themeColor="text1"/>
          <w:sz w:val="24"/>
          <w:szCs w:val="24"/>
        </w:rPr>
        <w:t>. *p &lt; 0.05, **p &lt; 0</w:t>
      </w:r>
      <w:r w:rsidRPr="00462264">
        <w:rPr>
          <w:rFonts w:ascii="Times New Roman" w:hAnsi="Times New Roman" w:cs="Times New Roman"/>
          <w:sz w:val="24"/>
          <w:szCs w:val="24"/>
        </w:rPr>
        <w:t xml:space="preserve">.01, *** p &lt; 0.001, ****p &lt; 0.0001, ns, not significant. </w:t>
      </w:r>
    </w:p>
    <w:p w14:paraId="52A17588" w14:textId="46AD9BAC" w:rsidR="007616AE" w:rsidRPr="00E25B84" w:rsidRDefault="00000000" w:rsidP="00462264">
      <w:pPr>
        <w:widowControl/>
        <w:jc w:val="left"/>
        <w:rPr>
          <w:rFonts w:ascii="Times New Roman" w:hAnsi="Times New Roman" w:cs="Times New Roman"/>
          <w:b/>
          <w:bCs/>
          <w:sz w:val="24"/>
          <w:szCs w:val="24"/>
        </w:rPr>
      </w:pPr>
      <w:r w:rsidRPr="00462264">
        <w:rPr>
          <w:rFonts w:ascii="Times New Roman" w:hAnsi="Times New Roman" w:cs="Times New Roman"/>
          <w:sz w:val="24"/>
          <w:szCs w:val="24"/>
        </w:rPr>
        <w:br w:type="page"/>
      </w:r>
      <w:r w:rsidR="00E25B84">
        <w:rPr>
          <w:rFonts w:ascii="Times New Roman" w:hAnsi="Times New Roman" w:cs="Times New Roman"/>
          <w:b/>
          <w:bCs/>
          <w:noProof/>
          <w:sz w:val="24"/>
          <w:szCs w:val="24"/>
        </w:rPr>
        <w:lastRenderedPageBreak/>
        <w:drawing>
          <wp:anchor distT="0" distB="0" distL="114300" distR="114300" simplePos="0" relativeHeight="251741184" behindDoc="0" locked="0" layoutInCell="1" allowOverlap="1" wp14:anchorId="461A00A8" wp14:editId="0D39FE8A">
            <wp:simplePos x="0" y="0"/>
            <wp:positionH relativeFrom="column">
              <wp:posOffset>5080</wp:posOffset>
            </wp:positionH>
            <wp:positionV relativeFrom="paragraph">
              <wp:posOffset>0</wp:posOffset>
            </wp:positionV>
            <wp:extent cx="5274310" cy="4749800"/>
            <wp:effectExtent l="0" t="0" r="0" b="0"/>
            <wp:wrapTopAndBottom/>
            <wp:docPr id="4312008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200887" name="Picture 43120088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749800"/>
                    </a:xfrm>
                    <a:prstGeom prst="rect">
                      <a:avLst/>
                    </a:prstGeom>
                  </pic:spPr>
                </pic:pic>
              </a:graphicData>
            </a:graphic>
            <wp14:sizeRelH relativeFrom="page">
              <wp14:pctWidth>0</wp14:pctWidth>
            </wp14:sizeRelH>
            <wp14:sizeRelV relativeFrom="page">
              <wp14:pctHeight>0</wp14:pctHeight>
            </wp14:sizeRelV>
          </wp:anchor>
        </w:drawing>
      </w:r>
      <w:r w:rsidRPr="00462264">
        <w:rPr>
          <w:rFonts w:ascii="Times New Roman" w:hAnsi="Times New Roman" w:cs="Times New Roman"/>
          <w:b/>
          <w:bCs/>
          <w:sz w:val="24"/>
          <w:szCs w:val="24"/>
        </w:rPr>
        <w:t>Figure S</w:t>
      </w:r>
      <w:r w:rsidR="005671E7">
        <w:rPr>
          <w:rFonts w:ascii="Times New Roman" w:hAnsi="Times New Roman" w:cs="Times New Roman" w:hint="eastAsia"/>
          <w:b/>
          <w:bCs/>
          <w:sz w:val="24"/>
          <w:szCs w:val="24"/>
        </w:rPr>
        <w:t>8</w:t>
      </w:r>
      <w:r w:rsidRPr="00462264">
        <w:rPr>
          <w:rFonts w:ascii="Times New Roman" w:hAnsi="Times New Roman" w:cs="Times New Roman"/>
          <w:b/>
          <w:bCs/>
          <w:sz w:val="24"/>
          <w:szCs w:val="24"/>
        </w:rPr>
        <w:t xml:space="preserve"> HAVOR test results from 10ng/g DT-treated </w:t>
      </w:r>
      <w:r w:rsidR="00C41958" w:rsidRPr="00462264">
        <w:rPr>
          <w:rFonts w:ascii="Times New Roman" w:hAnsi="Times New Roman" w:cs="Times New Roman"/>
          <w:b/>
          <w:bCs/>
          <w:i/>
          <w:sz w:val="24"/>
          <w:szCs w:val="24"/>
        </w:rPr>
        <w:t>Pou4f3</w:t>
      </w:r>
      <w:r w:rsidRPr="00462264">
        <w:rPr>
          <w:rFonts w:ascii="Times New Roman" w:hAnsi="Times New Roman" w:cs="Times New Roman"/>
          <w:b/>
          <w:bCs/>
          <w:sz w:val="24"/>
          <w:szCs w:val="24"/>
          <w:vertAlign w:val="superscript"/>
        </w:rPr>
        <w:t>DTR</w:t>
      </w:r>
      <w:r w:rsidRPr="00462264">
        <w:rPr>
          <w:rFonts w:ascii="Times New Roman" w:hAnsi="Times New Roman" w:cs="Times New Roman"/>
          <w:b/>
          <w:bCs/>
          <w:sz w:val="24"/>
          <w:szCs w:val="24"/>
        </w:rPr>
        <w:t xml:space="preserve">, IDPN-injured and </w:t>
      </w:r>
      <w:r w:rsidR="00C41958" w:rsidRPr="00462264">
        <w:rPr>
          <w:rFonts w:ascii="Times New Roman" w:hAnsi="Times New Roman" w:cs="Times New Roman"/>
          <w:b/>
          <w:bCs/>
          <w:i/>
          <w:sz w:val="24"/>
          <w:szCs w:val="24"/>
        </w:rPr>
        <w:t>Gfi1</w:t>
      </w:r>
      <w:r w:rsidRPr="00462264">
        <w:rPr>
          <w:rFonts w:ascii="Times New Roman" w:hAnsi="Times New Roman" w:cs="Times New Roman"/>
          <w:b/>
          <w:bCs/>
          <w:sz w:val="24"/>
          <w:szCs w:val="24"/>
          <w:vertAlign w:val="superscript"/>
        </w:rPr>
        <w:t>Cre</w:t>
      </w:r>
      <w:r w:rsidRPr="00462264">
        <w:rPr>
          <w:rFonts w:ascii="Times New Roman" w:hAnsi="Times New Roman" w:cs="Times New Roman"/>
          <w:b/>
          <w:bCs/>
          <w:sz w:val="24"/>
          <w:szCs w:val="24"/>
        </w:rPr>
        <w:t>/</w:t>
      </w:r>
      <w:r w:rsidR="00C41958" w:rsidRPr="00462264">
        <w:rPr>
          <w:rFonts w:ascii="Times New Roman" w:hAnsi="Times New Roman" w:cs="Times New Roman"/>
          <w:b/>
          <w:bCs/>
          <w:i/>
          <w:sz w:val="24"/>
          <w:szCs w:val="24"/>
        </w:rPr>
        <w:t>Atoh1</w:t>
      </w:r>
      <w:r w:rsidRPr="00462264">
        <w:rPr>
          <w:rFonts w:ascii="Times New Roman" w:hAnsi="Times New Roman" w:cs="Times New Roman"/>
          <w:b/>
          <w:bCs/>
          <w:sz w:val="24"/>
          <w:szCs w:val="24"/>
        </w:rPr>
        <w:t>-OE mice. Related to Figure 8.</w:t>
      </w:r>
    </w:p>
    <w:p w14:paraId="23B86DE1" w14:textId="28366036" w:rsidR="007616AE" w:rsidRPr="00462264" w:rsidRDefault="00000000" w:rsidP="00462264">
      <w:pPr>
        <w:widowControl/>
        <w:jc w:val="left"/>
        <w:rPr>
          <w:rFonts w:ascii="Times New Roman" w:hAnsi="Times New Roman" w:cs="Times New Roman"/>
          <w:sz w:val="24"/>
          <w:szCs w:val="24"/>
        </w:rPr>
      </w:pPr>
      <w:r w:rsidRPr="00462264">
        <w:rPr>
          <w:rFonts w:ascii="Times New Roman" w:hAnsi="Times New Roman" w:cs="Times New Roman"/>
          <w:sz w:val="24"/>
          <w:szCs w:val="24"/>
        </w:rPr>
        <w:t xml:space="preserve">(A-E) Gain values in the HAVOR tests at various frequencies. Blue, grey, and orange asterisks indicate statistical significance compared with the respective controls. Black asterisks indicate statistical significance between the two groups marked by the straight lines. Unpaired t-test </w:t>
      </w:r>
      <w:r w:rsidRPr="00462264">
        <w:rPr>
          <w:rFonts w:ascii="Times New Roman" w:eastAsia="Arial Unicode MS" w:hAnsi="Times New Roman" w:cs="Times New Roman"/>
          <w:sz w:val="24"/>
          <w:szCs w:val="24"/>
        </w:rPr>
        <w:t>was performed for A-E</w:t>
      </w:r>
      <w:r w:rsidRPr="00462264">
        <w:rPr>
          <w:rFonts w:ascii="Times New Roman" w:hAnsi="Times New Roman" w:cs="Times New Roman"/>
          <w:sz w:val="24"/>
          <w:szCs w:val="24"/>
        </w:rPr>
        <w:t xml:space="preserve">. * p &lt; 0.05, ** p &lt; 0.01, *** p &lt; 0.001, **** p &lt; 0.0001. </w:t>
      </w:r>
    </w:p>
    <w:sectPr w:rsidR="007616AE" w:rsidRPr="004622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D4A69" w14:textId="77777777" w:rsidR="00E53E36" w:rsidRDefault="00E53E36" w:rsidP="00B13FD4">
      <w:r>
        <w:separator/>
      </w:r>
    </w:p>
  </w:endnote>
  <w:endnote w:type="continuationSeparator" w:id="0">
    <w:p w14:paraId="2DDD4F89" w14:textId="77777777" w:rsidR="00E53E36" w:rsidRDefault="00E53E36" w:rsidP="00B13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E37B8" w14:textId="77777777" w:rsidR="00E53E36" w:rsidRDefault="00E53E36" w:rsidP="00B13FD4">
      <w:r>
        <w:separator/>
      </w:r>
    </w:p>
  </w:footnote>
  <w:footnote w:type="continuationSeparator" w:id="0">
    <w:p w14:paraId="23AA88ED" w14:textId="77777777" w:rsidR="00E53E36" w:rsidRDefault="00E53E36" w:rsidP="00B13F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D42"/>
    <w:rsid w:val="00002CB7"/>
    <w:rsid w:val="00005EB7"/>
    <w:rsid w:val="0001224F"/>
    <w:rsid w:val="00017218"/>
    <w:rsid w:val="00023376"/>
    <w:rsid w:val="00026161"/>
    <w:rsid w:val="00034CBB"/>
    <w:rsid w:val="00042F6E"/>
    <w:rsid w:val="0004597E"/>
    <w:rsid w:val="000521E5"/>
    <w:rsid w:val="00052546"/>
    <w:rsid w:val="000534F2"/>
    <w:rsid w:val="00072DE6"/>
    <w:rsid w:val="00076A5A"/>
    <w:rsid w:val="00076ACC"/>
    <w:rsid w:val="000825CA"/>
    <w:rsid w:val="0008406C"/>
    <w:rsid w:val="00084139"/>
    <w:rsid w:val="0008664D"/>
    <w:rsid w:val="00094DBD"/>
    <w:rsid w:val="0009660D"/>
    <w:rsid w:val="000A2F3D"/>
    <w:rsid w:val="000A7927"/>
    <w:rsid w:val="000B642E"/>
    <w:rsid w:val="000C4B6D"/>
    <w:rsid w:val="000C4F07"/>
    <w:rsid w:val="000D342A"/>
    <w:rsid w:val="000D5378"/>
    <w:rsid w:val="000E03F2"/>
    <w:rsid w:val="000E0D3F"/>
    <w:rsid w:val="000E1991"/>
    <w:rsid w:val="000E79BA"/>
    <w:rsid w:val="000E7ACA"/>
    <w:rsid w:val="00100AD6"/>
    <w:rsid w:val="00111548"/>
    <w:rsid w:val="00126ADE"/>
    <w:rsid w:val="00132DAA"/>
    <w:rsid w:val="00135A72"/>
    <w:rsid w:val="001374CD"/>
    <w:rsid w:val="00146BA3"/>
    <w:rsid w:val="0015561F"/>
    <w:rsid w:val="001579B1"/>
    <w:rsid w:val="00171009"/>
    <w:rsid w:val="001740C4"/>
    <w:rsid w:val="001753D3"/>
    <w:rsid w:val="0018698F"/>
    <w:rsid w:val="0018736D"/>
    <w:rsid w:val="00196B37"/>
    <w:rsid w:val="001A657A"/>
    <w:rsid w:val="001A667B"/>
    <w:rsid w:val="001B4E14"/>
    <w:rsid w:val="001B7EB1"/>
    <w:rsid w:val="001C6A6C"/>
    <w:rsid w:val="001C6C03"/>
    <w:rsid w:val="001D0DD7"/>
    <w:rsid w:val="001E3293"/>
    <w:rsid w:val="001E3F44"/>
    <w:rsid w:val="002018B3"/>
    <w:rsid w:val="002018CA"/>
    <w:rsid w:val="00206181"/>
    <w:rsid w:val="002100B0"/>
    <w:rsid w:val="00210244"/>
    <w:rsid w:val="00221000"/>
    <w:rsid w:val="00225710"/>
    <w:rsid w:val="0023121C"/>
    <w:rsid w:val="0023202F"/>
    <w:rsid w:val="00234667"/>
    <w:rsid w:val="0023738C"/>
    <w:rsid w:val="00241231"/>
    <w:rsid w:val="0024719C"/>
    <w:rsid w:val="00253B82"/>
    <w:rsid w:val="00272797"/>
    <w:rsid w:val="00274956"/>
    <w:rsid w:val="00280162"/>
    <w:rsid w:val="00281AFE"/>
    <w:rsid w:val="0029046D"/>
    <w:rsid w:val="00290EC6"/>
    <w:rsid w:val="0029391D"/>
    <w:rsid w:val="00296D7A"/>
    <w:rsid w:val="002A01AB"/>
    <w:rsid w:val="002A57BD"/>
    <w:rsid w:val="002B67AC"/>
    <w:rsid w:val="002C0604"/>
    <w:rsid w:val="002C2DC1"/>
    <w:rsid w:val="002C3429"/>
    <w:rsid w:val="002D688D"/>
    <w:rsid w:val="002E0D35"/>
    <w:rsid w:val="002E16A5"/>
    <w:rsid w:val="002E4714"/>
    <w:rsid w:val="002E4E6C"/>
    <w:rsid w:val="002E69EC"/>
    <w:rsid w:val="002F2ED4"/>
    <w:rsid w:val="002F5020"/>
    <w:rsid w:val="002F54A9"/>
    <w:rsid w:val="002F6F99"/>
    <w:rsid w:val="0030494E"/>
    <w:rsid w:val="00305D22"/>
    <w:rsid w:val="00307FFC"/>
    <w:rsid w:val="00317E12"/>
    <w:rsid w:val="00345DBB"/>
    <w:rsid w:val="003530D3"/>
    <w:rsid w:val="003663E5"/>
    <w:rsid w:val="00375726"/>
    <w:rsid w:val="00385636"/>
    <w:rsid w:val="0039504D"/>
    <w:rsid w:val="00397370"/>
    <w:rsid w:val="003A1691"/>
    <w:rsid w:val="003B3AA0"/>
    <w:rsid w:val="003B5B19"/>
    <w:rsid w:val="003C1245"/>
    <w:rsid w:val="003C6DA1"/>
    <w:rsid w:val="003D3135"/>
    <w:rsid w:val="003D39D7"/>
    <w:rsid w:val="003D3E0A"/>
    <w:rsid w:val="003D4CBF"/>
    <w:rsid w:val="003D5E4B"/>
    <w:rsid w:val="003E2F87"/>
    <w:rsid w:val="003E3281"/>
    <w:rsid w:val="003E642E"/>
    <w:rsid w:val="003F5DDB"/>
    <w:rsid w:val="00414B29"/>
    <w:rsid w:val="004209CF"/>
    <w:rsid w:val="00422034"/>
    <w:rsid w:val="00422D84"/>
    <w:rsid w:val="0043136C"/>
    <w:rsid w:val="00432F18"/>
    <w:rsid w:val="00437A4E"/>
    <w:rsid w:val="004435B6"/>
    <w:rsid w:val="00443A29"/>
    <w:rsid w:val="00447799"/>
    <w:rsid w:val="004553CC"/>
    <w:rsid w:val="00455D97"/>
    <w:rsid w:val="00456EA9"/>
    <w:rsid w:val="00462264"/>
    <w:rsid w:val="004914CB"/>
    <w:rsid w:val="004A069F"/>
    <w:rsid w:val="004A3DA7"/>
    <w:rsid w:val="004B6D91"/>
    <w:rsid w:val="004C5994"/>
    <w:rsid w:val="004D194B"/>
    <w:rsid w:val="004D5B07"/>
    <w:rsid w:val="004D77BA"/>
    <w:rsid w:val="004E379A"/>
    <w:rsid w:val="004E62B3"/>
    <w:rsid w:val="004E6DDE"/>
    <w:rsid w:val="004E788C"/>
    <w:rsid w:val="004E7A74"/>
    <w:rsid w:val="004F41CF"/>
    <w:rsid w:val="004F7AD1"/>
    <w:rsid w:val="005166C2"/>
    <w:rsid w:val="005200A1"/>
    <w:rsid w:val="005255FA"/>
    <w:rsid w:val="005257E1"/>
    <w:rsid w:val="00526C78"/>
    <w:rsid w:val="00527BF8"/>
    <w:rsid w:val="00531A6B"/>
    <w:rsid w:val="005375AD"/>
    <w:rsid w:val="00542475"/>
    <w:rsid w:val="0054282F"/>
    <w:rsid w:val="0055582F"/>
    <w:rsid w:val="00566813"/>
    <w:rsid w:val="005671E7"/>
    <w:rsid w:val="00571E39"/>
    <w:rsid w:val="005815A9"/>
    <w:rsid w:val="00587281"/>
    <w:rsid w:val="0059023E"/>
    <w:rsid w:val="00591707"/>
    <w:rsid w:val="00594BE6"/>
    <w:rsid w:val="005B78FC"/>
    <w:rsid w:val="005C54B7"/>
    <w:rsid w:val="005D3AD2"/>
    <w:rsid w:val="005D7937"/>
    <w:rsid w:val="005E030A"/>
    <w:rsid w:val="005E156F"/>
    <w:rsid w:val="005E27C6"/>
    <w:rsid w:val="005F1562"/>
    <w:rsid w:val="00600E55"/>
    <w:rsid w:val="00601B37"/>
    <w:rsid w:val="006049DA"/>
    <w:rsid w:val="00605CA9"/>
    <w:rsid w:val="00610718"/>
    <w:rsid w:val="00630B9F"/>
    <w:rsid w:val="006328E6"/>
    <w:rsid w:val="0063308A"/>
    <w:rsid w:val="00633319"/>
    <w:rsid w:val="00634D24"/>
    <w:rsid w:val="00637570"/>
    <w:rsid w:val="0064333E"/>
    <w:rsid w:val="006558AE"/>
    <w:rsid w:val="00681AE4"/>
    <w:rsid w:val="0068499D"/>
    <w:rsid w:val="00697B4E"/>
    <w:rsid w:val="006A24A1"/>
    <w:rsid w:val="006B2D2A"/>
    <w:rsid w:val="006C010E"/>
    <w:rsid w:val="006C01D4"/>
    <w:rsid w:val="006C4F40"/>
    <w:rsid w:val="006E3893"/>
    <w:rsid w:val="006E76A0"/>
    <w:rsid w:val="006F0F07"/>
    <w:rsid w:val="006F2667"/>
    <w:rsid w:val="006F7E67"/>
    <w:rsid w:val="00707216"/>
    <w:rsid w:val="007368B6"/>
    <w:rsid w:val="00740F90"/>
    <w:rsid w:val="007616AE"/>
    <w:rsid w:val="0076325E"/>
    <w:rsid w:val="00764A8D"/>
    <w:rsid w:val="00771EB1"/>
    <w:rsid w:val="007720D5"/>
    <w:rsid w:val="00790DF2"/>
    <w:rsid w:val="007A2FBB"/>
    <w:rsid w:val="007B1820"/>
    <w:rsid w:val="007B5611"/>
    <w:rsid w:val="007D0748"/>
    <w:rsid w:val="007D15FD"/>
    <w:rsid w:val="007D7A96"/>
    <w:rsid w:val="007E0FEE"/>
    <w:rsid w:val="007E1F80"/>
    <w:rsid w:val="007E2DD7"/>
    <w:rsid w:val="007E3064"/>
    <w:rsid w:val="007E4F81"/>
    <w:rsid w:val="007E6739"/>
    <w:rsid w:val="007F11F9"/>
    <w:rsid w:val="007F2E79"/>
    <w:rsid w:val="007F4E1E"/>
    <w:rsid w:val="007F7EAC"/>
    <w:rsid w:val="008040E2"/>
    <w:rsid w:val="008119A1"/>
    <w:rsid w:val="00833253"/>
    <w:rsid w:val="0084605C"/>
    <w:rsid w:val="00846E5D"/>
    <w:rsid w:val="008553FB"/>
    <w:rsid w:val="00856532"/>
    <w:rsid w:val="008605C7"/>
    <w:rsid w:val="00860EF1"/>
    <w:rsid w:val="00864CE3"/>
    <w:rsid w:val="00867CD4"/>
    <w:rsid w:val="0087078D"/>
    <w:rsid w:val="00871E28"/>
    <w:rsid w:val="008771A6"/>
    <w:rsid w:val="008832CD"/>
    <w:rsid w:val="00897A74"/>
    <w:rsid w:val="008A43D3"/>
    <w:rsid w:val="008A60D3"/>
    <w:rsid w:val="008A6A29"/>
    <w:rsid w:val="008C5E11"/>
    <w:rsid w:val="008C73E4"/>
    <w:rsid w:val="008D127A"/>
    <w:rsid w:val="008D2097"/>
    <w:rsid w:val="008E2541"/>
    <w:rsid w:val="008E28D3"/>
    <w:rsid w:val="008E450C"/>
    <w:rsid w:val="008E7F2B"/>
    <w:rsid w:val="008F43EC"/>
    <w:rsid w:val="00902820"/>
    <w:rsid w:val="00907686"/>
    <w:rsid w:val="0093040C"/>
    <w:rsid w:val="009333EB"/>
    <w:rsid w:val="009412AB"/>
    <w:rsid w:val="0094674A"/>
    <w:rsid w:val="009547CF"/>
    <w:rsid w:val="00961DAD"/>
    <w:rsid w:val="00962F5B"/>
    <w:rsid w:val="00963A42"/>
    <w:rsid w:val="00963D9A"/>
    <w:rsid w:val="00972AE7"/>
    <w:rsid w:val="00973949"/>
    <w:rsid w:val="009777AE"/>
    <w:rsid w:val="009802DE"/>
    <w:rsid w:val="00980DCA"/>
    <w:rsid w:val="009838E1"/>
    <w:rsid w:val="00984A6A"/>
    <w:rsid w:val="00985DC3"/>
    <w:rsid w:val="009873C2"/>
    <w:rsid w:val="0099627E"/>
    <w:rsid w:val="009B2565"/>
    <w:rsid w:val="009B7556"/>
    <w:rsid w:val="009D092A"/>
    <w:rsid w:val="009E7929"/>
    <w:rsid w:val="009F559A"/>
    <w:rsid w:val="00A06928"/>
    <w:rsid w:val="00A116C1"/>
    <w:rsid w:val="00A12A45"/>
    <w:rsid w:val="00A157DF"/>
    <w:rsid w:val="00A15AB1"/>
    <w:rsid w:val="00A168D0"/>
    <w:rsid w:val="00A2403F"/>
    <w:rsid w:val="00A2640C"/>
    <w:rsid w:val="00A27FFC"/>
    <w:rsid w:val="00A3002F"/>
    <w:rsid w:val="00A3299E"/>
    <w:rsid w:val="00A3512D"/>
    <w:rsid w:val="00A410AF"/>
    <w:rsid w:val="00A45102"/>
    <w:rsid w:val="00A45A64"/>
    <w:rsid w:val="00A47BC5"/>
    <w:rsid w:val="00A5639F"/>
    <w:rsid w:val="00A600D6"/>
    <w:rsid w:val="00A65854"/>
    <w:rsid w:val="00A65F27"/>
    <w:rsid w:val="00A70434"/>
    <w:rsid w:val="00A7057D"/>
    <w:rsid w:val="00A80369"/>
    <w:rsid w:val="00A809F9"/>
    <w:rsid w:val="00A8166C"/>
    <w:rsid w:val="00A863AB"/>
    <w:rsid w:val="00A93ED9"/>
    <w:rsid w:val="00A97EFF"/>
    <w:rsid w:val="00AA0453"/>
    <w:rsid w:val="00AA202B"/>
    <w:rsid w:val="00AA3395"/>
    <w:rsid w:val="00AA5F72"/>
    <w:rsid w:val="00AC1221"/>
    <w:rsid w:val="00AC6C58"/>
    <w:rsid w:val="00AC7973"/>
    <w:rsid w:val="00AC7F00"/>
    <w:rsid w:val="00AE73AC"/>
    <w:rsid w:val="00B04D00"/>
    <w:rsid w:val="00B12DFC"/>
    <w:rsid w:val="00B13FD4"/>
    <w:rsid w:val="00B2304C"/>
    <w:rsid w:val="00B23064"/>
    <w:rsid w:val="00B26306"/>
    <w:rsid w:val="00B31B39"/>
    <w:rsid w:val="00B350A7"/>
    <w:rsid w:val="00B40C1C"/>
    <w:rsid w:val="00B4211C"/>
    <w:rsid w:val="00B422AF"/>
    <w:rsid w:val="00B53673"/>
    <w:rsid w:val="00B57CD5"/>
    <w:rsid w:val="00B6175B"/>
    <w:rsid w:val="00B70FB2"/>
    <w:rsid w:val="00B71DB1"/>
    <w:rsid w:val="00B86BB4"/>
    <w:rsid w:val="00B87F8C"/>
    <w:rsid w:val="00B91197"/>
    <w:rsid w:val="00B9224A"/>
    <w:rsid w:val="00B922B0"/>
    <w:rsid w:val="00B94614"/>
    <w:rsid w:val="00BA3223"/>
    <w:rsid w:val="00BB5574"/>
    <w:rsid w:val="00BC16F3"/>
    <w:rsid w:val="00BC1AF3"/>
    <w:rsid w:val="00BD1E40"/>
    <w:rsid w:val="00BD305D"/>
    <w:rsid w:val="00BE0F15"/>
    <w:rsid w:val="00BE2BED"/>
    <w:rsid w:val="00BF7CCE"/>
    <w:rsid w:val="00C132F3"/>
    <w:rsid w:val="00C1471F"/>
    <w:rsid w:val="00C33D6A"/>
    <w:rsid w:val="00C40A3D"/>
    <w:rsid w:val="00C41958"/>
    <w:rsid w:val="00C4269D"/>
    <w:rsid w:val="00C470C5"/>
    <w:rsid w:val="00C50CA0"/>
    <w:rsid w:val="00C70901"/>
    <w:rsid w:val="00C747E8"/>
    <w:rsid w:val="00C83D75"/>
    <w:rsid w:val="00C83E04"/>
    <w:rsid w:val="00C93305"/>
    <w:rsid w:val="00CA06BB"/>
    <w:rsid w:val="00CA4091"/>
    <w:rsid w:val="00CB28D1"/>
    <w:rsid w:val="00CB2F8E"/>
    <w:rsid w:val="00CB4DD3"/>
    <w:rsid w:val="00CC2007"/>
    <w:rsid w:val="00CC65F0"/>
    <w:rsid w:val="00CC6EAE"/>
    <w:rsid w:val="00CD0544"/>
    <w:rsid w:val="00CD46A8"/>
    <w:rsid w:val="00CE00E8"/>
    <w:rsid w:val="00CE1DFA"/>
    <w:rsid w:val="00CE248B"/>
    <w:rsid w:val="00CE42B7"/>
    <w:rsid w:val="00CE687D"/>
    <w:rsid w:val="00CE75A5"/>
    <w:rsid w:val="00D018A2"/>
    <w:rsid w:val="00D05E76"/>
    <w:rsid w:val="00D20E0A"/>
    <w:rsid w:val="00D21D3B"/>
    <w:rsid w:val="00D22358"/>
    <w:rsid w:val="00D34DB6"/>
    <w:rsid w:val="00D36F9A"/>
    <w:rsid w:val="00D372F6"/>
    <w:rsid w:val="00D45CF3"/>
    <w:rsid w:val="00D51EB2"/>
    <w:rsid w:val="00D65B30"/>
    <w:rsid w:val="00D87D6A"/>
    <w:rsid w:val="00D911F8"/>
    <w:rsid w:val="00D9244F"/>
    <w:rsid w:val="00DA6D42"/>
    <w:rsid w:val="00DA7D6B"/>
    <w:rsid w:val="00DC0883"/>
    <w:rsid w:val="00DC6C46"/>
    <w:rsid w:val="00DD172B"/>
    <w:rsid w:val="00DE329D"/>
    <w:rsid w:val="00DE67B8"/>
    <w:rsid w:val="00DF0AE4"/>
    <w:rsid w:val="00DF6C41"/>
    <w:rsid w:val="00E02E00"/>
    <w:rsid w:val="00E178F3"/>
    <w:rsid w:val="00E17B7C"/>
    <w:rsid w:val="00E25B84"/>
    <w:rsid w:val="00E311B0"/>
    <w:rsid w:val="00E325AA"/>
    <w:rsid w:val="00E44339"/>
    <w:rsid w:val="00E53E36"/>
    <w:rsid w:val="00E53FC4"/>
    <w:rsid w:val="00E54020"/>
    <w:rsid w:val="00E615BB"/>
    <w:rsid w:val="00E66814"/>
    <w:rsid w:val="00E7099E"/>
    <w:rsid w:val="00E74657"/>
    <w:rsid w:val="00E7723D"/>
    <w:rsid w:val="00E901CF"/>
    <w:rsid w:val="00E91DBE"/>
    <w:rsid w:val="00E95FC9"/>
    <w:rsid w:val="00E9714E"/>
    <w:rsid w:val="00EC3C0B"/>
    <w:rsid w:val="00ED73EE"/>
    <w:rsid w:val="00ED76EA"/>
    <w:rsid w:val="00EE4745"/>
    <w:rsid w:val="00EF1DF1"/>
    <w:rsid w:val="00EF3BCC"/>
    <w:rsid w:val="00EF64D5"/>
    <w:rsid w:val="00F00CF9"/>
    <w:rsid w:val="00F01E1D"/>
    <w:rsid w:val="00F03019"/>
    <w:rsid w:val="00F17FA6"/>
    <w:rsid w:val="00F200D3"/>
    <w:rsid w:val="00F21D5B"/>
    <w:rsid w:val="00F25D18"/>
    <w:rsid w:val="00F30F6E"/>
    <w:rsid w:val="00F3335E"/>
    <w:rsid w:val="00F40EE7"/>
    <w:rsid w:val="00F4215C"/>
    <w:rsid w:val="00F54298"/>
    <w:rsid w:val="00F612AB"/>
    <w:rsid w:val="00F61C04"/>
    <w:rsid w:val="00F62CA9"/>
    <w:rsid w:val="00F63E04"/>
    <w:rsid w:val="00F66335"/>
    <w:rsid w:val="00F7293D"/>
    <w:rsid w:val="00F761CB"/>
    <w:rsid w:val="00F77DD7"/>
    <w:rsid w:val="00F81271"/>
    <w:rsid w:val="00F81BC4"/>
    <w:rsid w:val="00F93C9B"/>
    <w:rsid w:val="00F945E4"/>
    <w:rsid w:val="00F958AF"/>
    <w:rsid w:val="00F96372"/>
    <w:rsid w:val="00FA6BDF"/>
    <w:rsid w:val="00FA6DD9"/>
    <w:rsid w:val="00FB02DE"/>
    <w:rsid w:val="00FC2201"/>
    <w:rsid w:val="00FC5357"/>
    <w:rsid w:val="00FC5A12"/>
    <w:rsid w:val="00FC5D18"/>
    <w:rsid w:val="00FF10CC"/>
    <w:rsid w:val="1DFFC980"/>
    <w:rsid w:val="5AD70405"/>
    <w:rsid w:val="67EFA512"/>
    <w:rsid w:val="6E9F05DD"/>
    <w:rsid w:val="7B7B1299"/>
    <w:rsid w:val="7F6D5324"/>
    <w:rsid w:val="7F79A8B9"/>
    <w:rsid w:val="BF9620FC"/>
    <w:rsid w:val="DDFE5F1D"/>
    <w:rsid w:val="E7F62622"/>
    <w:rsid w:val="FDED6C4B"/>
    <w:rsid w:val="FFDB6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C46B5D5"/>
  <w15:docId w15:val="{24EE74E5-4B98-DB4F-9DF5-CE4F56FC4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Heading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pPr>
      <w:keepNext/>
      <w:keepLines/>
      <w:spacing w:before="4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pPr>
      <w:jc w:val="left"/>
    </w:pPr>
  </w:style>
  <w:style w:type="paragraph" w:styleId="BalloonText">
    <w:name w:val="Balloon Text"/>
    <w:basedOn w:val="Normal"/>
    <w:link w:val="BalloonTextChar"/>
    <w:uiPriority w:val="99"/>
    <w:semiHidden/>
    <w:unhideWhenUsed/>
    <w:rPr>
      <w:sz w:val="18"/>
      <w:szCs w:val="18"/>
    </w:rPr>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tabs>
        <w:tab w:val="center" w:pos="4153"/>
        <w:tab w:val="right" w:pos="8306"/>
      </w:tabs>
      <w:snapToGrid w:val="0"/>
      <w:jc w:val="center"/>
    </w:pPr>
    <w:rPr>
      <w:sz w:val="18"/>
      <w:szCs w:val="18"/>
    </w:rPr>
  </w:style>
  <w:style w:type="paragraph" w:styleId="Subtitle">
    <w:name w:val="Subtitle"/>
    <w:basedOn w:val="Normal"/>
    <w:next w:val="Normal"/>
    <w:link w:val="SubtitleChar"/>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CommentSubject">
    <w:name w:val="annotation subject"/>
    <w:basedOn w:val="CommentText"/>
    <w:next w:val="CommentText"/>
    <w:link w:val="CommentSubjectChar"/>
    <w:uiPriority w:val="99"/>
    <w:semiHidden/>
    <w:unhideWhenUsed/>
    <w:rPr>
      <w:b/>
      <w:bCs/>
    </w:rPr>
  </w:style>
  <w:style w:type="character" w:styleId="CommentReference">
    <w:name w:val="annotation reference"/>
    <w:basedOn w:val="DefaultParagraphFont"/>
    <w:uiPriority w:val="99"/>
    <w:semiHidden/>
    <w:unhideWhenUsed/>
    <w:rPr>
      <w:sz w:val="21"/>
      <w:szCs w:val="21"/>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Pr>
      <w:rFonts w:cstheme="majorBidi"/>
      <w:color w:val="0F4761" w:themeColor="accent1" w:themeShade="BF"/>
      <w:sz w:val="24"/>
      <w:szCs w:val="24"/>
    </w:rPr>
  </w:style>
  <w:style w:type="character" w:customStyle="1" w:styleId="Heading6Char">
    <w:name w:val="Heading 6 Char"/>
    <w:basedOn w:val="DefaultParagraphFont"/>
    <w:link w:val="Heading6"/>
    <w:uiPriority w:val="9"/>
    <w:semiHidden/>
    <w:rPr>
      <w:rFonts w:cstheme="majorBidi"/>
      <w:b/>
      <w:bCs/>
      <w:color w:val="0F4761" w:themeColor="accent1" w:themeShade="BF"/>
    </w:rPr>
  </w:style>
  <w:style w:type="character" w:customStyle="1" w:styleId="Heading7Char">
    <w:name w:val="Heading 7 Char"/>
    <w:basedOn w:val="DefaultParagraphFont"/>
    <w:link w:val="Heading7"/>
    <w:uiPriority w:val="9"/>
    <w:semiHidden/>
    <w:rPr>
      <w:rFonts w:cstheme="majorBidi"/>
      <w:b/>
      <w:bCs/>
      <w:color w:val="595959" w:themeColor="text1" w:themeTint="A6"/>
    </w:rPr>
  </w:style>
  <w:style w:type="character" w:customStyle="1" w:styleId="Heading8Char">
    <w:name w:val="Heading 8 Char"/>
    <w:basedOn w:val="DefaultParagraphFont"/>
    <w:link w:val="Heading8"/>
    <w:uiPriority w:val="9"/>
    <w:semiHidden/>
    <w:rPr>
      <w:rFonts w:cstheme="majorBidi"/>
      <w:color w:val="595959" w:themeColor="text1" w:themeTint="A6"/>
    </w:rPr>
  </w:style>
  <w:style w:type="character" w:customStyle="1" w:styleId="Heading9Char">
    <w:name w:val="Heading 9 Char"/>
    <w:basedOn w:val="DefaultParagraphFont"/>
    <w:link w:val="Heading9"/>
    <w:uiPriority w:val="9"/>
    <w:semiHidden/>
    <w:rPr>
      <w:rFonts w:eastAsiaTheme="majorEastAsia" w:cstheme="majorBidi"/>
      <w:color w:val="595959" w:themeColor="text1" w:themeTint="A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after="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Pr>
      <w:i/>
      <w:iCs/>
      <w:color w:val="0F4761" w:themeColor="accent1" w:themeShade="BF"/>
    </w:rPr>
  </w:style>
  <w:style w:type="character" w:customStyle="1" w:styleId="IntenseReference1">
    <w:name w:val="Intense Reference1"/>
    <w:basedOn w:val="DefaultParagraphFont"/>
    <w:uiPriority w:val="32"/>
    <w:qFormat/>
    <w:rPr>
      <w:b/>
      <w:bCs/>
      <w:smallCaps/>
      <w:color w:val="0F4761" w:themeColor="accent1" w:themeShade="BF"/>
      <w:spacing w:val="5"/>
    </w:rPr>
  </w:style>
  <w:style w:type="character" w:customStyle="1" w:styleId="HeaderChar">
    <w:name w:val="Header Char"/>
    <w:basedOn w:val="DefaultParagraphFont"/>
    <w:link w:val="Header"/>
    <w:uiPriority w:val="99"/>
    <w:rPr>
      <w:sz w:val="18"/>
      <w:szCs w:val="18"/>
    </w:rPr>
  </w:style>
  <w:style w:type="character" w:customStyle="1" w:styleId="FooterChar">
    <w:name w:val="Footer Char"/>
    <w:basedOn w:val="DefaultParagraphFont"/>
    <w:link w:val="Footer"/>
    <w:uiPriority w:val="99"/>
    <w:rPr>
      <w:sz w:val="18"/>
      <w:szCs w:val="18"/>
    </w:rPr>
  </w:style>
  <w:style w:type="character" w:customStyle="1" w:styleId="CommentTextChar">
    <w:name w:val="Comment Text Char"/>
    <w:basedOn w:val="DefaultParagraphFont"/>
    <w:link w:val="CommentText"/>
    <w:uiPriority w:val="99"/>
  </w:style>
  <w:style w:type="character" w:customStyle="1" w:styleId="CommentSubjectChar">
    <w:name w:val="Comment Subject Char"/>
    <w:basedOn w:val="CommentTextChar"/>
    <w:link w:val="CommentSubject"/>
    <w:uiPriority w:val="99"/>
    <w:semiHidden/>
    <w:rPr>
      <w:b/>
      <w:bCs/>
    </w:rPr>
  </w:style>
  <w:style w:type="paragraph" w:customStyle="1" w:styleId="Revision1">
    <w:name w:val="Revision1"/>
    <w:hidden/>
    <w:uiPriority w:val="99"/>
    <w:semiHidden/>
    <w:rPr>
      <w:kern w:val="2"/>
      <w:sz w:val="21"/>
      <w:szCs w:val="22"/>
    </w:rPr>
  </w:style>
  <w:style w:type="character" w:customStyle="1" w:styleId="BalloonTextChar">
    <w:name w:val="Balloon Text Char"/>
    <w:basedOn w:val="DefaultParagraphFont"/>
    <w:link w:val="BalloonText"/>
    <w:uiPriority w:val="99"/>
    <w:semiHidden/>
    <w:rPr>
      <w:sz w:val="18"/>
      <w:szCs w:val="18"/>
    </w:rPr>
  </w:style>
  <w:style w:type="paragraph" w:styleId="Revision">
    <w:name w:val="Revision"/>
    <w:hidden/>
    <w:uiPriority w:val="99"/>
    <w:unhideWhenUsed/>
    <w:rsid w:val="0015561F"/>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792</Words>
  <Characters>4517</Characters>
  <Application>Microsoft Office Word</Application>
  <DocSecurity>0</DocSecurity>
  <Lines>37</Lines>
  <Paragraphs>10</Paragraphs>
  <ScaleCrop>false</ScaleCrop>
  <Company/>
  <LinksUpToDate>false</LinksUpToDate>
  <CharactersWithSpaces>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益康 黄</dc:creator>
  <cp:lastModifiedBy>文力 倪</cp:lastModifiedBy>
  <cp:revision>3</cp:revision>
  <dcterms:created xsi:type="dcterms:W3CDTF">2025-12-18T11:01:00Z</dcterms:created>
  <dcterms:modified xsi:type="dcterms:W3CDTF">2025-12-20T07:09:00Z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3B098619DD8A8022DCEAE968BDDD3000_43</vt:lpwstr>
  </property>
</Properties>
</file>