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376F33" w14:textId="77777777" w:rsidR="00C411DE" w:rsidRPr="00816E33" w:rsidRDefault="00C411DE" w:rsidP="00C411DE">
      <w:pPr>
        <w:spacing w:before="120" w:after="12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  <w:r w:rsidRPr="00816E33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Annex 1. Equipment Selection for the Overburden Process</w:t>
      </w:r>
    </w:p>
    <w:p w14:paraId="29B1C4B5" w14:textId="77777777" w:rsidR="00C411DE" w:rsidRPr="00816E33" w:rsidRDefault="00C411DE" w:rsidP="00C411DE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  <w:r w:rsidRPr="00816E33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1. Calculating the Number of Loader Required</w:t>
      </w:r>
    </w:p>
    <w:p w14:paraId="23D40AAE" w14:textId="77777777" w:rsidR="00C411DE" w:rsidRPr="00816E33" w:rsidRDefault="00C411DE" w:rsidP="00C411DE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H = 10 + 0.57 (C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c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- 6) (Jimeno et al., 1995). In this formula, Cc: The bucket size of the loader (m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>3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 (bucket capacity), H: Bench height, so if a bench height of 12 meters is chosen, C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c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= 9.51 m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>3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is calculated. Thus, a bucket capacity of up to 9.51 m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>3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can be determined. If the loader has a bucket capacity of 8.1 m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>3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for an average excavation density of 2.30 t/m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>3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, and a cycle time of 25 seconds, the hourly capacity of the loader can be calculated according to the following formula: V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lc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= [a x K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f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x </w:t>
      </w:r>
      <w:proofErr w:type="gramStart"/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R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w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]</w:t>
      </w:r>
      <w:proofErr w:type="gramEnd"/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/ [(1+k) x T]. In this formula, the symbols and their meanings are as follows: V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lc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: Loader's hourly capacity, a: Selected bucket volume (8.1 m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>3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), M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oh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: Amount of overburden excavation to be made per hour (m</w:t>
      </w:r>
      <w:r w:rsidRPr="000834D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>3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/h), K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f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: Bucket filling factor (0.90), R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w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: Workplace efficiency (85%), k: Swelling factor (0.3), T: Bucket cycle time (25 sec). </w:t>
      </w:r>
      <w:r w:rsidRPr="002D2C7B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V</w:t>
      </w:r>
      <w:r w:rsidRPr="002D2C7B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fr-FR"/>
        </w:rPr>
        <w:t>lc</w:t>
      </w:r>
      <w:r w:rsidRPr="002D2C7B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= [8.1 m</w:t>
      </w:r>
      <w:r w:rsidRPr="002D2C7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3</w:t>
      </w:r>
      <w:r w:rsidRPr="002D2C7B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x 0.90 x 0.85] / [(1+0.3) x 25 sec] = 0.190 m</w:t>
      </w:r>
      <w:r w:rsidRPr="002D2C7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3</w:t>
      </w:r>
      <w:r w:rsidRPr="002D2C7B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/sec = 686.38 tons/h. M</w:t>
      </w:r>
      <w:r w:rsidRPr="002D2C7B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fr-FR"/>
        </w:rPr>
        <w:t>oh</w:t>
      </w:r>
      <w:r w:rsidRPr="002D2C7B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/V</w:t>
      </w:r>
      <w:r w:rsidRPr="002D2C7B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fr-FR"/>
        </w:rPr>
        <w:t>lc</w:t>
      </w:r>
      <w:r w:rsidRPr="002D2C7B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= [0.4330 / 0.275] m</w:t>
      </w:r>
      <w:r w:rsidRPr="002D2C7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3</w:t>
      </w:r>
      <w:r w:rsidRPr="002D2C7B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/sec = 2.10. 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Therefore, an average of 2 active loaders </w:t>
      </w:r>
      <w:proofErr w:type="gramStart"/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are</w:t>
      </w:r>
      <w:proofErr w:type="gramEnd"/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required for the stripping of the entire site. Since there are 25 different matches in this study, not all calculations are shown here; only an example calculation is presented.</w:t>
      </w:r>
    </w:p>
    <w:p w14:paraId="18AA6E29" w14:textId="77777777" w:rsidR="00C411DE" w:rsidRPr="00816E33" w:rsidRDefault="00C411DE" w:rsidP="00C411DE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  <w:r w:rsidRPr="00816E33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2. Loader Net Uptime &amp; Productivity Analysis</w:t>
      </w:r>
    </w:p>
    <w:p w14:paraId="5D50D02B" w14:textId="77777777" w:rsidR="00C411DE" w:rsidRPr="00816E33" w:rsidRDefault="00C411DE" w:rsidP="00C411DE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4"/>
          <w:lang w:val="en-GB"/>
        </w:rPr>
      </w:pP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The meanings and units of the terms to be used in the calculations are as follows:</w:t>
      </w:r>
    </w:p>
    <w:p w14:paraId="004EE115" w14:textId="77777777" w:rsidR="00C411DE" w:rsidRPr="00816E33" w:rsidRDefault="00C411DE" w:rsidP="00C411DE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• Possible hours (T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yp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): The company's scheduled annual operating time (hours/year),</w:t>
      </w:r>
    </w:p>
    <w:p w14:paraId="6D1DA5D6" w14:textId="77777777" w:rsidR="00C411DE" w:rsidRPr="00816E33" w:rsidRDefault="00C411DE" w:rsidP="00C411DE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• Unused hours (b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y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+a): Faults and annual periodic maintenance (hours/year),</w:t>
      </w:r>
    </w:p>
    <w:p w14:paraId="25700053" w14:textId="77777777" w:rsidR="00C411DE" w:rsidRPr="00816E33" w:rsidRDefault="00C411DE" w:rsidP="00C411DE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• Net mechanical time available for use (T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m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 = Available hours (T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p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 – Unused hours (T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yp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</w:t>
      </w:r>
    </w:p>
    <w:p w14:paraId="54C9427F" w14:textId="77777777" w:rsidR="00C411DE" w:rsidRPr="00816E33" w:rsidRDefault="00C411DE" w:rsidP="00C411DE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• Mechanical availability (K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tt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 = [Possible hours (T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p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 – Unused hours (T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yp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)] / Possible hours (T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p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</w:t>
      </w:r>
    </w:p>
    <w:p w14:paraId="4808F3E1" w14:textId="77777777" w:rsidR="00C411DE" w:rsidRPr="00816E33" w:rsidRDefault="00C411DE" w:rsidP="00C411DE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• Actual net working time (T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n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 (Time losses due to weather conditions, compatibility factors, etc., T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k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 = T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m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– T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k</w:t>
      </w:r>
    </w:p>
    <w:p w14:paraId="1A80CE3D" w14:textId="77777777" w:rsidR="00C411DE" w:rsidRPr="00816E33" w:rsidRDefault="00C411DE" w:rsidP="00C411DE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• With mechanical efficiency = (T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n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/ T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m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), the loader used for excavation will be active for an average of 2.10/3 = 70% of its net operating time (excluding downtime and breakdowns) throughout its entire service life. Therefore, considering its backups, the required net operating time is approximately T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n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= 70% x 24 (h/day) x 300 (days/year) = 5028.54 hours/year.</w:t>
      </w:r>
    </w:p>
    <w:p w14:paraId="5A74C948" w14:textId="77777777" w:rsidR="00C411DE" w:rsidRPr="00816E33" w:rsidRDefault="00C411DE" w:rsidP="00C411DE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  <w:r w:rsidRPr="00816E33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3. Calculation of Required Number of Trucks</w:t>
      </w:r>
    </w:p>
    <w:p w14:paraId="4D5AC82A" w14:textId="77777777" w:rsidR="00C411DE" w:rsidRPr="00816E33" w:rsidRDefault="00C411DE" w:rsidP="00C411DE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  <w:r w:rsidRPr="00816E33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lastRenderedPageBreak/>
        <w:t>3.1. Selection of a truck compatible with the loader</w:t>
      </w:r>
    </w:p>
    <w:p w14:paraId="2EBDDA83" w14:textId="77777777" w:rsidR="00C411DE" w:rsidRPr="00816E33" w:rsidRDefault="00C411DE" w:rsidP="00C411DE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Here, a CAT 775G (56-ton) loader has been selected. The loader will fill the truck at an average speed of 0.19 m³/s (= 0.19 m³/sec x 2.30 tons/m³ (tons/sec) x 25 seconds = 10.96 tons/cycle) with a bucket cycle time of 25 seconds. Considering different truck types, the loader selection is as follows: If the 56-ton 775G truck is selected, [56 tons / (10.96 tons / loader cycle time)] = 5.11. This means that with an average of 5 passes (5 x 10.96 tons = 54.80 tons), 97.88% of the truck's capacity can be loaded. Therefore, this truck was chosen. Calculating the required number of loaders also requires calculating the truck's cycle time.</w:t>
      </w:r>
    </w:p>
    <w:p w14:paraId="4474929B" w14:textId="77777777" w:rsidR="00C411DE" w:rsidRPr="00816E33" w:rsidRDefault="00C411DE" w:rsidP="00C411DE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</w:pP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• T: Truck cycle time = </w:t>
      </w:r>
      <w:proofErr w:type="gramStart"/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t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 xml:space="preserve">m  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+</w:t>
      </w:r>
      <w:proofErr w:type="gramEnd"/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t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 xml:space="preserve">b 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+ t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 xml:space="preserve">g   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+ t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d</w:t>
      </w:r>
    </w:p>
    <w:p w14:paraId="472914EE" w14:textId="77777777" w:rsidR="00C411DE" w:rsidRPr="00816E33" w:rsidRDefault="00C411DE" w:rsidP="00C411DE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• </w:t>
      </w:r>
      <w:proofErr w:type="gramStart"/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t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 xml:space="preserve">m  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(</w:t>
      </w:r>
      <w:proofErr w:type="gramEnd"/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Maneuver time) + </w:t>
      </w:r>
      <w:proofErr w:type="gramStart"/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t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b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 (</w:t>
      </w:r>
      <w:proofErr w:type="gramEnd"/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Uploaded time) = (20) + (34.50) = 54.5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sec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,</w:t>
      </w:r>
    </w:p>
    <w:p w14:paraId="0E14D963" w14:textId="77777777" w:rsidR="00C411DE" w:rsidRPr="003433B4" w:rsidRDefault="00C411DE" w:rsidP="00C411DE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• t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g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: Time spent on the </w:t>
      </w:r>
      <w:r w:rsidRPr="003433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road during a loaded trip,</w:t>
      </w:r>
    </w:p>
    <w:p w14:paraId="50E46628" w14:textId="77777777" w:rsidR="00C411DE" w:rsidRPr="00816E33" w:rsidRDefault="00C411DE" w:rsidP="00C411DE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3433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• t</w:t>
      </w:r>
      <w:r w:rsidRPr="003433B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d</w:t>
      </w:r>
      <w:r w:rsidRPr="003433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: Time spent on the road during an empty return trip,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</w:p>
    <w:p w14:paraId="652FF966" w14:textId="77777777" w:rsidR="00C411DE" w:rsidRPr="00816E33" w:rsidRDefault="00C411DE" w:rsidP="00C411DE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5 pass x 25 sec (Loader bucket cycle time) = 125 sec. T= (54.5 + 125 + 289 + 199.71) sec = 668.21 sec. This value (668.215 sec) is the maximum cycle time for a truck in the mine site.  </w:t>
      </w:r>
    </w:p>
    <w:p w14:paraId="7C7FBB55" w14:textId="77777777" w:rsidR="00C411DE" w:rsidRPr="00816E33" w:rsidRDefault="00C411DE" w:rsidP="00C411DE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  <w:lang w:val="en-GB"/>
        </w:rPr>
      </w:pPr>
      <w:r w:rsidRPr="00816E33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3.2. The truck's minimum hourly capacity</w:t>
      </w:r>
    </w:p>
    <w:p w14:paraId="4B42A0B1" w14:textId="77777777" w:rsidR="00C411DE" w:rsidRPr="00816E33" w:rsidRDefault="00C411DE" w:rsidP="00C411DE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[56 </w:t>
      </w:r>
      <w:proofErr w:type="gramStart"/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tons  x</w:t>
      </w:r>
      <w:proofErr w:type="gramEnd"/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90% (efficiency)] / 668.21 sec = 0.075 tons/se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c</w:t>
      </w: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= 271.53 tons/h =&gt; 686.58 (tons/h) / 271.53 (tons/h) = 2.53. So, the capacity of one loader is equivalent to ~3 trucks.</w:t>
      </w:r>
    </w:p>
    <w:p w14:paraId="561B8708" w14:textId="77777777" w:rsidR="00C411DE" w:rsidRPr="00816E33" w:rsidRDefault="00C411DE" w:rsidP="00C411DE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  <w:r w:rsidRPr="00816E33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3.3. The average number of active trucks required for overburden removal at the mine site</w:t>
      </w:r>
    </w:p>
    <w:p w14:paraId="79182AD9" w14:textId="77777777" w:rsidR="00C411DE" w:rsidRPr="00816E33" w:rsidRDefault="00C411DE" w:rsidP="00C411DE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816E3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The average number of active trucks required for overburden removal at the mine site = (Average hourly capacity of a loader / Average hourly capacity of a truck) =&gt; (686.58 tons/h) / (271.53 tons/h) = 2.45 (trucks/loader). This means that for 3 actively working loaders (2.45 trucks/loader), 3 loaders equal 7.36 trucks, or 8 trucks in terms of capacity for overburden.</w:t>
      </w:r>
    </w:p>
    <w:p w14:paraId="1AE7819E" w14:textId="77777777" w:rsidR="009542D6" w:rsidRPr="00C411DE" w:rsidRDefault="009542D6">
      <w:pPr>
        <w:rPr>
          <w:lang w:val="en-GB"/>
        </w:rPr>
      </w:pPr>
    </w:p>
    <w:sectPr w:rsidR="009542D6" w:rsidRPr="00C411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1DE"/>
    <w:rsid w:val="000A0279"/>
    <w:rsid w:val="00264C10"/>
    <w:rsid w:val="00470242"/>
    <w:rsid w:val="00726E03"/>
    <w:rsid w:val="009542D6"/>
    <w:rsid w:val="00C41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03D4A5"/>
  <w15:chartTrackingRefBased/>
  <w15:docId w15:val="{7D66E871-E6A0-46B0-939D-680B4F096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1DE"/>
    <w:pPr>
      <w:spacing w:line="259" w:lineRule="auto"/>
    </w:pPr>
    <w:rPr>
      <w:rFonts w:eastAsiaTheme="minorHAnsi"/>
      <w:sz w:val="22"/>
      <w:szCs w:val="22"/>
      <w:lang w:val="tr-TR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11D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11D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zh-C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11D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zh-C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11D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 w:eastAsia="zh-C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11D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 w:eastAsia="zh-C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11D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 w:eastAsia="zh-C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11D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 w:eastAsia="zh-C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11D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 w:eastAsia="zh-C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11D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11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11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11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11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11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11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11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11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11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11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</w:rPr>
  </w:style>
  <w:style w:type="character" w:customStyle="1" w:styleId="TitleChar">
    <w:name w:val="Title Char"/>
    <w:basedOn w:val="DefaultParagraphFont"/>
    <w:link w:val="Title"/>
    <w:uiPriority w:val="10"/>
    <w:rsid w:val="00C411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11D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zh-CN"/>
    </w:rPr>
  </w:style>
  <w:style w:type="character" w:customStyle="1" w:styleId="SubtitleChar">
    <w:name w:val="Subtitle Char"/>
    <w:basedOn w:val="DefaultParagraphFont"/>
    <w:link w:val="Subtitle"/>
    <w:uiPriority w:val="11"/>
    <w:rsid w:val="00C411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11DE"/>
    <w:pPr>
      <w:spacing w:before="160" w:line="278" w:lineRule="auto"/>
      <w:jc w:val="center"/>
    </w:pPr>
    <w:rPr>
      <w:rFonts w:eastAsiaTheme="minorEastAsia"/>
      <w:i/>
      <w:iCs/>
      <w:color w:val="404040" w:themeColor="text1" w:themeTint="BF"/>
      <w:sz w:val="24"/>
      <w:szCs w:val="24"/>
      <w:lang w:val="en-US" w:eastAsia="zh-CN"/>
    </w:rPr>
  </w:style>
  <w:style w:type="character" w:customStyle="1" w:styleId="QuoteChar">
    <w:name w:val="Quote Char"/>
    <w:basedOn w:val="DefaultParagraphFont"/>
    <w:link w:val="Quote"/>
    <w:uiPriority w:val="29"/>
    <w:rsid w:val="00C411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11DE"/>
    <w:pPr>
      <w:spacing w:line="278" w:lineRule="auto"/>
      <w:ind w:left="720"/>
      <w:contextualSpacing/>
    </w:pPr>
    <w:rPr>
      <w:rFonts w:eastAsiaTheme="minorEastAsia"/>
      <w:sz w:val="24"/>
      <w:szCs w:val="24"/>
      <w:lang w:val="en-US" w:eastAsia="zh-CN"/>
    </w:rPr>
  </w:style>
  <w:style w:type="character" w:styleId="IntenseEmphasis">
    <w:name w:val="Intense Emphasis"/>
    <w:basedOn w:val="DefaultParagraphFont"/>
    <w:uiPriority w:val="21"/>
    <w:qFormat/>
    <w:rsid w:val="00C411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11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EastAsia"/>
      <w:i/>
      <w:iCs/>
      <w:color w:val="0F4761" w:themeColor="accent1" w:themeShade="BF"/>
      <w:sz w:val="24"/>
      <w:szCs w:val="24"/>
      <w:lang w:val="en-US" w:eastAsia="zh-C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11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11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609</Words>
  <Characters>3467</Characters>
  <Application>Microsoft Office Word</Application>
  <DocSecurity>0</DocSecurity>
  <Lines>108</Lines>
  <Paragraphs>75</Paragraphs>
  <ScaleCrop>false</ScaleCrop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2026-01-12T18:35:00Z</dcterms:created>
  <dcterms:modified xsi:type="dcterms:W3CDTF">2026-01-12T18:36:00Z</dcterms:modified>
</cp:coreProperties>
</file>