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3FF5CD" w14:textId="77777777" w:rsidR="008C66D9" w:rsidRDefault="008C66D9" w:rsidP="008C66D9">
      <w:pPr>
        <w:widowControl/>
        <w:spacing w:line="360" w:lineRule="auto"/>
        <w:jc w:val="left"/>
        <w:rPr>
          <w:rFonts w:ascii="Times New Roman" w:eastAsia="KaiTi" w:hAnsi="Times New Roman"/>
          <w:b/>
          <w:bCs/>
          <w:sz w:val="24"/>
          <w:szCs w:val="24"/>
        </w:rPr>
      </w:pPr>
      <w:r>
        <w:rPr>
          <w:rFonts w:ascii="Times New Roman" w:eastAsia="KaiTi" w:hAnsi="Times New Roman"/>
          <w:b/>
          <w:bCs/>
          <w:noProof/>
          <w:sz w:val="24"/>
          <w:szCs w:val="24"/>
        </w:rPr>
        <w:drawing>
          <wp:inline distT="0" distB="0" distL="0" distR="0" wp14:anchorId="54081609" wp14:editId="554249C2">
            <wp:extent cx="5270500" cy="5777865"/>
            <wp:effectExtent l="0" t="0" r="0" b="63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5" cstate="print">
                      <a:extLst>
                        <a:ext uri="{BEBA8EAE-BF5A-486C-A8C5-ECC9F3942E4B}">
                          <a14:imgProps xmlns:a14="http://schemas.microsoft.com/office/drawing/2010/main">
                            <a14:imgLayer r:embed="rId6">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5270500" cy="5777865"/>
                    </a:xfrm>
                    <a:prstGeom prst="rect">
                      <a:avLst/>
                    </a:prstGeom>
                  </pic:spPr>
                </pic:pic>
              </a:graphicData>
            </a:graphic>
          </wp:inline>
        </w:drawing>
      </w:r>
    </w:p>
    <w:p w14:paraId="20C57DCF" w14:textId="77777777" w:rsidR="008C66D9" w:rsidRDefault="008C66D9" w:rsidP="008C66D9">
      <w:pPr>
        <w:widowControl/>
        <w:spacing w:line="360" w:lineRule="auto"/>
        <w:jc w:val="left"/>
        <w:rPr>
          <w:rFonts w:ascii="Times New Roman" w:hAnsi="Times New Roman"/>
          <w:b/>
          <w:spacing w:val="10"/>
          <w:sz w:val="24"/>
          <w:szCs w:val="24"/>
        </w:rPr>
      </w:pPr>
      <w:r>
        <w:rPr>
          <w:rFonts w:ascii="Times New Roman" w:hAnsi="Times New Roman"/>
          <w:b/>
          <w:spacing w:val="10"/>
          <w:sz w:val="24"/>
          <w:szCs w:val="24"/>
        </w:rPr>
        <w:t xml:space="preserve">Figure S1. </w:t>
      </w:r>
      <w:r>
        <w:rPr>
          <w:rFonts w:ascii="Times New Roman" w:hAnsi="Times New Roman" w:hint="eastAsia"/>
          <w:b/>
          <w:spacing w:val="10"/>
          <w:sz w:val="24"/>
          <w:szCs w:val="24"/>
        </w:rPr>
        <w:t>N</w:t>
      </w:r>
      <w:r>
        <w:rPr>
          <w:rFonts w:ascii="Times New Roman" w:hAnsi="Times New Roman"/>
          <w:b/>
          <w:spacing w:val="10"/>
          <w:sz w:val="24"/>
          <w:szCs w:val="24"/>
        </w:rPr>
        <w:t>eurons are the major glucose-</w:t>
      </w:r>
      <w:proofErr w:type="spellStart"/>
      <w:r>
        <w:rPr>
          <w:rFonts w:ascii="Times New Roman" w:hAnsi="Times New Roman"/>
          <w:b/>
          <w:spacing w:val="10"/>
          <w:sz w:val="24"/>
          <w:szCs w:val="24"/>
        </w:rPr>
        <w:t>uptaking</w:t>
      </w:r>
      <w:proofErr w:type="spellEnd"/>
      <w:r>
        <w:rPr>
          <w:rFonts w:ascii="Times New Roman" w:hAnsi="Times New Roman"/>
          <w:b/>
          <w:spacing w:val="10"/>
          <w:sz w:val="24"/>
          <w:szCs w:val="24"/>
        </w:rPr>
        <w:t xml:space="preserve"> cells in the TNC and GLUT3 overexpression rescues NTG-induced reduction in</w:t>
      </w:r>
      <w:r>
        <w:t xml:space="preserve"> </w:t>
      </w:r>
      <w:r>
        <w:rPr>
          <w:rFonts w:ascii="Times New Roman" w:hAnsi="Times New Roman"/>
          <w:b/>
          <w:spacing w:val="10"/>
          <w:sz w:val="24"/>
          <w:szCs w:val="24"/>
        </w:rPr>
        <w:t>neuronal glucose uptake.</w:t>
      </w:r>
    </w:p>
    <w:p w14:paraId="53783ADA" w14:textId="77777777" w:rsidR="008C66D9" w:rsidRDefault="008C66D9" w:rsidP="008C66D9">
      <w:pPr>
        <w:widowControl/>
        <w:spacing w:line="360" w:lineRule="auto"/>
        <w:jc w:val="left"/>
        <w:rPr>
          <w:rFonts w:ascii="Times New Roman" w:hAnsi="Times New Roman"/>
          <w:spacing w:val="10"/>
          <w:sz w:val="24"/>
          <w:szCs w:val="24"/>
        </w:rPr>
      </w:pPr>
      <w:r>
        <w:rPr>
          <w:rFonts w:ascii="Times New Roman" w:hAnsi="Times New Roman"/>
          <w:b/>
          <w:spacing w:val="10"/>
          <w:sz w:val="24"/>
          <w:szCs w:val="24"/>
        </w:rPr>
        <w:t>(</w:t>
      </w:r>
      <w:r>
        <w:rPr>
          <w:rFonts w:ascii="Times New Roman" w:hAnsi="Times New Roman" w:hint="eastAsia"/>
          <w:b/>
          <w:spacing w:val="10"/>
          <w:sz w:val="24"/>
          <w:szCs w:val="24"/>
        </w:rPr>
        <w:t>A</w:t>
      </w:r>
      <w:r>
        <w:rPr>
          <w:rFonts w:ascii="Times New Roman" w:hAnsi="Times New Roman"/>
          <w:b/>
          <w:spacing w:val="10"/>
          <w:sz w:val="24"/>
          <w:szCs w:val="24"/>
        </w:rPr>
        <w:t>)</w:t>
      </w:r>
      <w:r>
        <w:rPr>
          <w:rFonts w:ascii="Times New Roman" w:hAnsi="Times New Roman"/>
          <w:spacing w:val="10"/>
          <w:sz w:val="24"/>
          <w:szCs w:val="24"/>
        </w:rPr>
        <w:t xml:space="preserve"> Immunofluorescence co-localization images showing </w:t>
      </w:r>
      <w:proofErr w:type="spellStart"/>
      <w:r>
        <w:rPr>
          <w:rFonts w:ascii="Times New Roman" w:hAnsi="Times New Roman"/>
          <w:spacing w:val="10"/>
          <w:sz w:val="24"/>
          <w:szCs w:val="24"/>
        </w:rPr>
        <w:t>IRDye</w:t>
      </w:r>
      <w:proofErr w:type="spellEnd"/>
      <w:r>
        <w:rPr>
          <w:rFonts w:ascii="Times New Roman" w:hAnsi="Times New Roman"/>
          <w:spacing w:val="10"/>
          <w:sz w:val="24"/>
          <w:szCs w:val="24"/>
        </w:rPr>
        <w:t xml:space="preserve"> 800CW 2-DG (glucose uptake probe, green) with NeuN, Iba1, or GFAP (red) in the TNC. Scale bar</w:t>
      </w:r>
      <w:r>
        <w:rPr>
          <w:rFonts w:ascii="Times New Roman" w:hAnsi="Times New Roman" w:hint="eastAsia"/>
          <w:spacing w:val="10"/>
          <w:sz w:val="24"/>
          <w:szCs w:val="24"/>
        </w:rPr>
        <w:t xml:space="preserve"> </w:t>
      </w:r>
      <w:r>
        <w:rPr>
          <w:rFonts w:ascii="Times New Roman" w:hAnsi="Times New Roman"/>
          <w:spacing w:val="10"/>
          <w:sz w:val="24"/>
          <w:szCs w:val="24"/>
        </w:rPr>
        <w:t>=</w:t>
      </w:r>
      <w:r>
        <w:rPr>
          <w:rFonts w:ascii="Times New Roman" w:hAnsi="Times New Roman" w:hint="eastAsia"/>
          <w:spacing w:val="10"/>
          <w:sz w:val="24"/>
          <w:szCs w:val="24"/>
        </w:rPr>
        <w:t xml:space="preserve"> </w:t>
      </w:r>
      <w:r>
        <w:rPr>
          <w:rFonts w:ascii="Times New Roman" w:hAnsi="Times New Roman"/>
          <w:spacing w:val="10"/>
          <w:sz w:val="24"/>
          <w:szCs w:val="24"/>
        </w:rPr>
        <w:t xml:space="preserve">100 </w:t>
      </w:r>
      <w:r>
        <w:rPr>
          <w:rFonts w:ascii="Times New Roman" w:hAnsi="Times New Roman"/>
          <w:spacing w:val="10"/>
          <w:sz w:val="24"/>
          <w:szCs w:val="24"/>
          <w:lang w:val="zh-CN"/>
        </w:rPr>
        <w:t>μ</w:t>
      </w:r>
      <w:r>
        <w:rPr>
          <w:rFonts w:ascii="Times New Roman" w:hAnsi="Times New Roman"/>
          <w:spacing w:val="10"/>
          <w:sz w:val="24"/>
          <w:szCs w:val="24"/>
        </w:rPr>
        <w:t>m, 30</w:t>
      </w:r>
      <w:r>
        <w:rPr>
          <w:rFonts w:ascii="Times New Roman" w:hAnsi="Times New Roman" w:hint="eastAsia"/>
          <w:spacing w:val="10"/>
          <w:sz w:val="24"/>
          <w:szCs w:val="24"/>
        </w:rPr>
        <w:t xml:space="preserve"> </w:t>
      </w:r>
      <w:r>
        <w:rPr>
          <w:rFonts w:ascii="Times New Roman" w:hAnsi="Times New Roman"/>
          <w:spacing w:val="10"/>
          <w:sz w:val="24"/>
          <w:szCs w:val="24"/>
          <w:lang w:val="zh-CN"/>
        </w:rPr>
        <w:t>μ</w:t>
      </w:r>
      <w:r>
        <w:rPr>
          <w:rFonts w:ascii="Times New Roman" w:hAnsi="Times New Roman"/>
          <w:spacing w:val="10"/>
          <w:sz w:val="24"/>
          <w:szCs w:val="24"/>
        </w:rPr>
        <w:t>m</w:t>
      </w:r>
      <w:r>
        <w:rPr>
          <w:rFonts w:ascii="Times New Roman" w:hAnsi="Times New Roman"/>
          <w:sz w:val="24"/>
          <w:szCs w:val="24"/>
        </w:rPr>
        <w:t xml:space="preserve"> (enlarged images)</w:t>
      </w:r>
      <w:r>
        <w:rPr>
          <w:rFonts w:ascii="Times New Roman" w:hAnsi="Times New Roman"/>
          <w:spacing w:val="10"/>
          <w:sz w:val="24"/>
          <w:szCs w:val="24"/>
        </w:rPr>
        <w:t xml:space="preserve">. </w:t>
      </w:r>
      <w:r>
        <w:rPr>
          <w:rFonts w:ascii="Times New Roman" w:hAnsi="Times New Roman"/>
          <w:b/>
          <w:spacing w:val="10"/>
          <w:sz w:val="24"/>
          <w:szCs w:val="24"/>
        </w:rPr>
        <w:t>(</w:t>
      </w:r>
      <w:r>
        <w:rPr>
          <w:rFonts w:ascii="Times New Roman" w:hAnsi="Times New Roman" w:hint="eastAsia"/>
          <w:b/>
          <w:spacing w:val="10"/>
          <w:sz w:val="24"/>
          <w:szCs w:val="24"/>
        </w:rPr>
        <w:t>B</w:t>
      </w:r>
      <w:r>
        <w:rPr>
          <w:rFonts w:ascii="Times New Roman" w:hAnsi="Times New Roman"/>
          <w:sz w:val="24"/>
          <w:szCs w:val="24"/>
        </w:rPr>
        <w:t xml:space="preserve">) Percentage distribution of total </w:t>
      </w:r>
      <w:proofErr w:type="spellStart"/>
      <w:r>
        <w:rPr>
          <w:rFonts w:ascii="Times New Roman" w:hAnsi="Times New Roman"/>
          <w:sz w:val="24"/>
          <w:szCs w:val="24"/>
        </w:rPr>
        <w:t>IRDye</w:t>
      </w:r>
      <w:proofErr w:type="spellEnd"/>
      <w:r>
        <w:rPr>
          <w:rFonts w:ascii="Times New Roman" w:hAnsi="Times New Roman"/>
          <w:sz w:val="24"/>
          <w:szCs w:val="24"/>
        </w:rPr>
        <w:t xml:space="preserve"> 800CW 2-DG fluorescence signal among NeuN⁺ neurons, Iba1⁺ microglia, and GFAP⁺ astrocytes in the TNC. In both VEH and NTG groups, neurons accounted for the majority of glucose uptake, with minimal changes in the proportion of glucose uptake by microglia and astrocytes </w:t>
      </w:r>
      <w:r>
        <w:rPr>
          <w:rFonts w:ascii="Times New Roman" w:hAnsi="Times New Roman"/>
          <w:spacing w:val="10"/>
          <w:sz w:val="24"/>
          <w:szCs w:val="24"/>
        </w:rPr>
        <w:t>(n = 5 mice/group)</w:t>
      </w:r>
      <w:r>
        <w:rPr>
          <w:rFonts w:ascii="Times New Roman" w:hAnsi="Times New Roman"/>
          <w:sz w:val="24"/>
          <w:szCs w:val="24"/>
        </w:rPr>
        <w:t xml:space="preserve">. </w:t>
      </w:r>
      <w:r>
        <w:rPr>
          <w:rFonts w:ascii="Times New Roman" w:hAnsi="Times New Roman"/>
          <w:b/>
          <w:spacing w:val="10"/>
          <w:sz w:val="24"/>
          <w:szCs w:val="24"/>
        </w:rPr>
        <w:t>(</w:t>
      </w:r>
      <w:r>
        <w:rPr>
          <w:rFonts w:ascii="Times New Roman" w:hAnsi="Times New Roman" w:hint="eastAsia"/>
          <w:b/>
          <w:spacing w:val="10"/>
          <w:sz w:val="24"/>
          <w:szCs w:val="24"/>
        </w:rPr>
        <w:t>C-E</w:t>
      </w:r>
      <w:r>
        <w:rPr>
          <w:rFonts w:ascii="Times New Roman" w:hAnsi="Times New Roman"/>
          <w:sz w:val="24"/>
          <w:szCs w:val="24"/>
        </w:rPr>
        <w:t xml:space="preserve">) Quantitative analyses of </w:t>
      </w:r>
      <w:proofErr w:type="spellStart"/>
      <w:r>
        <w:rPr>
          <w:rFonts w:ascii="Times New Roman" w:hAnsi="Times New Roman"/>
          <w:sz w:val="24"/>
          <w:szCs w:val="24"/>
        </w:rPr>
        <w:t>IRDye</w:t>
      </w:r>
      <w:proofErr w:type="spellEnd"/>
      <w:r>
        <w:rPr>
          <w:rFonts w:ascii="Times New Roman" w:hAnsi="Times New Roman"/>
          <w:sz w:val="24"/>
          <w:szCs w:val="24"/>
        </w:rPr>
        <w:t xml:space="preserve"> 800CW 2-DG immunofluorescence intensity in NeuN⁺ neurons, Iba1⁺ microglia, and GFAP⁺ astrocytes, respectively. NTG treatment significantly decreased glucose uptake in TNC neurons, whereas glucose uptake in </w:t>
      </w:r>
      <w:r>
        <w:rPr>
          <w:rFonts w:ascii="Times New Roman" w:hAnsi="Times New Roman"/>
          <w:sz w:val="24"/>
          <w:szCs w:val="24"/>
        </w:rPr>
        <w:lastRenderedPageBreak/>
        <w:t xml:space="preserve">microglia and astrocytes showed no statistically significant difference between groups. </w:t>
      </w:r>
      <w:r>
        <w:rPr>
          <w:rFonts w:ascii="Times New Roman" w:hAnsi="Times New Roman"/>
          <w:b/>
          <w:spacing w:val="10"/>
          <w:sz w:val="24"/>
          <w:szCs w:val="24"/>
        </w:rPr>
        <w:t>(</w:t>
      </w:r>
      <w:r>
        <w:rPr>
          <w:rFonts w:ascii="Times New Roman" w:hAnsi="Times New Roman" w:hint="eastAsia"/>
          <w:b/>
          <w:spacing w:val="10"/>
          <w:sz w:val="24"/>
          <w:szCs w:val="24"/>
        </w:rPr>
        <w:t>F</w:t>
      </w:r>
      <w:r>
        <w:rPr>
          <w:rFonts w:ascii="Times New Roman" w:hAnsi="Times New Roman"/>
          <w:b/>
          <w:spacing w:val="10"/>
          <w:sz w:val="24"/>
          <w:szCs w:val="24"/>
        </w:rPr>
        <w:t>)</w:t>
      </w:r>
      <w:r>
        <w:rPr>
          <w:rFonts w:ascii="Times New Roman" w:hAnsi="Times New Roman"/>
          <w:spacing w:val="10"/>
          <w:sz w:val="24"/>
          <w:szCs w:val="24"/>
        </w:rPr>
        <w:t xml:space="preserve"> Immunofluorescence images of </w:t>
      </w:r>
      <w:proofErr w:type="spellStart"/>
      <w:r>
        <w:rPr>
          <w:rFonts w:ascii="Times New Roman" w:hAnsi="Times New Roman"/>
          <w:spacing w:val="10"/>
          <w:sz w:val="24"/>
          <w:szCs w:val="24"/>
        </w:rPr>
        <w:t>IRDye</w:t>
      </w:r>
      <w:proofErr w:type="spellEnd"/>
      <w:r>
        <w:rPr>
          <w:rFonts w:ascii="Times New Roman" w:hAnsi="Times New Roman"/>
          <w:spacing w:val="10"/>
          <w:sz w:val="24"/>
          <w:szCs w:val="24"/>
        </w:rPr>
        <w:t xml:space="preserve"> 800CW 2-DG (glucose uptake probe, green) and NeuN (red). </w:t>
      </w:r>
      <w:r>
        <w:rPr>
          <w:rFonts w:ascii="Times New Roman" w:hAnsi="Times New Roman"/>
          <w:sz w:val="24"/>
          <w:szCs w:val="24"/>
        </w:rPr>
        <w:t xml:space="preserve">scale bar = 100 </w:t>
      </w:r>
      <w:proofErr w:type="spellStart"/>
      <w:r>
        <w:rPr>
          <w:rFonts w:ascii="Times New Roman" w:hAnsi="Times New Roman"/>
          <w:sz w:val="24"/>
          <w:szCs w:val="24"/>
        </w:rPr>
        <w:t>μm</w:t>
      </w:r>
      <w:proofErr w:type="spellEnd"/>
      <w:r>
        <w:rPr>
          <w:rFonts w:ascii="Times New Roman" w:hAnsi="Times New Roman"/>
          <w:sz w:val="24"/>
          <w:szCs w:val="24"/>
        </w:rPr>
        <w:t xml:space="preserve">, 30 </w:t>
      </w:r>
      <w:proofErr w:type="spellStart"/>
      <w:r>
        <w:rPr>
          <w:rFonts w:ascii="Times New Roman" w:hAnsi="Times New Roman"/>
          <w:sz w:val="24"/>
          <w:szCs w:val="24"/>
        </w:rPr>
        <w:t>μm</w:t>
      </w:r>
      <w:proofErr w:type="spellEnd"/>
      <w:r>
        <w:rPr>
          <w:rFonts w:ascii="Times New Roman" w:hAnsi="Times New Roman"/>
          <w:sz w:val="24"/>
          <w:szCs w:val="24"/>
        </w:rPr>
        <w:t xml:space="preserve"> (enlarged images).</w:t>
      </w:r>
      <w:r>
        <w:rPr>
          <w:rFonts w:ascii="Times New Roman" w:hAnsi="Times New Roman"/>
          <w:spacing w:val="10"/>
          <w:sz w:val="24"/>
          <w:szCs w:val="24"/>
        </w:rPr>
        <w:t xml:space="preserve"> </w:t>
      </w:r>
      <w:r>
        <w:rPr>
          <w:rFonts w:ascii="Times New Roman" w:hAnsi="Times New Roman"/>
          <w:b/>
          <w:spacing w:val="10"/>
          <w:sz w:val="24"/>
          <w:szCs w:val="24"/>
        </w:rPr>
        <w:t>(</w:t>
      </w:r>
      <w:r>
        <w:rPr>
          <w:rFonts w:ascii="Times New Roman" w:hAnsi="Times New Roman" w:hint="eastAsia"/>
          <w:b/>
          <w:spacing w:val="10"/>
          <w:sz w:val="24"/>
          <w:szCs w:val="24"/>
        </w:rPr>
        <w:t>G</w:t>
      </w:r>
      <w:r>
        <w:rPr>
          <w:rFonts w:ascii="Times New Roman" w:hAnsi="Times New Roman"/>
          <w:b/>
          <w:spacing w:val="10"/>
          <w:sz w:val="24"/>
          <w:szCs w:val="24"/>
        </w:rPr>
        <w:t>)</w:t>
      </w:r>
      <w:r>
        <w:rPr>
          <w:rFonts w:ascii="Times New Roman" w:hAnsi="Times New Roman"/>
          <w:spacing w:val="10"/>
          <w:sz w:val="24"/>
          <w:szCs w:val="24"/>
        </w:rPr>
        <w:t xml:space="preserve"> Quantitative analysis of </w:t>
      </w:r>
      <w:proofErr w:type="spellStart"/>
      <w:r>
        <w:rPr>
          <w:rFonts w:ascii="Times New Roman" w:hAnsi="Times New Roman"/>
          <w:spacing w:val="10"/>
          <w:sz w:val="24"/>
          <w:szCs w:val="24"/>
        </w:rPr>
        <w:t>IRDye</w:t>
      </w:r>
      <w:proofErr w:type="spellEnd"/>
      <w:r>
        <w:rPr>
          <w:rFonts w:ascii="Times New Roman" w:hAnsi="Times New Roman"/>
          <w:spacing w:val="10"/>
          <w:sz w:val="24"/>
          <w:szCs w:val="24"/>
        </w:rPr>
        <w:t xml:space="preserve"> 800CW 2-DG fluorescence intensity in NeuN</w:t>
      </w:r>
      <w:r>
        <w:rPr>
          <w:rFonts w:ascii="Times New Roman" w:hAnsi="Times New Roman"/>
          <w:spacing w:val="10"/>
          <w:sz w:val="24"/>
          <w:szCs w:val="24"/>
          <w:vertAlign w:val="superscript"/>
        </w:rPr>
        <w:t>+</w:t>
      </w:r>
      <w:r>
        <w:rPr>
          <w:rFonts w:ascii="Times New Roman" w:hAnsi="Times New Roman"/>
          <w:spacing w:val="10"/>
          <w:sz w:val="24"/>
          <w:szCs w:val="24"/>
        </w:rPr>
        <w:t xml:space="preserve"> neurons, confirming that NTG-induced reduction in neuronal glucose uptake was reversed by GLUT3 overexpression (n = 5 mice/group). All data are presented as mean ± SEM; ns, not significant; </w:t>
      </w:r>
      <w:r>
        <w:rPr>
          <w:rFonts w:ascii="Times New Roman" w:hAnsi="Times New Roman"/>
          <w:spacing w:val="10"/>
          <w:sz w:val="24"/>
          <w:szCs w:val="24"/>
          <w:vertAlign w:val="superscript"/>
        </w:rPr>
        <w:t>*</w:t>
      </w:r>
      <w:r>
        <w:rPr>
          <w:rFonts w:ascii="Times New Roman" w:hAnsi="Times New Roman"/>
          <w:i/>
          <w:iCs/>
          <w:spacing w:val="10"/>
          <w:sz w:val="24"/>
          <w:szCs w:val="24"/>
        </w:rPr>
        <w:t>p</w:t>
      </w:r>
      <w:r>
        <w:rPr>
          <w:rFonts w:ascii="Times New Roman" w:hAnsi="Times New Roman"/>
          <w:spacing w:val="10"/>
          <w:sz w:val="24"/>
          <w:szCs w:val="24"/>
        </w:rPr>
        <w:t xml:space="preserve"> &lt; 0.05, </w:t>
      </w:r>
      <w:r>
        <w:rPr>
          <w:rFonts w:ascii="Times New Roman" w:hAnsi="Times New Roman"/>
          <w:spacing w:val="10"/>
          <w:sz w:val="24"/>
          <w:szCs w:val="24"/>
          <w:vertAlign w:val="superscript"/>
        </w:rPr>
        <w:t>**</w:t>
      </w:r>
      <w:r>
        <w:rPr>
          <w:rFonts w:ascii="Times New Roman" w:hAnsi="Times New Roman"/>
          <w:i/>
          <w:iCs/>
          <w:spacing w:val="10"/>
          <w:sz w:val="24"/>
          <w:szCs w:val="24"/>
        </w:rPr>
        <w:t>p</w:t>
      </w:r>
      <w:r>
        <w:rPr>
          <w:rFonts w:ascii="Times New Roman" w:hAnsi="Times New Roman"/>
          <w:spacing w:val="10"/>
          <w:sz w:val="24"/>
          <w:szCs w:val="24"/>
        </w:rPr>
        <w:t xml:space="preserve"> &lt; 0.01. Statistical significance was determined by unpaired two-tailed t-test.</w:t>
      </w:r>
    </w:p>
    <w:p w14:paraId="46769011" w14:textId="77777777" w:rsidR="008C66D9" w:rsidRDefault="008C66D9" w:rsidP="008C66D9">
      <w:pPr>
        <w:widowControl/>
        <w:jc w:val="left"/>
        <w:rPr>
          <w:rFonts w:ascii="Times New Roman" w:hAnsi="Times New Roman"/>
          <w:sz w:val="24"/>
          <w:szCs w:val="24"/>
        </w:rPr>
      </w:pPr>
      <w:r>
        <w:rPr>
          <w:rFonts w:ascii="Times New Roman" w:hAnsi="Times New Roman"/>
          <w:sz w:val="24"/>
          <w:szCs w:val="24"/>
        </w:rPr>
        <w:br w:type="page"/>
      </w:r>
    </w:p>
    <w:p w14:paraId="4D81B1F8" w14:textId="77777777" w:rsidR="008C66D9" w:rsidRDefault="008C66D9" w:rsidP="008C66D9">
      <w:pPr>
        <w:widowControl/>
        <w:jc w:val="left"/>
        <w:rPr>
          <w:rFonts w:ascii="Times New Roman" w:hAnsi="Times New Roman"/>
          <w:sz w:val="24"/>
          <w:szCs w:val="24"/>
        </w:rPr>
      </w:pPr>
      <w:r>
        <w:rPr>
          <w:rFonts w:ascii="Times New Roman" w:hAnsi="Times New Roman"/>
          <w:noProof/>
          <w:sz w:val="24"/>
          <w:szCs w:val="24"/>
        </w:rPr>
        <w:lastRenderedPageBreak/>
        <w:drawing>
          <wp:inline distT="0" distB="0" distL="0" distR="0" wp14:anchorId="6B14864B" wp14:editId="0D70DDE4">
            <wp:extent cx="5270500" cy="2840990"/>
            <wp:effectExtent l="0" t="0" r="0" b="381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BEBA8EAE-BF5A-486C-A8C5-ECC9F3942E4B}">
                          <a14:imgProps xmlns:a14="http://schemas.microsoft.com/office/drawing/2010/main">
                            <a14:imgLayer r:embed="rId8">
                              <a14:imgEffect>
                                <a14:brightnessContrast contrast="-20000"/>
                              </a14:imgEffect>
                            </a14:imgLayer>
                          </a14:imgProps>
                        </a:ext>
                        <a:ext uri="{28A0092B-C50C-407E-A947-70E740481C1C}">
                          <a14:useLocalDpi xmlns:a14="http://schemas.microsoft.com/office/drawing/2010/main" val="0"/>
                        </a:ext>
                      </a:extLst>
                    </a:blip>
                    <a:stretch>
                      <a:fillRect/>
                    </a:stretch>
                  </pic:blipFill>
                  <pic:spPr>
                    <a:xfrm>
                      <a:off x="0" y="0"/>
                      <a:ext cx="5270500" cy="2840990"/>
                    </a:xfrm>
                    <a:prstGeom prst="rect">
                      <a:avLst/>
                    </a:prstGeom>
                  </pic:spPr>
                </pic:pic>
              </a:graphicData>
            </a:graphic>
          </wp:inline>
        </w:drawing>
      </w:r>
    </w:p>
    <w:p w14:paraId="0395501D" w14:textId="77777777" w:rsidR="008C66D9" w:rsidRDefault="008C66D9" w:rsidP="008C66D9">
      <w:pPr>
        <w:widowControl/>
        <w:autoSpaceDE w:val="0"/>
        <w:spacing w:before="120" w:line="312" w:lineRule="auto"/>
        <w:jc w:val="left"/>
        <w:rPr>
          <w:rFonts w:ascii="Times New Roman" w:hAnsi="Times New Roman"/>
          <w:b/>
          <w:spacing w:val="10"/>
          <w:sz w:val="24"/>
          <w:szCs w:val="24"/>
        </w:rPr>
      </w:pPr>
      <w:r>
        <w:rPr>
          <w:rFonts w:ascii="Times New Roman" w:hAnsi="Times New Roman"/>
          <w:b/>
          <w:spacing w:val="10"/>
          <w:sz w:val="24"/>
          <w:szCs w:val="24"/>
        </w:rPr>
        <w:t>Figure</w:t>
      </w:r>
      <w:r>
        <w:rPr>
          <w:rFonts w:ascii="Times New Roman" w:hAnsi="Times New Roman" w:hint="eastAsia"/>
          <w:b/>
          <w:spacing w:val="10"/>
          <w:sz w:val="24"/>
          <w:szCs w:val="24"/>
        </w:rPr>
        <w:t>.</w:t>
      </w:r>
      <w:r>
        <w:rPr>
          <w:rFonts w:ascii="Times New Roman" w:hAnsi="Times New Roman"/>
          <w:b/>
          <w:spacing w:val="10"/>
          <w:sz w:val="24"/>
          <w:szCs w:val="24"/>
        </w:rPr>
        <w:t xml:space="preserve"> </w:t>
      </w:r>
      <w:r>
        <w:rPr>
          <w:rFonts w:ascii="Times New Roman" w:hAnsi="Times New Roman" w:hint="eastAsia"/>
          <w:b/>
          <w:spacing w:val="10"/>
          <w:sz w:val="24"/>
          <w:szCs w:val="24"/>
        </w:rPr>
        <w:t>S2</w:t>
      </w:r>
      <w:r>
        <w:rPr>
          <w:rFonts w:ascii="Times New Roman" w:hAnsi="Times New Roman"/>
          <w:b/>
          <w:spacing w:val="10"/>
          <w:sz w:val="24"/>
          <w:szCs w:val="24"/>
        </w:rPr>
        <w:t xml:space="preserve">. </w:t>
      </w:r>
      <w:r>
        <w:rPr>
          <w:rFonts w:ascii="Times New Roman" w:hAnsi="Times New Roman" w:hint="eastAsia"/>
          <w:b/>
          <w:spacing w:val="10"/>
          <w:sz w:val="24"/>
          <w:szCs w:val="24"/>
        </w:rPr>
        <w:t>2-NBDG uptake is dependent on glucose transporters in TNC neurons.</w:t>
      </w:r>
    </w:p>
    <w:p w14:paraId="122F13EC" w14:textId="55703811" w:rsidR="008C66D9" w:rsidRPr="008C66D9" w:rsidRDefault="008C66D9" w:rsidP="008C66D9">
      <w:pPr>
        <w:pStyle w:val="ListParagraph"/>
        <w:widowControl/>
        <w:numPr>
          <w:ilvl w:val="0"/>
          <w:numId w:val="1"/>
        </w:numPr>
        <w:autoSpaceDE w:val="0"/>
        <w:spacing w:before="120" w:line="312" w:lineRule="auto"/>
        <w:jc w:val="left"/>
        <w:rPr>
          <w:rFonts w:ascii="Times New Roman" w:hAnsi="Times New Roman"/>
          <w:spacing w:val="10"/>
          <w:sz w:val="24"/>
          <w:szCs w:val="24"/>
        </w:rPr>
      </w:pPr>
      <w:r w:rsidRPr="008C66D9">
        <w:rPr>
          <w:rFonts w:ascii="Times New Roman" w:hAnsi="Times New Roman"/>
          <w:spacing w:val="10"/>
          <w:sz w:val="24"/>
          <w:szCs w:val="24"/>
        </w:rPr>
        <w:t>Immunofluorescence co-localization images of 2-NBDG (glucose uptake probe</w:t>
      </w:r>
      <w:r w:rsidRPr="008C66D9">
        <w:rPr>
          <w:rFonts w:ascii="Times New Roman" w:hAnsi="Times New Roman" w:hint="eastAsia"/>
          <w:spacing w:val="10"/>
          <w:sz w:val="24"/>
          <w:szCs w:val="24"/>
        </w:rPr>
        <w:t xml:space="preserve">, </w:t>
      </w:r>
      <w:r w:rsidRPr="008C66D9">
        <w:rPr>
          <w:rFonts w:ascii="Times New Roman" w:hAnsi="Times New Roman"/>
          <w:spacing w:val="10"/>
          <w:sz w:val="24"/>
          <w:szCs w:val="24"/>
        </w:rPr>
        <w:t xml:space="preserve">green) and the neuronal marker NeuN (red) in the TNC. Scale bar = 100 </w:t>
      </w:r>
      <w:proofErr w:type="spellStart"/>
      <w:r w:rsidRPr="008C66D9">
        <w:rPr>
          <w:rFonts w:ascii="Times New Roman" w:hAnsi="Times New Roman"/>
          <w:spacing w:val="10"/>
          <w:sz w:val="24"/>
          <w:szCs w:val="24"/>
        </w:rPr>
        <w:t>μm</w:t>
      </w:r>
      <w:proofErr w:type="spellEnd"/>
      <w:r w:rsidRPr="008C66D9">
        <w:rPr>
          <w:rFonts w:ascii="Times New Roman" w:hAnsi="Times New Roman"/>
          <w:spacing w:val="10"/>
          <w:sz w:val="24"/>
          <w:szCs w:val="24"/>
        </w:rPr>
        <w:t xml:space="preserve">, 30 </w:t>
      </w:r>
      <w:proofErr w:type="spellStart"/>
      <w:r w:rsidRPr="008C66D9">
        <w:rPr>
          <w:rFonts w:ascii="Times New Roman" w:hAnsi="Times New Roman"/>
          <w:spacing w:val="10"/>
          <w:sz w:val="24"/>
          <w:szCs w:val="24"/>
        </w:rPr>
        <w:t>μm</w:t>
      </w:r>
      <w:proofErr w:type="spellEnd"/>
      <w:r w:rsidRPr="008C66D9">
        <w:rPr>
          <w:rFonts w:ascii="Times New Roman" w:hAnsi="Times New Roman"/>
          <w:spacing w:val="10"/>
          <w:sz w:val="24"/>
          <w:szCs w:val="24"/>
        </w:rPr>
        <w:t xml:space="preserve"> (enlarged panels). </w:t>
      </w:r>
      <w:r w:rsidRPr="008C66D9">
        <w:rPr>
          <w:rFonts w:ascii="Times New Roman" w:hAnsi="Times New Roman"/>
          <w:b/>
          <w:spacing w:val="10"/>
          <w:sz w:val="24"/>
          <w:szCs w:val="24"/>
        </w:rPr>
        <w:t>(B)</w:t>
      </w:r>
      <w:r w:rsidRPr="008C66D9">
        <w:rPr>
          <w:rFonts w:ascii="Times New Roman" w:hAnsi="Times New Roman"/>
          <w:spacing w:val="10"/>
          <w:sz w:val="24"/>
          <w:szCs w:val="24"/>
        </w:rPr>
        <w:t xml:space="preserve"> Quantitative analysis of 2-NBDG immunofluorescence intensity in neurons: Compared with the VEH group, the fluorescence intensity was significantly reduced in both the 4,6-O and </w:t>
      </w:r>
      <w:proofErr w:type="spellStart"/>
      <w:r w:rsidRPr="008C66D9">
        <w:rPr>
          <w:rFonts w:ascii="Times New Roman" w:hAnsi="Times New Roman"/>
          <w:spacing w:val="10"/>
          <w:sz w:val="24"/>
          <w:szCs w:val="24"/>
        </w:rPr>
        <w:t>Cyto</w:t>
      </w:r>
      <w:proofErr w:type="spellEnd"/>
      <w:r w:rsidRPr="008C66D9">
        <w:rPr>
          <w:rFonts w:ascii="Times New Roman" w:hAnsi="Times New Roman"/>
          <w:spacing w:val="10"/>
          <w:sz w:val="24"/>
          <w:szCs w:val="24"/>
        </w:rPr>
        <w:t xml:space="preserve"> B groups, confirming that 2-NBDG uptake in TNC neurons is mediated by GLUT (n = 6 mice/group). All data are presented as mean ± SEM; ***p &lt; 0.001. Statistical significance was determined by unpaired two-tailed t-test.</w:t>
      </w:r>
    </w:p>
    <w:p w14:paraId="3D072055" w14:textId="77777777" w:rsidR="008C66D9" w:rsidRDefault="008C66D9" w:rsidP="008C66D9">
      <w:pPr>
        <w:autoSpaceDE w:val="0"/>
        <w:spacing w:before="120" w:line="312" w:lineRule="auto"/>
        <w:rPr>
          <w:rFonts w:ascii="Times New Roman" w:eastAsia="SimSun" w:hAnsi="Times New Roman"/>
          <w:color w:val="000000"/>
          <w:kern w:val="0"/>
        </w:rPr>
      </w:pPr>
    </w:p>
    <w:p w14:paraId="03A96359" w14:textId="77777777" w:rsidR="008C66D9" w:rsidRDefault="008C66D9" w:rsidP="008C66D9">
      <w:pPr>
        <w:spacing w:line="360" w:lineRule="auto"/>
        <w:jc w:val="center"/>
        <w:rPr>
          <w:rFonts w:ascii="Times New Roman" w:hAnsi="Times New Roman"/>
          <w:spacing w:val="10"/>
          <w:sz w:val="24"/>
          <w:szCs w:val="24"/>
        </w:rPr>
      </w:pPr>
      <w:r>
        <w:rPr>
          <w:rFonts w:ascii="Times New Roman" w:hAnsi="Times New Roman"/>
          <w:noProof/>
          <w:spacing w:val="10"/>
          <w:sz w:val="24"/>
          <w:szCs w:val="24"/>
        </w:rPr>
        <w:lastRenderedPageBreak/>
        <w:drawing>
          <wp:inline distT="0" distB="0" distL="114300" distR="114300" wp14:anchorId="2426A7AE" wp14:editId="79FB779A">
            <wp:extent cx="5266055" cy="4142105"/>
            <wp:effectExtent l="0" t="0" r="4445" b="0"/>
            <wp:docPr id="9" name="图片 9" descr="GLUT3-3(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GLUT3-3(终)"/>
                    <pic:cNvPicPr>
                      <a:picLocks noChangeAspect="1"/>
                    </pic:cNvPicPr>
                  </pic:nvPicPr>
                  <pic:blipFill>
                    <a:blip r:embed="rId9"/>
                    <a:stretch>
                      <a:fillRect/>
                    </a:stretch>
                  </pic:blipFill>
                  <pic:spPr>
                    <a:xfrm>
                      <a:off x="0" y="0"/>
                      <a:ext cx="5266055" cy="4142105"/>
                    </a:xfrm>
                    <a:prstGeom prst="rect">
                      <a:avLst/>
                    </a:prstGeom>
                  </pic:spPr>
                </pic:pic>
              </a:graphicData>
            </a:graphic>
          </wp:inline>
        </w:drawing>
      </w:r>
    </w:p>
    <w:p w14:paraId="1454F4F9" w14:textId="77777777" w:rsidR="008C66D9" w:rsidRDefault="008C66D9" w:rsidP="008C66D9">
      <w:pPr>
        <w:spacing w:line="360" w:lineRule="auto"/>
        <w:rPr>
          <w:rFonts w:ascii="Times New Roman" w:hAnsi="Times New Roman"/>
          <w:b/>
          <w:spacing w:val="10"/>
          <w:sz w:val="24"/>
          <w:szCs w:val="24"/>
        </w:rPr>
      </w:pPr>
      <w:r>
        <w:rPr>
          <w:rFonts w:ascii="Times New Roman" w:hAnsi="Times New Roman"/>
          <w:b/>
          <w:spacing w:val="10"/>
          <w:sz w:val="24"/>
          <w:szCs w:val="24"/>
        </w:rPr>
        <w:t>Figure S3. Validation of neuron-specific GLUT3 overexpression via AAV-hSyn-GLUT3 in mouse TNC.</w:t>
      </w:r>
    </w:p>
    <w:p w14:paraId="1A46AB4F" w14:textId="77777777" w:rsidR="008C66D9" w:rsidRDefault="008C66D9" w:rsidP="008C66D9">
      <w:pPr>
        <w:spacing w:line="360" w:lineRule="auto"/>
        <w:rPr>
          <w:rFonts w:ascii="Times New Roman" w:hAnsi="Times New Roman"/>
          <w:spacing w:val="10"/>
          <w:sz w:val="24"/>
          <w:szCs w:val="24"/>
        </w:rPr>
      </w:pPr>
      <w:r>
        <w:rPr>
          <w:rFonts w:ascii="Times New Roman" w:hAnsi="Times New Roman"/>
          <w:b/>
          <w:spacing w:val="10"/>
          <w:sz w:val="24"/>
          <w:szCs w:val="24"/>
        </w:rPr>
        <w:t>(</w:t>
      </w:r>
      <w:r>
        <w:rPr>
          <w:rFonts w:ascii="Times New Roman" w:hAnsi="Times New Roman" w:hint="eastAsia"/>
          <w:b/>
          <w:spacing w:val="10"/>
          <w:sz w:val="24"/>
          <w:szCs w:val="24"/>
        </w:rPr>
        <w:t>A</w:t>
      </w:r>
      <w:r>
        <w:rPr>
          <w:rFonts w:ascii="Times New Roman" w:hAnsi="Times New Roman"/>
          <w:b/>
          <w:spacing w:val="10"/>
          <w:sz w:val="24"/>
          <w:szCs w:val="24"/>
        </w:rPr>
        <w:t>)</w:t>
      </w:r>
      <w:r>
        <w:rPr>
          <w:rFonts w:ascii="Times New Roman" w:hAnsi="Times New Roman"/>
          <w:spacing w:val="10"/>
          <w:sz w:val="24"/>
          <w:szCs w:val="24"/>
        </w:rPr>
        <w:t xml:space="preserve"> Schematic of AAV constructs: AAV-hSyn-GLUT3 and AAV-</w:t>
      </w:r>
      <w:proofErr w:type="spellStart"/>
      <w:r>
        <w:rPr>
          <w:rFonts w:ascii="Times New Roman" w:hAnsi="Times New Roman"/>
          <w:spacing w:val="10"/>
          <w:sz w:val="24"/>
          <w:szCs w:val="24"/>
        </w:rPr>
        <w:t>hSyn</w:t>
      </w:r>
      <w:proofErr w:type="spellEnd"/>
      <w:r>
        <w:rPr>
          <w:rFonts w:ascii="Times New Roman" w:hAnsi="Times New Roman"/>
          <w:spacing w:val="10"/>
          <w:sz w:val="24"/>
          <w:szCs w:val="24"/>
        </w:rPr>
        <w:t>-</w:t>
      </w:r>
      <w:proofErr w:type="spellStart"/>
      <w:r>
        <w:rPr>
          <w:rFonts w:ascii="Times New Roman" w:hAnsi="Times New Roman"/>
          <w:spacing w:val="10"/>
          <w:sz w:val="24"/>
          <w:szCs w:val="24"/>
        </w:rPr>
        <w:t>mCherry</w:t>
      </w:r>
      <w:proofErr w:type="spellEnd"/>
      <w:r>
        <w:rPr>
          <w:rFonts w:ascii="Times New Roman" w:hAnsi="Times New Roman"/>
          <w:spacing w:val="10"/>
          <w:sz w:val="24"/>
          <w:szCs w:val="24"/>
        </w:rPr>
        <w:t xml:space="preserve"> with neuron-specific </w:t>
      </w:r>
      <w:proofErr w:type="spellStart"/>
      <w:r>
        <w:rPr>
          <w:rFonts w:ascii="Times New Roman" w:hAnsi="Times New Roman"/>
          <w:spacing w:val="10"/>
          <w:sz w:val="24"/>
          <w:szCs w:val="24"/>
        </w:rPr>
        <w:t>hSyn</w:t>
      </w:r>
      <w:proofErr w:type="spellEnd"/>
      <w:r>
        <w:rPr>
          <w:rFonts w:ascii="Times New Roman" w:hAnsi="Times New Roman"/>
          <w:spacing w:val="10"/>
          <w:sz w:val="24"/>
          <w:szCs w:val="24"/>
        </w:rPr>
        <w:t xml:space="preserve"> promoter, ITR, WPRE, and </w:t>
      </w:r>
      <w:proofErr w:type="spellStart"/>
      <w:r>
        <w:rPr>
          <w:rFonts w:ascii="Times New Roman" w:hAnsi="Times New Roman"/>
          <w:spacing w:val="10"/>
          <w:sz w:val="24"/>
          <w:szCs w:val="24"/>
        </w:rPr>
        <w:t>mCherry</w:t>
      </w:r>
      <w:proofErr w:type="spellEnd"/>
      <w:r>
        <w:rPr>
          <w:rFonts w:ascii="Times New Roman" w:hAnsi="Times New Roman"/>
          <w:spacing w:val="10"/>
          <w:sz w:val="24"/>
          <w:szCs w:val="24"/>
        </w:rPr>
        <w:t xml:space="preserve"> reporter.</w:t>
      </w:r>
      <w:r>
        <w:rPr>
          <w:rFonts w:ascii="Times New Roman" w:hAnsi="Times New Roman"/>
          <w:b/>
          <w:spacing w:val="10"/>
          <w:sz w:val="24"/>
          <w:szCs w:val="24"/>
        </w:rPr>
        <w:t xml:space="preserve"> (B) </w:t>
      </w:r>
      <w:r>
        <w:rPr>
          <w:rFonts w:ascii="Times New Roman" w:hAnsi="Times New Roman"/>
          <w:spacing w:val="10"/>
          <w:sz w:val="24"/>
          <w:szCs w:val="24"/>
        </w:rPr>
        <w:t xml:space="preserve">Schematic of stereotaxic AAV injection into TNC, followed by behavioral tests </w:t>
      </w:r>
      <w:r>
        <w:rPr>
          <w:rFonts w:ascii="Times New Roman" w:hAnsi="Times New Roman" w:hint="eastAsia"/>
          <w:spacing w:val="10"/>
          <w:sz w:val="24"/>
          <w:szCs w:val="24"/>
        </w:rPr>
        <w:t>and</w:t>
      </w:r>
      <w:r>
        <w:rPr>
          <w:rFonts w:ascii="Times New Roman" w:hAnsi="Times New Roman"/>
          <w:spacing w:val="10"/>
          <w:sz w:val="24"/>
          <w:szCs w:val="24"/>
        </w:rPr>
        <w:t xml:space="preserve"> </w:t>
      </w:r>
      <w:r>
        <w:rPr>
          <w:rFonts w:ascii="Times New Roman" w:hAnsi="Times New Roman" w:hint="eastAsia"/>
          <w:spacing w:val="10"/>
          <w:sz w:val="24"/>
          <w:szCs w:val="24"/>
        </w:rPr>
        <w:t>NTG</w:t>
      </w:r>
      <w:r>
        <w:rPr>
          <w:rFonts w:ascii="Times New Roman" w:hAnsi="Times New Roman"/>
          <w:spacing w:val="10"/>
          <w:sz w:val="24"/>
          <w:szCs w:val="24"/>
        </w:rPr>
        <w:t xml:space="preserve"> </w:t>
      </w:r>
      <w:r>
        <w:rPr>
          <w:rFonts w:ascii="Times New Roman" w:hAnsi="Times New Roman" w:hint="eastAsia"/>
          <w:spacing w:val="10"/>
          <w:sz w:val="24"/>
          <w:szCs w:val="24"/>
        </w:rPr>
        <w:t>injection</w:t>
      </w:r>
      <w:r>
        <w:rPr>
          <w:rFonts w:ascii="Times New Roman" w:hAnsi="Times New Roman"/>
          <w:spacing w:val="10"/>
          <w:sz w:val="24"/>
          <w:szCs w:val="24"/>
        </w:rPr>
        <w:t xml:space="preserve">. </w:t>
      </w:r>
      <w:r>
        <w:rPr>
          <w:rFonts w:ascii="Times New Roman" w:hAnsi="Times New Roman"/>
          <w:b/>
          <w:spacing w:val="10"/>
          <w:sz w:val="24"/>
          <w:szCs w:val="24"/>
        </w:rPr>
        <w:t xml:space="preserve">(C) </w:t>
      </w:r>
      <w:r>
        <w:rPr>
          <w:rFonts w:ascii="Times New Roman" w:hAnsi="Times New Roman"/>
          <w:spacing w:val="10"/>
          <w:sz w:val="24"/>
          <w:szCs w:val="24"/>
        </w:rPr>
        <w:t xml:space="preserve">Representative WB blots of GLUT3. </w:t>
      </w:r>
      <w:r>
        <w:rPr>
          <w:rFonts w:ascii="Times New Roman" w:hAnsi="Times New Roman"/>
          <w:b/>
          <w:spacing w:val="10"/>
          <w:sz w:val="24"/>
          <w:szCs w:val="24"/>
        </w:rPr>
        <w:t>(D)</w:t>
      </w:r>
      <w:r>
        <w:rPr>
          <w:rFonts w:ascii="Times New Roman" w:hAnsi="Times New Roman"/>
          <w:spacing w:val="10"/>
          <w:sz w:val="24"/>
          <w:szCs w:val="24"/>
        </w:rPr>
        <w:t xml:space="preserve"> Quantitative analysis of GLUT3 protein expression, showing marked reduction in NTG-AAV-NC group and recovery in NTG+AAV-Slc2a3</w:t>
      </w:r>
      <w:r>
        <w:rPr>
          <w:rFonts w:ascii="Times New Roman" w:hAnsi="Times New Roman"/>
          <w:spacing w:val="10"/>
          <w:sz w:val="24"/>
          <w:szCs w:val="24"/>
          <w:vertAlign w:val="superscript"/>
        </w:rPr>
        <w:t>+</w:t>
      </w:r>
      <w:r>
        <w:rPr>
          <w:rFonts w:ascii="Times New Roman" w:hAnsi="Times New Roman"/>
          <w:spacing w:val="10"/>
          <w:sz w:val="24"/>
          <w:szCs w:val="24"/>
        </w:rPr>
        <w:t xml:space="preserve"> group. </w:t>
      </w:r>
      <w:r>
        <w:rPr>
          <w:rFonts w:ascii="Times New Roman" w:hAnsi="Times New Roman"/>
          <w:b/>
          <w:spacing w:val="10"/>
          <w:sz w:val="24"/>
          <w:szCs w:val="24"/>
        </w:rPr>
        <w:t>(E)</w:t>
      </w:r>
      <w:r>
        <w:rPr>
          <w:rFonts w:ascii="Times New Roman" w:hAnsi="Times New Roman"/>
          <w:spacing w:val="10"/>
          <w:sz w:val="24"/>
          <w:szCs w:val="24"/>
        </w:rPr>
        <w:t xml:space="preserve"> Immunofluorescence images showing </w:t>
      </w:r>
      <w:proofErr w:type="spellStart"/>
      <w:r>
        <w:rPr>
          <w:rFonts w:ascii="Times New Roman" w:hAnsi="Times New Roman"/>
          <w:spacing w:val="10"/>
          <w:sz w:val="24"/>
          <w:szCs w:val="24"/>
        </w:rPr>
        <w:t>mCherry</w:t>
      </w:r>
      <w:proofErr w:type="spellEnd"/>
      <w:r>
        <w:rPr>
          <w:rFonts w:ascii="Times New Roman" w:hAnsi="Times New Roman"/>
          <w:spacing w:val="10"/>
          <w:sz w:val="24"/>
          <w:szCs w:val="24"/>
        </w:rPr>
        <w:t xml:space="preserve"> (AAV reporter, red) co-localization with NeuN, but not GFAP or Iba1</w:t>
      </w:r>
      <w:r>
        <w:rPr>
          <w:rFonts w:ascii="Times New Roman" w:hAnsi="Times New Roman" w:hint="eastAsia"/>
          <w:spacing w:val="10"/>
          <w:sz w:val="24"/>
          <w:szCs w:val="24"/>
        </w:rPr>
        <w:t xml:space="preserve"> </w:t>
      </w:r>
      <w:r>
        <w:rPr>
          <w:rFonts w:ascii="Times New Roman" w:hAnsi="Times New Roman"/>
          <w:spacing w:val="10"/>
          <w:sz w:val="24"/>
          <w:szCs w:val="24"/>
        </w:rPr>
        <w:t xml:space="preserve">(green). Scale bar = 50 </w:t>
      </w:r>
      <w:r>
        <w:rPr>
          <w:rFonts w:ascii="Times New Roman" w:hAnsi="Times New Roman"/>
          <w:spacing w:val="10"/>
          <w:sz w:val="24"/>
          <w:szCs w:val="24"/>
          <w:lang w:val="zh-CN"/>
        </w:rPr>
        <w:t>μ</w:t>
      </w:r>
      <w:r>
        <w:rPr>
          <w:rFonts w:ascii="Times New Roman" w:hAnsi="Times New Roman"/>
          <w:spacing w:val="10"/>
          <w:sz w:val="24"/>
          <w:szCs w:val="24"/>
        </w:rPr>
        <w:t xml:space="preserve">m. </w:t>
      </w:r>
      <w:r>
        <w:rPr>
          <w:rFonts w:ascii="Times New Roman" w:hAnsi="Times New Roman"/>
          <w:b/>
          <w:spacing w:val="10"/>
          <w:sz w:val="24"/>
          <w:szCs w:val="24"/>
        </w:rPr>
        <w:t>(</w:t>
      </w:r>
      <w:r>
        <w:rPr>
          <w:rFonts w:ascii="Times New Roman" w:hAnsi="Times New Roman" w:hint="eastAsia"/>
          <w:b/>
          <w:spacing w:val="10"/>
          <w:sz w:val="24"/>
          <w:szCs w:val="24"/>
        </w:rPr>
        <w:t>F</w:t>
      </w:r>
      <w:r>
        <w:rPr>
          <w:rFonts w:ascii="Times New Roman" w:hAnsi="Times New Roman"/>
          <w:b/>
          <w:spacing w:val="10"/>
          <w:sz w:val="24"/>
          <w:szCs w:val="24"/>
        </w:rPr>
        <w:t xml:space="preserve">) </w:t>
      </w:r>
      <w:r>
        <w:rPr>
          <w:rFonts w:ascii="Times New Roman" w:hAnsi="Times New Roman"/>
          <w:spacing w:val="10"/>
          <w:sz w:val="24"/>
          <w:szCs w:val="24"/>
        </w:rPr>
        <w:t xml:space="preserve">Quantitative analysis of </w:t>
      </w:r>
      <w:proofErr w:type="spellStart"/>
      <w:r>
        <w:rPr>
          <w:rFonts w:ascii="Times New Roman" w:hAnsi="Times New Roman"/>
          <w:spacing w:val="10"/>
          <w:sz w:val="24"/>
          <w:szCs w:val="24"/>
        </w:rPr>
        <w:t>mCherry</w:t>
      </w:r>
      <w:proofErr w:type="spellEnd"/>
      <w:r>
        <w:rPr>
          <w:rFonts w:ascii="Times New Roman" w:hAnsi="Times New Roman"/>
          <w:spacing w:val="10"/>
          <w:sz w:val="24"/>
          <w:szCs w:val="24"/>
          <w:vertAlign w:val="superscript"/>
        </w:rPr>
        <w:t>+</w:t>
      </w:r>
      <w:r>
        <w:rPr>
          <w:rFonts w:ascii="Times New Roman" w:hAnsi="Times New Roman"/>
          <w:spacing w:val="10"/>
          <w:sz w:val="24"/>
          <w:szCs w:val="24"/>
        </w:rPr>
        <w:t xml:space="preserve"> cell co-localization with NeuN, GFAP, or Iba1. </w:t>
      </w:r>
      <w:proofErr w:type="gramStart"/>
      <w:r>
        <w:rPr>
          <w:rFonts w:ascii="Times New Roman" w:hAnsi="Times New Roman"/>
          <w:spacing w:val="10"/>
          <w:sz w:val="24"/>
          <w:szCs w:val="24"/>
        </w:rPr>
        <w:t>Data are mean ±</w:t>
      </w:r>
      <w:proofErr w:type="gramEnd"/>
      <w:r>
        <w:rPr>
          <w:rFonts w:ascii="Times New Roman" w:hAnsi="Times New Roman"/>
          <w:spacing w:val="10"/>
          <w:sz w:val="24"/>
          <w:szCs w:val="24"/>
        </w:rPr>
        <w:t xml:space="preserve"> SEM. n = 6 mice per group. </w:t>
      </w:r>
      <w:r>
        <w:rPr>
          <w:rFonts w:ascii="Times New Roman" w:hAnsi="Times New Roman"/>
          <w:spacing w:val="10"/>
          <w:sz w:val="24"/>
          <w:szCs w:val="24"/>
          <w:vertAlign w:val="superscript"/>
        </w:rPr>
        <w:t>*</w:t>
      </w:r>
      <w:r>
        <w:rPr>
          <w:rFonts w:ascii="Times New Roman" w:hAnsi="Times New Roman"/>
          <w:i/>
          <w:iCs/>
          <w:spacing w:val="10"/>
          <w:sz w:val="24"/>
          <w:szCs w:val="24"/>
        </w:rPr>
        <w:t>p</w:t>
      </w:r>
      <w:r>
        <w:rPr>
          <w:rFonts w:ascii="Times New Roman" w:hAnsi="Times New Roman"/>
          <w:spacing w:val="10"/>
          <w:sz w:val="24"/>
          <w:szCs w:val="24"/>
        </w:rPr>
        <w:t xml:space="preserve">&lt;0.05, </w:t>
      </w:r>
      <w:r>
        <w:rPr>
          <w:rFonts w:ascii="Times New Roman" w:hAnsi="Times New Roman"/>
          <w:spacing w:val="10"/>
          <w:sz w:val="24"/>
          <w:szCs w:val="24"/>
          <w:vertAlign w:val="superscript"/>
        </w:rPr>
        <w:t>**</w:t>
      </w:r>
      <w:r>
        <w:rPr>
          <w:rFonts w:ascii="Times New Roman" w:hAnsi="Times New Roman"/>
          <w:i/>
          <w:iCs/>
          <w:spacing w:val="10"/>
          <w:sz w:val="24"/>
          <w:szCs w:val="24"/>
        </w:rPr>
        <w:t>p</w:t>
      </w:r>
      <w:r>
        <w:rPr>
          <w:rFonts w:ascii="Times New Roman" w:hAnsi="Times New Roman"/>
          <w:spacing w:val="10"/>
          <w:sz w:val="24"/>
          <w:szCs w:val="24"/>
        </w:rPr>
        <w:t xml:space="preserve">&lt;0.01. </w:t>
      </w:r>
      <w:r>
        <w:rPr>
          <w:rFonts w:ascii="Times New Roman" w:hAnsi="Times New Roman" w:hint="eastAsia"/>
          <w:spacing w:val="10"/>
          <w:sz w:val="24"/>
          <w:szCs w:val="24"/>
        </w:rPr>
        <w:t xml:space="preserve">D: </w:t>
      </w:r>
      <w:r>
        <w:rPr>
          <w:rFonts w:ascii="Times New Roman" w:hAnsi="Times New Roman"/>
          <w:spacing w:val="10"/>
          <w:sz w:val="24"/>
          <w:szCs w:val="24"/>
        </w:rPr>
        <w:t>Statistical significance determined by one-way analysis of variance with Tukey’s post-hoc test.</w:t>
      </w:r>
    </w:p>
    <w:p w14:paraId="3930C1C9" w14:textId="77777777" w:rsidR="008C66D9" w:rsidRDefault="008C66D9" w:rsidP="008C66D9">
      <w:pPr>
        <w:spacing w:line="360" w:lineRule="auto"/>
        <w:jc w:val="center"/>
        <w:rPr>
          <w:rFonts w:ascii="Times New Roman" w:hAnsi="Times New Roman"/>
          <w:sz w:val="24"/>
          <w:szCs w:val="24"/>
        </w:rPr>
      </w:pPr>
      <w:r>
        <w:rPr>
          <w:rFonts w:ascii="Times New Roman" w:hAnsi="Times New Roman"/>
          <w:noProof/>
          <w:sz w:val="24"/>
          <w:szCs w:val="24"/>
        </w:rPr>
        <w:lastRenderedPageBreak/>
        <w:drawing>
          <wp:inline distT="0" distB="0" distL="114300" distR="114300" wp14:anchorId="62D9BB12" wp14:editId="55EA89EA">
            <wp:extent cx="5265420" cy="6710680"/>
            <wp:effectExtent l="0" t="0" r="5080" b="0"/>
            <wp:docPr id="31" name="图片 31" descr="GLUT3-5(Suppleme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GLUT3-5(Supplemet) "/>
                    <pic:cNvPicPr>
                      <a:picLocks noChangeAspect="1"/>
                    </pic:cNvPicPr>
                  </pic:nvPicPr>
                  <pic:blipFill>
                    <a:blip r:embed="rId10"/>
                    <a:stretch>
                      <a:fillRect/>
                    </a:stretch>
                  </pic:blipFill>
                  <pic:spPr>
                    <a:xfrm>
                      <a:off x="0" y="0"/>
                      <a:ext cx="5265420" cy="6710680"/>
                    </a:xfrm>
                    <a:prstGeom prst="rect">
                      <a:avLst/>
                    </a:prstGeom>
                  </pic:spPr>
                </pic:pic>
              </a:graphicData>
            </a:graphic>
          </wp:inline>
        </w:drawing>
      </w:r>
    </w:p>
    <w:p w14:paraId="1E8704ED" w14:textId="77777777" w:rsidR="008C66D9" w:rsidRDefault="008C66D9" w:rsidP="008C66D9">
      <w:pPr>
        <w:spacing w:line="360" w:lineRule="auto"/>
        <w:rPr>
          <w:rFonts w:ascii="Times New Roman" w:hAnsi="Times New Roman"/>
          <w:b/>
          <w:sz w:val="24"/>
          <w:szCs w:val="24"/>
        </w:rPr>
      </w:pPr>
      <w:r>
        <w:rPr>
          <w:rFonts w:ascii="Times New Roman" w:hAnsi="Times New Roman"/>
          <w:b/>
          <w:sz w:val="24"/>
          <w:szCs w:val="24"/>
        </w:rPr>
        <w:t>Figure S4. Abnormal glycolysis/PPP/OXPHOS in the NTG-induced CM mice.</w:t>
      </w:r>
    </w:p>
    <w:p w14:paraId="3CD4C7D2" w14:textId="77777777" w:rsidR="008C66D9" w:rsidRDefault="008C66D9" w:rsidP="008C66D9">
      <w:pPr>
        <w:spacing w:line="360" w:lineRule="auto"/>
        <w:rPr>
          <w:rFonts w:ascii="Times New Roman" w:hAnsi="Times New Roman"/>
          <w:sz w:val="24"/>
          <w:szCs w:val="24"/>
        </w:rPr>
      </w:pPr>
      <w:r>
        <w:rPr>
          <w:rFonts w:ascii="Times New Roman" w:hAnsi="Times New Roman"/>
          <w:b/>
          <w:sz w:val="24"/>
          <w:szCs w:val="24"/>
        </w:rPr>
        <w:t>(</w:t>
      </w:r>
      <w:r>
        <w:rPr>
          <w:rFonts w:ascii="Times New Roman" w:hAnsi="Times New Roman" w:hint="eastAsia"/>
          <w:b/>
          <w:sz w:val="24"/>
          <w:szCs w:val="24"/>
        </w:rPr>
        <w:t>A</w:t>
      </w:r>
      <w:r>
        <w:rPr>
          <w:rFonts w:ascii="Times New Roman" w:hAnsi="Times New Roman"/>
          <w:b/>
          <w:sz w:val="24"/>
          <w:szCs w:val="24"/>
        </w:rPr>
        <w:t>)</w:t>
      </w:r>
      <w:r>
        <w:rPr>
          <w:rFonts w:ascii="Times New Roman" w:hAnsi="Times New Roman"/>
          <w:sz w:val="24"/>
          <w:szCs w:val="24"/>
        </w:rPr>
        <w:t xml:space="preserve"> KEGG pathway enrichment (VEH+AAV-NC vs NTG+AAV-NC): Glucose metabolism pathways were significantly enriched in NTG-induced differential metabolites (n = 4 mice/group). </w:t>
      </w:r>
      <w:r>
        <w:rPr>
          <w:rFonts w:ascii="Times New Roman" w:hAnsi="Times New Roman"/>
          <w:b/>
          <w:sz w:val="24"/>
          <w:szCs w:val="24"/>
        </w:rPr>
        <w:t>(B)</w:t>
      </w:r>
      <w:r>
        <w:rPr>
          <w:rFonts w:ascii="Times New Roman" w:hAnsi="Times New Roman"/>
          <w:sz w:val="24"/>
          <w:szCs w:val="24"/>
        </w:rPr>
        <w:t xml:space="preserve"> KEGG pathway enrichment (NTG+AAV-NC vs NTG+AAV-Slc2a3</w:t>
      </w:r>
      <w:r>
        <w:rPr>
          <w:rFonts w:ascii="Times New Roman" w:hAnsi="Times New Roman"/>
          <w:sz w:val="24"/>
          <w:szCs w:val="24"/>
          <w:vertAlign w:val="superscript"/>
        </w:rPr>
        <w:t>+</w:t>
      </w:r>
      <w:r>
        <w:rPr>
          <w:rFonts w:ascii="Times New Roman" w:hAnsi="Times New Roman"/>
          <w:sz w:val="24"/>
          <w:szCs w:val="24"/>
        </w:rPr>
        <w:t>): Glucose metabolism pathways were reversed in the NTG+AAV-Slc2a3</w:t>
      </w:r>
      <w:r>
        <w:rPr>
          <w:rFonts w:ascii="Times New Roman" w:hAnsi="Times New Roman"/>
          <w:sz w:val="24"/>
          <w:szCs w:val="24"/>
          <w:vertAlign w:val="superscript"/>
        </w:rPr>
        <w:t>+</w:t>
      </w:r>
      <w:r>
        <w:rPr>
          <w:rFonts w:ascii="Times New Roman" w:hAnsi="Times New Roman"/>
          <w:sz w:val="24"/>
          <w:szCs w:val="24"/>
        </w:rPr>
        <w:t xml:space="preserve"> group relative to NTG+AAV-NC group. n = 4 mice/group. </w:t>
      </w:r>
      <w:r>
        <w:rPr>
          <w:rFonts w:ascii="Times New Roman" w:hAnsi="Times New Roman"/>
          <w:b/>
          <w:sz w:val="24"/>
          <w:szCs w:val="24"/>
        </w:rPr>
        <w:t>(C–U)</w:t>
      </w:r>
      <w:r>
        <w:rPr>
          <w:rFonts w:ascii="Times New Roman" w:hAnsi="Times New Roman"/>
          <w:sz w:val="24"/>
          <w:szCs w:val="24"/>
        </w:rPr>
        <w:t xml:space="preserve"> Quantitative analysis of glycolysis/OXPHOS/PPP metabolites: NTG altered concentrations of Fructose 6-phosphate </w:t>
      </w:r>
      <w:r>
        <w:rPr>
          <w:rFonts w:ascii="Times New Roman" w:hAnsi="Times New Roman"/>
          <w:b/>
          <w:sz w:val="24"/>
          <w:szCs w:val="24"/>
        </w:rPr>
        <w:t xml:space="preserve">(C) </w:t>
      </w:r>
      <w:r>
        <w:rPr>
          <w:rFonts w:ascii="Times New Roman" w:hAnsi="Times New Roman"/>
          <w:sz w:val="24"/>
          <w:szCs w:val="24"/>
        </w:rPr>
        <w:t xml:space="preserve">, Fructose 1,6-bisphosphate </w:t>
      </w:r>
      <w:r>
        <w:rPr>
          <w:rFonts w:ascii="Times New Roman" w:hAnsi="Times New Roman"/>
          <w:b/>
          <w:sz w:val="24"/>
          <w:szCs w:val="24"/>
        </w:rPr>
        <w:t xml:space="preserve">(D) </w:t>
      </w:r>
      <w:r>
        <w:rPr>
          <w:rFonts w:ascii="Times New Roman" w:hAnsi="Times New Roman"/>
          <w:sz w:val="24"/>
          <w:szCs w:val="24"/>
        </w:rPr>
        <w:t xml:space="preserve">, Glucose 6-phosphate </w:t>
      </w:r>
      <w:r>
        <w:rPr>
          <w:rFonts w:ascii="Times New Roman" w:hAnsi="Times New Roman"/>
          <w:b/>
          <w:sz w:val="24"/>
          <w:szCs w:val="24"/>
        </w:rPr>
        <w:t>(F)</w:t>
      </w:r>
      <w:r>
        <w:rPr>
          <w:rFonts w:ascii="Times New Roman" w:hAnsi="Times New Roman"/>
          <w:sz w:val="24"/>
          <w:szCs w:val="24"/>
        </w:rPr>
        <w:t xml:space="preserve"> , 2-Phosphoglyceric acid </w:t>
      </w:r>
      <w:r>
        <w:rPr>
          <w:rFonts w:ascii="Times New Roman" w:hAnsi="Times New Roman"/>
          <w:b/>
          <w:sz w:val="24"/>
          <w:szCs w:val="24"/>
        </w:rPr>
        <w:t xml:space="preserve">(G) </w:t>
      </w:r>
      <w:r>
        <w:rPr>
          <w:rFonts w:ascii="Times New Roman" w:hAnsi="Times New Roman"/>
          <w:sz w:val="24"/>
          <w:szCs w:val="24"/>
        </w:rPr>
        <w:t xml:space="preserve">, </w:t>
      </w:r>
      <w:proofErr w:type="spellStart"/>
      <w:r>
        <w:rPr>
          <w:rFonts w:ascii="Times New Roman" w:hAnsi="Times New Roman"/>
          <w:sz w:val="24"/>
          <w:szCs w:val="24"/>
        </w:rPr>
        <w:lastRenderedPageBreak/>
        <w:t>Phosphoenolpyruvic</w:t>
      </w:r>
      <w:proofErr w:type="spellEnd"/>
      <w:r>
        <w:rPr>
          <w:rFonts w:ascii="Times New Roman" w:hAnsi="Times New Roman"/>
          <w:sz w:val="24"/>
          <w:szCs w:val="24"/>
        </w:rPr>
        <w:t xml:space="preserve"> acid </w:t>
      </w:r>
      <w:r>
        <w:rPr>
          <w:rFonts w:ascii="Times New Roman" w:hAnsi="Times New Roman"/>
          <w:b/>
          <w:sz w:val="24"/>
          <w:szCs w:val="24"/>
        </w:rPr>
        <w:t xml:space="preserve">(H) </w:t>
      </w:r>
      <w:r>
        <w:rPr>
          <w:rFonts w:ascii="Times New Roman" w:hAnsi="Times New Roman"/>
          <w:sz w:val="24"/>
          <w:szCs w:val="24"/>
        </w:rPr>
        <w:t xml:space="preserve">, Lactate </w:t>
      </w:r>
      <w:r>
        <w:rPr>
          <w:rFonts w:ascii="Times New Roman" w:hAnsi="Times New Roman"/>
          <w:b/>
          <w:sz w:val="24"/>
          <w:szCs w:val="24"/>
        </w:rPr>
        <w:t xml:space="preserve">(I) </w:t>
      </w:r>
      <w:r>
        <w:rPr>
          <w:rFonts w:ascii="Times New Roman" w:hAnsi="Times New Roman"/>
          <w:sz w:val="24"/>
          <w:szCs w:val="24"/>
        </w:rPr>
        <w:t>, ADP</w:t>
      </w:r>
      <w:r>
        <w:rPr>
          <w:rFonts w:ascii="Times New Roman" w:hAnsi="Times New Roman"/>
          <w:b/>
          <w:sz w:val="24"/>
          <w:szCs w:val="24"/>
        </w:rPr>
        <w:t xml:space="preserve"> (J)</w:t>
      </w:r>
      <w:r>
        <w:rPr>
          <w:rFonts w:ascii="Times New Roman" w:hAnsi="Times New Roman"/>
          <w:sz w:val="24"/>
          <w:szCs w:val="24"/>
        </w:rPr>
        <w:t xml:space="preserve"> , AMP</w:t>
      </w:r>
      <w:r>
        <w:rPr>
          <w:rFonts w:ascii="Times New Roman" w:hAnsi="Times New Roman"/>
          <w:b/>
          <w:sz w:val="24"/>
          <w:szCs w:val="24"/>
        </w:rPr>
        <w:t xml:space="preserve"> (K) </w:t>
      </w:r>
      <w:r>
        <w:rPr>
          <w:rFonts w:ascii="Times New Roman" w:hAnsi="Times New Roman"/>
          <w:sz w:val="24"/>
          <w:szCs w:val="24"/>
        </w:rPr>
        <w:t xml:space="preserve">, AMP/ADP </w:t>
      </w:r>
      <w:r>
        <w:rPr>
          <w:rFonts w:ascii="Times New Roman" w:hAnsi="Times New Roman"/>
          <w:b/>
          <w:sz w:val="24"/>
          <w:szCs w:val="24"/>
        </w:rPr>
        <w:t>(L)</w:t>
      </w:r>
      <w:r>
        <w:rPr>
          <w:rFonts w:ascii="Times New Roman" w:hAnsi="Times New Roman"/>
          <w:sz w:val="24"/>
          <w:szCs w:val="24"/>
        </w:rPr>
        <w:t xml:space="preserve"> , Nicotinamide </w:t>
      </w:r>
      <w:r>
        <w:rPr>
          <w:rFonts w:ascii="Times New Roman" w:hAnsi="Times New Roman"/>
          <w:b/>
          <w:sz w:val="24"/>
          <w:szCs w:val="24"/>
        </w:rPr>
        <w:t>(M)</w:t>
      </w:r>
      <w:r>
        <w:rPr>
          <w:rFonts w:ascii="Times New Roman" w:hAnsi="Times New Roman"/>
          <w:sz w:val="24"/>
          <w:szCs w:val="24"/>
        </w:rPr>
        <w:t xml:space="preserve"> , Nicotinamide </w:t>
      </w:r>
      <w:proofErr w:type="spellStart"/>
      <w:r>
        <w:rPr>
          <w:rFonts w:ascii="Times New Roman" w:hAnsi="Times New Roman"/>
          <w:sz w:val="24"/>
          <w:szCs w:val="24"/>
        </w:rPr>
        <w:t>ribotide</w:t>
      </w:r>
      <w:proofErr w:type="spellEnd"/>
      <w:r>
        <w:rPr>
          <w:rFonts w:ascii="Times New Roman" w:hAnsi="Times New Roman"/>
          <w:sz w:val="24"/>
          <w:szCs w:val="24"/>
        </w:rPr>
        <w:t xml:space="preserve"> </w:t>
      </w:r>
      <w:r>
        <w:rPr>
          <w:rFonts w:ascii="Times New Roman" w:hAnsi="Times New Roman"/>
          <w:b/>
          <w:sz w:val="24"/>
          <w:szCs w:val="24"/>
        </w:rPr>
        <w:t>(N)</w:t>
      </w:r>
      <w:r>
        <w:rPr>
          <w:rFonts w:ascii="Times New Roman" w:hAnsi="Times New Roman"/>
          <w:sz w:val="24"/>
          <w:szCs w:val="24"/>
        </w:rPr>
        <w:t xml:space="preserve"> , D-ribulose 5-phosphate </w:t>
      </w:r>
      <w:r>
        <w:rPr>
          <w:rFonts w:ascii="Times New Roman" w:hAnsi="Times New Roman"/>
          <w:b/>
          <w:sz w:val="24"/>
          <w:szCs w:val="24"/>
        </w:rPr>
        <w:t>(O)</w:t>
      </w:r>
      <w:r>
        <w:rPr>
          <w:rFonts w:ascii="Times New Roman" w:hAnsi="Times New Roman"/>
          <w:sz w:val="24"/>
          <w:szCs w:val="24"/>
        </w:rPr>
        <w:t xml:space="preserve"> , D-</w:t>
      </w:r>
      <w:proofErr w:type="spellStart"/>
      <w:r>
        <w:rPr>
          <w:rFonts w:ascii="Times New Roman" w:hAnsi="Times New Roman"/>
          <w:sz w:val="24"/>
          <w:szCs w:val="24"/>
        </w:rPr>
        <w:t>sedoheptulose</w:t>
      </w:r>
      <w:proofErr w:type="spellEnd"/>
      <w:r>
        <w:rPr>
          <w:rFonts w:ascii="Times New Roman" w:hAnsi="Times New Roman"/>
          <w:sz w:val="24"/>
          <w:szCs w:val="24"/>
        </w:rPr>
        <w:t xml:space="preserve"> 7-phosphate </w:t>
      </w:r>
      <w:r>
        <w:rPr>
          <w:rFonts w:ascii="Times New Roman" w:hAnsi="Times New Roman"/>
          <w:b/>
          <w:sz w:val="24"/>
          <w:szCs w:val="24"/>
        </w:rPr>
        <w:t>(P)</w:t>
      </w:r>
      <w:r>
        <w:rPr>
          <w:rFonts w:ascii="Times New Roman" w:hAnsi="Times New Roman"/>
          <w:sz w:val="24"/>
          <w:szCs w:val="24"/>
        </w:rPr>
        <w:t xml:space="preserve"> , D-ribose </w:t>
      </w:r>
      <w:r>
        <w:rPr>
          <w:rFonts w:ascii="Times New Roman" w:hAnsi="Times New Roman"/>
          <w:b/>
          <w:sz w:val="24"/>
          <w:szCs w:val="24"/>
        </w:rPr>
        <w:t>(Q)</w:t>
      </w:r>
      <w:r>
        <w:rPr>
          <w:rFonts w:ascii="Times New Roman" w:hAnsi="Times New Roman"/>
          <w:sz w:val="24"/>
          <w:szCs w:val="24"/>
        </w:rPr>
        <w:t xml:space="preserve"> , Glucosamine 6-phosphate </w:t>
      </w:r>
      <w:r>
        <w:rPr>
          <w:rFonts w:ascii="Times New Roman" w:hAnsi="Times New Roman"/>
          <w:b/>
          <w:sz w:val="24"/>
          <w:szCs w:val="24"/>
        </w:rPr>
        <w:t xml:space="preserve">(R) </w:t>
      </w:r>
      <w:r>
        <w:rPr>
          <w:rFonts w:ascii="Times New Roman" w:hAnsi="Times New Roman"/>
          <w:sz w:val="24"/>
          <w:szCs w:val="24"/>
        </w:rPr>
        <w:t>, N-acetylglucosamine 6-phosphate</w:t>
      </w:r>
      <w:r>
        <w:rPr>
          <w:rFonts w:ascii="Times New Roman" w:hAnsi="Times New Roman"/>
          <w:b/>
          <w:sz w:val="24"/>
          <w:szCs w:val="24"/>
        </w:rPr>
        <w:t xml:space="preserve"> (S) </w:t>
      </w:r>
      <w:r>
        <w:rPr>
          <w:rFonts w:ascii="Times New Roman" w:hAnsi="Times New Roman"/>
          <w:sz w:val="24"/>
          <w:szCs w:val="24"/>
        </w:rPr>
        <w:t xml:space="preserve">(n = 4 mice/group). All data are presented as mean ± SEM. Statistical significance was determined by one-way analysis of variance followed by Tukey’s post-hoc test. </w:t>
      </w:r>
      <w:r>
        <w:rPr>
          <w:rFonts w:ascii="Times New Roman" w:hAnsi="Times New Roman"/>
          <w:sz w:val="24"/>
          <w:szCs w:val="24"/>
          <w:vertAlign w:val="superscript"/>
        </w:rPr>
        <w:t>*</w:t>
      </w:r>
      <w:r>
        <w:rPr>
          <w:rFonts w:ascii="Times New Roman" w:hAnsi="Times New Roman"/>
          <w:i/>
          <w:iCs/>
          <w:sz w:val="24"/>
          <w:szCs w:val="24"/>
        </w:rPr>
        <w:t>p</w:t>
      </w:r>
      <w:r>
        <w:rPr>
          <w:rFonts w:ascii="Times New Roman" w:hAnsi="Times New Roman"/>
          <w:sz w:val="24"/>
          <w:szCs w:val="24"/>
        </w:rPr>
        <w:t xml:space="preserve"> &lt; 0.05, </w:t>
      </w:r>
      <w:r>
        <w:rPr>
          <w:rFonts w:ascii="Times New Roman" w:hAnsi="Times New Roman"/>
          <w:sz w:val="24"/>
          <w:szCs w:val="24"/>
          <w:vertAlign w:val="superscript"/>
        </w:rPr>
        <w:t>**</w:t>
      </w:r>
      <w:r>
        <w:rPr>
          <w:rFonts w:ascii="Times New Roman" w:hAnsi="Times New Roman"/>
          <w:i/>
          <w:iCs/>
          <w:sz w:val="24"/>
          <w:szCs w:val="24"/>
        </w:rPr>
        <w:t>p</w:t>
      </w:r>
      <w:r>
        <w:rPr>
          <w:rFonts w:ascii="Times New Roman" w:hAnsi="Times New Roman"/>
          <w:sz w:val="24"/>
          <w:szCs w:val="24"/>
        </w:rPr>
        <w:t xml:space="preserve"> &lt; 0.01, </w:t>
      </w:r>
      <w:r>
        <w:rPr>
          <w:rFonts w:ascii="Times New Roman" w:hAnsi="Times New Roman"/>
          <w:sz w:val="24"/>
          <w:szCs w:val="24"/>
          <w:vertAlign w:val="superscript"/>
        </w:rPr>
        <w:t>**</w:t>
      </w:r>
      <w:r>
        <w:rPr>
          <w:rFonts w:ascii="Times New Roman" w:hAnsi="Times New Roman"/>
          <w:sz w:val="24"/>
          <w:szCs w:val="24"/>
        </w:rPr>
        <w:t>*</w:t>
      </w:r>
      <w:r>
        <w:rPr>
          <w:rFonts w:ascii="Times New Roman" w:hAnsi="Times New Roman"/>
          <w:i/>
          <w:iCs/>
          <w:sz w:val="24"/>
          <w:szCs w:val="24"/>
        </w:rPr>
        <w:t>p</w:t>
      </w:r>
      <w:r>
        <w:rPr>
          <w:rFonts w:ascii="Times New Roman" w:hAnsi="Times New Roman"/>
          <w:sz w:val="24"/>
          <w:szCs w:val="24"/>
        </w:rPr>
        <w:t xml:space="preserve"> &lt; 0.001.</w:t>
      </w:r>
    </w:p>
    <w:p w14:paraId="4A02A751" w14:textId="77777777" w:rsidR="008C66D9" w:rsidRDefault="008C66D9" w:rsidP="008C66D9">
      <w:pPr>
        <w:pStyle w:val="ListParagraph"/>
        <w:widowControl/>
        <w:numPr>
          <w:ilvl w:val="0"/>
          <w:numId w:val="2"/>
        </w:numPr>
        <w:spacing w:line="360" w:lineRule="auto"/>
        <w:ind w:left="0" w:firstLine="420"/>
        <w:contextualSpacing w:val="0"/>
        <w:jc w:val="left"/>
        <w:rPr>
          <w:rFonts w:ascii="Times New Roman" w:eastAsia="KaiTi" w:hAnsi="Times New Roman"/>
          <w:b/>
          <w:bCs/>
          <w:sz w:val="24"/>
          <w:szCs w:val="24"/>
        </w:rPr>
      </w:pPr>
      <w:r>
        <w:rPr>
          <w:rFonts w:ascii="Times New Roman" w:eastAsia="KaiTi" w:hAnsi="Times New Roman"/>
          <w:b/>
          <w:bCs/>
          <w:sz w:val="24"/>
          <w:szCs w:val="24"/>
        </w:rPr>
        <w:br w:type="page"/>
      </w:r>
    </w:p>
    <w:p w14:paraId="353C7D04" w14:textId="77777777" w:rsidR="008C66D9" w:rsidRPr="008C66D9" w:rsidRDefault="008C66D9" w:rsidP="008C66D9">
      <w:pPr>
        <w:autoSpaceDE w:val="0"/>
        <w:spacing w:before="120" w:line="312" w:lineRule="auto"/>
        <w:rPr>
          <w:rFonts w:ascii="Times New Roman" w:eastAsia="SimSun" w:hAnsi="Times New Roman"/>
          <w:color w:val="000000"/>
          <w:kern w:val="0"/>
        </w:rPr>
      </w:pPr>
    </w:p>
    <w:p w14:paraId="331BFEBB" w14:textId="77777777" w:rsidR="008C66D9" w:rsidRDefault="008C66D9" w:rsidP="008C66D9">
      <w:pPr>
        <w:widowControl/>
        <w:jc w:val="left"/>
        <w:rPr>
          <w:rFonts w:ascii="Times New Roman" w:hAnsi="Times New Roman"/>
          <w:sz w:val="24"/>
          <w:szCs w:val="24"/>
        </w:rPr>
      </w:pPr>
      <w:r>
        <w:rPr>
          <w:rFonts w:ascii="Times New Roman" w:hAnsi="Times New Roman"/>
          <w:sz w:val="24"/>
          <w:szCs w:val="24"/>
        </w:rPr>
        <w:br w:type="page"/>
      </w:r>
    </w:p>
    <w:p w14:paraId="2D00FDA7" w14:textId="77777777" w:rsidR="00A91650" w:rsidRDefault="00A91650"/>
    <w:sectPr w:rsidR="00A9165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KaiTi">
    <w:altName w:val="汉仪楷体KW"/>
    <w:charset w:val="86"/>
    <w:family w:val="modern"/>
    <w:pitch w:val="fixed"/>
    <w:sig w:usb0="800002BF" w:usb1="38CF7CFA" w:usb2="00000016" w:usb3="00000000" w:csb0="00040001" w:csb1="00000000"/>
  </w:font>
  <w:font w:name="SimSun">
    <w:altName w:val="宋体"/>
    <w:panose1 w:val="02010600030101010101"/>
    <w:charset w:val="86"/>
    <w:family w:val="auto"/>
    <w:pitch w:val="variable"/>
    <w:sig w:usb0="00000203" w:usb1="288F0000" w:usb2="00000016" w:usb3="00000000" w:csb0="0004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EEEF68B4"/>
    <w:multiLevelType w:val="singleLevel"/>
    <w:tmpl w:val="EEEF68B4"/>
    <w:lvl w:ilvl="0">
      <w:start w:val="1"/>
      <w:numFmt w:val="upperLetter"/>
      <w:suff w:val="space"/>
      <w:lvlText w:val="(%1)"/>
      <w:lvlJc w:val="left"/>
    </w:lvl>
  </w:abstractNum>
  <w:abstractNum w:abstractNumId="1" w15:restartNumberingAfterBreak="0">
    <w:nsid w:val="4D236F8F"/>
    <w:multiLevelType w:val="hybridMultilevel"/>
    <w:tmpl w:val="FE4C6BC2"/>
    <w:lvl w:ilvl="0" w:tplc="3D7E8C2C">
      <w:start w:val="1"/>
      <w:numFmt w:val="upperLetter"/>
      <w:lvlText w:val="(%1)"/>
      <w:lvlJc w:val="left"/>
      <w:pPr>
        <w:ind w:left="790" w:hanging="43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588806103">
    <w:abstractNumId w:val="1"/>
  </w:num>
  <w:num w:numId="2" w16cid:durableId="165780218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6D9"/>
    <w:rsid w:val="000E2EDD"/>
    <w:rsid w:val="008C66D9"/>
    <w:rsid w:val="00A91650"/>
    <w:rsid w:val="00AF7763"/>
    <w:rsid w:val="00E559FE"/>
    <w:rsid w:val="00E633FC"/>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46533"/>
  <w15:chartTrackingRefBased/>
  <w15:docId w15:val="{40631778-D6C6-4A64-9C2E-846F1017A9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6D9"/>
    <w:pPr>
      <w:widowControl w:val="0"/>
      <w:spacing w:after="0" w:line="240" w:lineRule="auto"/>
      <w:jc w:val="both"/>
    </w:pPr>
    <w:rPr>
      <w:rFonts w:ascii="DengXian" w:eastAsia="DengXian" w:hAnsi="DengXian" w:cs="Times New Roman"/>
      <w:sz w:val="21"/>
      <w:szCs w:val="21"/>
      <w:lang w:val="en-US" w:eastAsia="zh-CN"/>
      <w14:ligatures w14:val="none"/>
    </w:rPr>
  </w:style>
  <w:style w:type="paragraph" w:styleId="Heading1">
    <w:name w:val="heading 1"/>
    <w:basedOn w:val="Normal"/>
    <w:next w:val="Normal"/>
    <w:link w:val="Heading1Char"/>
    <w:uiPriority w:val="9"/>
    <w:qFormat/>
    <w:rsid w:val="008C66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C66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C66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C66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C66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C66D9"/>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C66D9"/>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C66D9"/>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C66D9"/>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C66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C66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C66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C66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C66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C66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C66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C66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C66D9"/>
    <w:rPr>
      <w:rFonts w:eastAsiaTheme="majorEastAsia" w:cstheme="majorBidi"/>
      <w:color w:val="272727" w:themeColor="text1" w:themeTint="D8"/>
    </w:rPr>
  </w:style>
  <w:style w:type="paragraph" w:styleId="Title">
    <w:name w:val="Title"/>
    <w:basedOn w:val="Normal"/>
    <w:next w:val="Normal"/>
    <w:link w:val="TitleChar"/>
    <w:uiPriority w:val="10"/>
    <w:qFormat/>
    <w:rsid w:val="008C66D9"/>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C66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C66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C66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C66D9"/>
    <w:pPr>
      <w:spacing w:before="160"/>
      <w:jc w:val="center"/>
    </w:pPr>
    <w:rPr>
      <w:i/>
      <w:iCs/>
      <w:color w:val="404040" w:themeColor="text1" w:themeTint="BF"/>
    </w:rPr>
  </w:style>
  <w:style w:type="character" w:customStyle="1" w:styleId="QuoteChar">
    <w:name w:val="Quote Char"/>
    <w:basedOn w:val="DefaultParagraphFont"/>
    <w:link w:val="Quote"/>
    <w:uiPriority w:val="29"/>
    <w:rsid w:val="008C66D9"/>
    <w:rPr>
      <w:i/>
      <w:iCs/>
      <w:color w:val="404040" w:themeColor="text1" w:themeTint="BF"/>
    </w:rPr>
  </w:style>
  <w:style w:type="paragraph" w:styleId="ListParagraph">
    <w:name w:val="List Paragraph"/>
    <w:basedOn w:val="Normal"/>
    <w:uiPriority w:val="99"/>
    <w:qFormat/>
    <w:rsid w:val="008C66D9"/>
    <w:pPr>
      <w:ind w:left="720"/>
      <w:contextualSpacing/>
    </w:pPr>
  </w:style>
  <w:style w:type="character" w:styleId="IntenseEmphasis">
    <w:name w:val="Intense Emphasis"/>
    <w:basedOn w:val="DefaultParagraphFont"/>
    <w:uiPriority w:val="21"/>
    <w:qFormat/>
    <w:rsid w:val="008C66D9"/>
    <w:rPr>
      <w:i/>
      <w:iCs/>
      <w:color w:val="0F4761" w:themeColor="accent1" w:themeShade="BF"/>
    </w:rPr>
  </w:style>
  <w:style w:type="paragraph" w:styleId="IntenseQuote">
    <w:name w:val="Intense Quote"/>
    <w:basedOn w:val="Normal"/>
    <w:next w:val="Normal"/>
    <w:link w:val="IntenseQuoteChar"/>
    <w:uiPriority w:val="30"/>
    <w:qFormat/>
    <w:rsid w:val="008C66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C66D9"/>
    <w:rPr>
      <w:i/>
      <w:iCs/>
      <w:color w:val="0F4761" w:themeColor="accent1" w:themeShade="BF"/>
    </w:rPr>
  </w:style>
  <w:style w:type="character" w:styleId="IntenseReference">
    <w:name w:val="Intense Reference"/>
    <w:basedOn w:val="DefaultParagraphFont"/>
    <w:uiPriority w:val="32"/>
    <w:qFormat/>
    <w:rsid w:val="008C66D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microsoft.com/office/2007/relationships/hdphoto" Target="media/hdphoto2.wdp"/><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microsoft.com/office/2007/relationships/hdphoto" Target="media/hdphoto1.wdp"/><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604</Words>
  <Characters>3565</Characters>
  <Application>Microsoft Office Word</Application>
  <DocSecurity>0</DocSecurity>
  <Lines>65</Lines>
  <Paragraphs>8</Paragraphs>
  <ScaleCrop>false</ScaleCrop>
  <Company/>
  <LinksUpToDate>false</LinksUpToDate>
  <CharactersWithSpaces>4160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2026-03-05T18:21:00Z</dcterms:created>
  <dcterms:modified xsi:type="dcterms:W3CDTF">2026-03-05T18:22:00Z</dcterms:modified>
</cp:coreProperties>
</file>