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0F0E1" w14:textId="28D0F727" w:rsidR="00470776" w:rsidRPr="00B36F5D" w:rsidRDefault="00470776" w:rsidP="00470776">
      <w:pPr>
        <w:pStyle w:val="Heading1"/>
        <w:rPr>
          <w:b w:val="0"/>
          <w:bCs w:val="0"/>
        </w:rPr>
      </w:pPr>
      <w:r w:rsidRPr="00B36F5D">
        <w:rPr>
          <w:b w:val="0"/>
          <w:bCs w:val="0"/>
        </w:rPr>
        <w:t>Fig. S1.</w:t>
      </w:r>
    </w:p>
    <w:p w14:paraId="28F45961" w14:textId="707ECC4F" w:rsidR="00470776" w:rsidRDefault="00470776" w:rsidP="00470776">
      <w:r>
        <w:rPr>
          <w:noProof/>
        </w:rPr>
        <w:drawing>
          <wp:inline distT="0" distB="0" distL="0" distR="0" wp14:anchorId="782435DE" wp14:editId="20337B83">
            <wp:extent cx="5867400" cy="3909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l="5256" r="2185" b="31392"/>
                    <a:stretch>
                      <a:fillRect/>
                    </a:stretch>
                  </pic:blipFill>
                  <pic:spPr bwMode="auto">
                    <a:xfrm>
                      <a:off x="0" y="0"/>
                      <a:ext cx="5867400" cy="3909060"/>
                    </a:xfrm>
                    <a:prstGeom prst="rect">
                      <a:avLst/>
                    </a:prstGeom>
                  </pic:spPr>
                </pic:pic>
              </a:graphicData>
            </a:graphic>
          </wp:inline>
        </w:drawing>
      </w:r>
    </w:p>
    <w:p w14:paraId="4115B096" w14:textId="21664B60" w:rsidR="00470776" w:rsidRDefault="00470776" w:rsidP="00470776">
      <w:pPr>
        <w:pStyle w:val="Caption"/>
      </w:pPr>
      <w:bookmarkStart w:id="0" w:name="_Ref201855748"/>
      <w:r>
        <w:t>Fig. S</w:t>
      </w:r>
      <w:r>
        <w:fldChar w:fldCharType="begin"/>
      </w:r>
      <w:r>
        <w:instrText xml:space="preserve"> SEQ Schaubild \* ARABIC </w:instrText>
      </w:r>
      <w:r>
        <w:fldChar w:fldCharType="separate"/>
      </w:r>
      <w:r>
        <w:rPr>
          <w:noProof/>
        </w:rPr>
        <w:t>1</w:t>
      </w:r>
      <w:r>
        <w:fldChar w:fldCharType="end"/>
      </w:r>
      <w:bookmarkEnd w:id="0"/>
      <w:r>
        <w:t>: Development and evaluation of the focused ultrasound (FUS) trappable hydroxyapatite microrobots (</w:t>
      </w:r>
      <w:proofErr w:type="spellStart"/>
      <w:r>
        <w:t>HAp</w:t>
      </w:r>
      <w:proofErr w:type="spellEnd"/>
      <w:r>
        <w:t xml:space="preserve">-MRs) for targeted drug delivery and recanalization via concurrent acoustic actuation and real-time optoacoustic imaging feedback. </w:t>
      </w:r>
      <w:r w:rsidRPr="00470776">
        <w:rPr>
          <w:b w:val="0"/>
          <w:bCs w:val="0"/>
        </w:rPr>
        <w:t xml:space="preserve">Biodegradable </w:t>
      </w:r>
      <w:proofErr w:type="spellStart"/>
      <w:r w:rsidRPr="00470776">
        <w:rPr>
          <w:b w:val="0"/>
          <w:bCs w:val="0"/>
        </w:rPr>
        <w:t>HAp</w:t>
      </w:r>
      <w:proofErr w:type="spellEnd"/>
      <w:r w:rsidRPr="00470776">
        <w:rPr>
          <w:b w:val="0"/>
          <w:bCs w:val="0"/>
        </w:rPr>
        <w:t xml:space="preserve">-MRs (SEM image, top left) were synthesized and characterized for biocompatibility using </w:t>
      </w:r>
      <w:r w:rsidRPr="00470776">
        <w:rPr>
          <w:b w:val="0"/>
          <w:bCs w:val="0"/>
          <w:i/>
        </w:rPr>
        <w:t>in vitro</w:t>
      </w:r>
      <w:r w:rsidRPr="00470776">
        <w:rPr>
          <w:b w:val="0"/>
          <w:bCs w:val="0"/>
        </w:rPr>
        <w:t xml:space="preserve"> cell assays and </w:t>
      </w:r>
      <w:r w:rsidRPr="00470776">
        <w:rPr>
          <w:b w:val="0"/>
          <w:bCs w:val="0"/>
          <w:i/>
        </w:rPr>
        <w:t>in vivo</w:t>
      </w:r>
      <w:r w:rsidRPr="00470776">
        <w:rPr>
          <w:b w:val="0"/>
          <w:bCs w:val="0"/>
        </w:rPr>
        <w:t xml:space="preserve"> systemic toxicity studies. Drug and contrast agent loading protocols for polydopamine (PDA), indocyanine green (ICG), and tissue plasminogen activator (rt-PA) were optimized. Next, a user-controlled acoustic navigation scheme was developed. The multifunctional </w:t>
      </w:r>
      <w:proofErr w:type="spellStart"/>
      <w:r w:rsidRPr="00470776">
        <w:rPr>
          <w:b w:val="0"/>
          <w:bCs w:val="0"/>
        </w:rPr>
        <w:t>HAp</w:t>
      </w:r>
      <w:proofErr w:type="spellEnd"/>
      <w:r w:rsidRPr="00470776">
        <w:rPr>
          <w:b w:val="0"/>
          <w:bCs w:val="0"/>
        </w:rPr>
        <w:t xml:space="preserve">-MRs were subsequently evaluated for hybrid </w:t>
      </w:r>
      <w:proofErr w:type="spellStart"/>
      <w:r w:rsidRPr="00470776">
        <w:rPr>
          <w:b w:val="0"/>
          <w:bCs w:val="0"/>
        </w:rPr>
        <w:t>sonothrombolysis</w:t>
      </w:r>
      <w:proofErr w:type="spellEnd"/>
      <w:r w:rsidRPr="00470776">
        <w:rPr>
          <w:b w:val="0"/>
          <w:bCs w:val="0"/>
        </w:rPr>
        <w:t xml:space="preserve"> and </w:t>
      </w:r>
      <w:proofErr w:type="spellStart"/>
      <w:r w:rsidRPr="00470776">
        <w:rPr>
          <w:b w:val="0"/>
          <w:bCs w:val="0"/>
        </w:rPr>
        <w:t>microrobotic</w:t>
      </w:r>
      <w:proofErr w:type="spellEnd"/>
      <w:r w:rsidRPr="00470776">
        <w:rPr>
          <w:b w:val="0"/>
          <w:bCs w:val="0"/>
        </w:rPr>
        <w:t xml:space="preserve"> drug delivery in a model of rt-PA-resistant thrombotic </w:t>
      </w:r>
      <w:proofErr w:type="spellStart"/>
      <w:r w:rsidRPr="00470776">
        <w:rPr>
          <w:b w:val="0"/>
          <w:bCs w:val="0"/>
        </w:rPr>
        <w:t>lessions</w:t>
      </w:r>
      <w:proofErr w:type="spellEnd"/>
      <w:r w:rsidRPr="00470776">
        <w:rPr>
          <w:b w:val="0"/>
          <w:bCs w:val="0"/>
        </w:rPr>
        <w:t>. Finally, transcranial acoustic trapping was demonstrated through an intact human skull to assess translational potential.</w:t>
      </w:r>
    </w:p>
    <w:p w14:paraId="77822A97" w14:textId="0C4A3B2E" w:rsidR="003B1460" w:rsidRPr="00B36F5D" w:rsidRDefault="003B1460" w:rsidP="00470776">
      <w:pPr>
        <w:pStyle w:val="SMHeading"/>
      </w:pPr>
      <w:r w:rsidRPr="00B36F5D">
        <w:t>Fig. S</w:t>
      </w:r>
      <w:r w:rsidR="00470776" w:rsidRPr="00B36F5D">
        <w:t>2</w:t>
      </w:r>
      <w:r w:rsidRPr="00B36F5D">
        <w:t>.</w:t>
      </w:r>
    </w:p>
    <w:p w14:paraId="57A8DD83" w14:textId="77777777" w:rsidR="003B1460" w:rsidRDefault="003B1460" w:rsidP="003B1460">
      <w:pPr>
        <w:keepNext/>
        <w:jc w:val="center"/>
      </w:pPr>
      <w:r>
        <w:rPr>
          <w:noProof/>
        </w:rPr>
        <w:drawing>
          <wp:inline distT="0" distB="0" distL="0" distR="0" wp14:anchorId="26AC278E" wp14:editId="357632E0">
            <wp:extent cx="5400675" cy="20764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rcRect l="2672" t="4864" r="2508" b="69867"/>
                    <a:stretch>
                      <a:fillRect/>
                    </a:stretch>
                  </pic:blipFill>
                  <pic:spPr bwMode="auto">
                    <a:xfrm>
                      <a:off x="0" y="0"/>
                      <a:ext cx="5400675" cy="2076450"/>
                    </a:xfrm>
                    <a:prstGeom prst="rect">
                      <a:avLst/>
                    </a:prstGeom>
                  </pic:spPr>
                </pic:pic>
              </a:graphicData>
            </a:graphic>
          </wp:inline>
        </w:drawing>
      </w:r>
    </w:p>
    <w:p w14:paraId="0446D1C5" w14:textId="508B85C6" w:rsidR="003B1460" w:rsidRDefault="003B1460" w:rsidP="003B1460">
      <w:pPr>
        <w:pStyle w:val="Caption"/>
      </w:pPr>
      <w:r>
        <w:t>Fig. S</w:t>
      </w:r>
      <w:r w:rsidR="00470776">
        <w:t>2</w:t>
      </w:r>
      <w:r>
        <w:t>: SEM images of hydroxyapatite nanoflower microparticles.</w:t>
      </w:r>
    </w:p>
    <w:p w14:paraId="2BEA2A9D" w14:textId="77777777" w:rsidR="003B1460" w:rsidRDefault="003B1460" w:rsidP="003B1460">
      <w:r>
        <w:br w:type="page"/>
      </w:r>
    </w:p>
    <w:p w14:paraId="51719DC7" w14:textId="1DC7D74A" w:rsidR="003B1460" w:rsidRPr="00470776" w:rsidRDefault="003B1460" w:rsidP="00470776">
      <w:pPr>
        <w:pStyle w:val="Heading1"/>
        <w:rPr>
          <w:b w:val="0"/>
          <w:bCs w:val="0"/>
        </w:rPr>
      </w:pPr>
      <w:r w:rsidRPr="00470776">
        <w:rPr>
          <w:b w:val="0"/>
          <w:bCs w:val="0"/>
        </w:rPr>
        <w:lastRenderedPageBreak/>
        <w:t>Fig. S</w:t>
      </w:r>
      <w:r w:rsidR="00470776" w:rsidRPr="00470776">
        <w:rPr>
          <w:b w:val="0"/>
          <w:bCs w:val="0"/>
        </w:rPr>
        <w:t>3</w:t>
      </w:r>
      <w:r w:rsidRPr="00470776">
        <w:rPr>
          <w:b w:val="0"/>
          <w:bCs w:val="0"/>
        </w:rPr>
        <w:t>.</w:t>
      </w:r>
    </w:p>
    <w:p w14:paraId="0EBEC5D8" w14:textId="59054039" w:rsidR="003B1460" w:rsidRDefault="0099521F" w:rsidP="003B1460">
      <w:r>
        <w:rPr>
          <w:noProof/>
        </w:rPr>
        <w:drawing>
          <wp:inline distT="0" distB="0" distL="0" distR="0" wp14:anchorId="18BF153E" wp14:editId="611B62DB">
            <wp:extent cx="5697220" cy="5577840"/>
            <wp:effectExtent l="0" t="0" r="0" b="3810"/>
            <wp:docPr id="204911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815" b="22407"/>
                    <a:stretch>
                      <a:fillRect/>
                    </a:stretch>
                  </pic:blipFill>
                  <pic:spPr bwMode="auto">
                    <a:xfrm>
                      <a:off x="0" y="0"/>
                      <a:ext cx="5697220" cy="5577840"/>
                    </a:xfrm>
                    <a:prstGeom prst="rect">
                      <a:avLst/>
                    </a:prstGeom>
                    <a:noFill/>
                    <a:ln>
                      <a:noFill/>
                    </a:ln>
                    <a:extLst>
                      <a:ext uri="{53640926-AAD7-44D8-BBD7-CCE9431645EC}">
                        <a14:shadowObscured xmlns:a14="http://schemas.microsoft.com/office/drawing/2010/main"/>
                      </a:ext>
                    </a:extLst>
                  </pic:spPr>
                </pic:pic>
              </a:graphicData>
            </a:graphic>
          </wp:inline>
        </w:drawing>
      </w:r>
    </w:p>
    <w:p w14:paraId="44423E2A" w14:textId="77777777" w:rsidR="007E0965" w:rsidRDefault="007E0965" w:rsidP="003B1460"/>
    <w:p w14:paraId="12FF1C31" w14:textId="5C4488B1" w:rsidR="003B1460" w:rsidRDefault="003B1460" w:rsidP="007E0965">
      <w:pPr>
        <w:pStyle w:val="Caption"/>
      </w:pPr>
      <w:r>
        <w:t>Fig. S</w:t>
      </w:r>
      <w:r w:rsidR="00470776">
        <w:t>3</w:t>
      </w:r>
      <w:r>
        <w:t xml:space="preserve">: </w:t>
      </w:r>
      <w:r w:rsidR="007E0965" w:rsidRPr="00C024AE">
        <w:rPr>
          <w:i/>
        </w:rPr>
        <w:t>In vitro</w:t>
      </w:r>
      <w:r w:rsidR="007E0965" w:rsidRPr="009B2B8F">
        <w:t xml:space="preserve"> cytotoxicity assessed using </w:t>
      </w:r>
      <w:r w:rsidR="007E0965">
        <w:t>48</w:t>
      </w:r>
      <w:r w:rsidR="007E0965" w:rsidRPr="009B2B8F">
        <w:t>h</w:t>
      </w:r>
      <w:r w:rsidR="0099521F">
        <w:t xml:space="preserve"> and 72h</w:t>
      </w:r>
      <w:r w:rsidR="007E0965" w:rsidRPr="009B2B8F">
        <w:t xml:space="preserve"> coincubation of </w:t>
      </w:r>
      <w:proofErr w:type="spellStart"/>
      <w:r w:rsidR="007E0965" w:rsidRPr="009B2B8F">
        <w:t>HAp</w:t>
      </w:r>
      <w:proofErr w:type="spellEnd"/>
      <w:r w:rsidR="007E0965" w:rsidRPr="009B2B8F">
        <w:t>-M</w:t>
      </w:r>
      <w:r w:rsidR="007E0965">
        <w:t>R</w:t>
      </w:r>
      <w:r w:rsidR="007E0965" w:rsidRPr="009B2B8F">
        <w:t xml:space="preserve">s with human fibroblasts (BJ cells) and murine macrophages (J774A1 cells), showing no </w:t>
      </w:r>
      <w:r w:rsidR="007E0965">
        <w:t xml:space="preserve">severe </w:t>
      </w:r>
      <w:r w:rsidR="007E0965" w:rsidRPr="009B2B8F">
        <w:t>toxicity on both cell lines</w:t>
      </w:r>
      <w:r w:rsidR="0099521F">
        <w:t xml:space="preserve"> at various particle concentrations. </w:t>
      </w:r>
    </w:p>
    <w:p w14:paraId="24EE5608" w14:textId="77777777" w:rsidR="00470776" w:rsidRDefault="00470776" w:rsidP="00470776"/>
    <w:p w14:paraId="20C5B46D" w14:textId="77777777" w:rsidR="00470776" w:rsidRDefault="00470776" w:rsidP="00470776"/>
    <w:p w14:paraId="451B1504" w14:textId="77777777" w:rsidR="00470776" w:rsidRDefault="00470776" w:rsidP="00470776"/>
    <w:p w14:paraId="5BA2FDF7" w14:textId="77777777" w:rsidR="00470776" w:rsidRDefault="00470776" w:rsidP="00470776"/>
    <w:p w14:paraId="712DF9E9" w14:textId="77777777" w:rsidR="00470776" w:rsidRDefault="00470776" w:rsidP="00470776"/>
    <w:p w14:paraId="2BE0295C" w14:textId="77777777" w:rsidR="00470776" w:rsidRDefault="00470776" w:rsidP="00470776"/>
    <w:p w14:paraId="6C10D3FD" w14:textId="77777777" w:rsidR="00470776" w:rsidRDefault="00470776" w:rsidP="00470776"/>
    <w:p w14:paraId="3C6001D5" w14:textId="77777777" w:rsidR="00470776" w:rsidRDefault="00470776" w:rsidP="00470776"/>
    <w:p w14:paraId="27022C87" w14:textId="77777777" w:rsidR="00470776" w:rsidRDefault="00470776" w:rsidP="00470776"/>
    <w:p w14:paraId="365880ED" w14:textId="77777777" w:rsidR="00470776" w:rsidRDefault="00470776" w:rsidP="00470776"/>
    <w:p w14:paraId="27FDDADC" w14:textId="1AD56597" w:rsidR="00470776" w:rsidRPr="00470776" w:rsidRDefault="00470776" w:rsidP="00470776">
      <w:pPr>
        <w:pStyle w:val="Heading1"/>
        <w:rPr>
          <w:b w:val="0"/>
          <w:bCs w:val="0"/>
        </w:rPr>
      </w:pPr>
      <w:r w:rsidRPr="00470776">
        <w:rPr>
          <w:b w:val="0"/>
          <w:bCs w:val="0"/>
        </w:rPr>
        <w:lastRenderedPageBreak/>
        <w:t xml:space="preserve">Fig. S4. </w:t>
      </w:r>
    </w:p>
    <w:p w14:paraId="5FE9327B" w14:textId="77777777" w:rsidR="003B1460" w:rsidRDefault="003B1460" w:rsidP="003B1460">
      <w:r>
        <w:rPr>
          <w:noProof/>
        </w:rPr>
        <w:drawing>
          <wp:inline distT="0" distB="0" distL="0" distR="0" wp14:anchorId="02620C97" wp14:editId="7C2FB0AF">
            <wp:extent cx="5233855" cy="7139940"/>
            <wp:effectExtent l="0" t="0" r="5080" b="3810"/>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
                    <pic:cNvPicPr>
                      <a:picLocks noChangeAspect="1" noChangeArrowheads="1"/>
                    </pic:cNvPicPr>
                  </pic:nvPicPr>
                  <pic:blipFill>
                    <a:blip r:embed="rId9"/>
                    <a:srcRect t="2986" b="2531"/>
                    <a:stretch>
                      <a:fillRect/>
                    </a:stretch>
                  </pic:blipFill>
                  <pic:spPr bwMode="auto">
                    <a:xfrm>
                      <a:off x="0" y="0"/>
                      <a:ext cx="5239690" cy="7147900"/>
                    </a:xfrm>
                    <a:prstGeom prst="rect">
                      <a:avLst/>
                    </a:prstGeom>
                  </pic:spPr>
                </pic:pic>
              </a:graphicData>
            </a:graphic>
          </wp:inline>
        </w:drawing>
      </w:r>
    </w:p>
    <w:p w14:paraId="104278BF" w14:textId="55BC7D62" w:rsidR="003B1460" w:rsidRDefault="003B1460" w:rsidP="003B1460">
      <w:pPr>
        <w:pStyle w:val="Caption"/>
        <w:rPr>
          <w:b w:val="0"/>
          <w:bCs w:val="0"/>
        </w:rPr>
      </w:pPr>
      <w:bookmarkStart w:id="1" w:name="_Ref203670151"/>
      <w:r>
        <w:t>Fig. S</w:t>
      </w:r>
      <w:bookmarkEnd w:id="1"/>
      <w:r w:rsidR="00470776">
        <w:t>4</w:t>
      </w:r>
      <w:r>
        <w:t xml:space="preserve">: Hematological parameters used to assess hemocompatibility of hydroxyapatite nanoflower microparticle based microrobots. </w:t>
      </w:r>
      <w:r>
        <w:rPr>
          <w:b w:val="0"/>
          <w:bCs w:val="0"/>
        </w:rPr>
        <w:t xml:space="preserve">Mice (n = 3 per group) were injected with 100 µL of 1, 2.5, or 5 mg/mL </w:t>
      </w:r>
      <w:proofErr w:type="spellStart"/>
      <w:r>
        <w:rPr>
          <w:b w:val="0"/>
          <w:bCs w:val="0"/>
        </w:rPr>
        <w:t>HAp</w:t>
      </w:r>
      <w:proofErr w:type="spellEnd"/>
      <w:r>
        <w:rPr>
          <w:b w:val="0"/>
          <w:bCs w:val="0"/>
        </w:rPr>
        <w:t>-NFs or left untreated (control). Blood samples were analyzed for red and white blood cell counts (RBC, WBC), hemoglobin (HGB), hematocrit (HCT), and other cellular components. No significant abnormalities were observed across groups.</w:t>
      </w:r>
    </w:p>
    <w:p w14:paraId="4F22290C" w14:textId="5183A624" w:rsidR="003B1460" w:rsidRPr="00470776" w:rsidRDefault="003B1460" w:rsidP="00470776">
      <w:pPr>
        <w:pStyle w:val="Heading1"/>
        <w:rPr>
          <w:b w:val="0"/>
          <w:bCs w:val="0"/>
        </w:rPr>
      </w:pPr>
      <w:r>
        <w:br w:type="page"/>
      </w:r>
      <w:r w:rsidRPr="00470776">
        <w:rPr>
          <w:b w:val="0"/>
          <w:bCs w:val="0"/>
        </w:rPr>
        <w:lastRenderedPageBreak/>
        <w:t>Fig. S</w:t>
      </w:r>
      <w:r w:rsidR="00470776" w:rsidRPr="00470776">
        <w:rPr>
          <w:b w:val="0"/>
          <w:bCs w:val="0"/>
        </w:rPr>
        <w:t>5</w:t>
      </w:r>
      <w:r w:rsidRPr="00470776">
        <w:rPr>
          <w:b w:val="0"/>
          <w:bCs w:val="0"/>
        </w:rPr>
        <w:t xml:space="preserve">. </w:t>
      </w:r>
    </w:p>
    <w:p w14:paraId="6C8D8BCC" w14:textId="77777777" w:rsidR="003B1460" w:rsidRDefault="003B1460" w:rsidP="003B1460">
      <w:pPr>
        <w:keepNext/>
      </w:pPr>
      <w:r>
        <w:rPr>
          <w:noProof/>
        </w:rPr>
        <w:drawing>
          <wp:inline distT="0" distB="0" distL="0" distR="0" wp14:anchorId="6ADFA2D2" wp14:editId="20763137">
            <wp:extent cx="5695950" cy="60674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0"/>
                    <a:srcRect t="6491" b="19704"/>
                    <a:stretch>
                      <a:fillRect/>
                    </a:stretch>
                  </pic:blipFill>
                  <pic:spPr bwMode="auto">
                    <a:xfrm>
                      <a:off x="0" y="0"/>
                      <a:ext cx="5695950" cy="6067425"/>
                    </a:xfrm>
                    <a:prstGeom prst="rect">
                      <a:avLst/>
                    </a:prstGeom>
                  </pic:spPr>
                </pic:pic>
              </a:graphicData>
            </a:graphic>
          </wp:inline>
        </w:drawing>
      </w:r>
    </w:p>
    <w:p w14:paraId="0D38F42B" w14:textId="19E978AA" w:rsidR="003B1460" w:rsidRDefault="003B1460" w:rsidP="003B1460">
      <w:pPr>
        <w:pStyle w:val="Caption"/>
      </w:pPr>
      <w:r>
        <w:t>Fi</w:t>
      </w:r>
      <w:r w:rsidR="00470776">
        <w:t>g. S5</w:t>
      </w:r>
      <w:r>
        <w:t xml:space="preserve">: Additional hematological markers after hydroxyapatite nanoflower microparticle based microrobots injection to evaluate hemocompatibility. </w:t>
      </w:r>
      <w:r>
        <w:rPr>
          <w:b w:val="0"/>
          <w:bCs w:val="0"/>
        </w:rPr>
        <w:t xml:space="preserve">Same mouse </w:t>
      </w:r>
      <w:proofErr w:type="gramStart"/>
      <w:r>
        <w:rPr>
          <w:b w:val="0"/>
          <w:bCs w:val="0"/>
        </w:rPr>
        <w:t>cohorts</w:t>
      </w:r>
      <w:proofErr w:type="gramEnd"/>
      <w:r>
        <w:rPr>
          <w:b w:val="0"/>
          <w:bCs w:val="0"/>
        </w:rPr>
        <w:t xml:space="preserve"> as in </w:t>
      </w:r>
      <w:r>
        <w:rPr>
          <w:b w:val="0"/>
          <w:bCs w:val="0"/>
        </w:rPr>
        <w:fldChar w:fldCharType="begin"/>
      </w:r>
      <w:r>
        <w:rPr>
          <w:b w:val="0"/>
          <w:bCs w:val="0"/>
        </w:rPr>
        <w:instrText xml:space="preserve"> REF _Ref203670151 \h </w:instrText>
      </w:r>
      <w:r>
        <w:rPr>
          <w:b w:val="0"/>
          <w:bCs w:val="0"/>
        </w:rPr>
      </w:r>
      <w:r>
        <w:rPr>
          <w:b w:val="0"/>
          <w:bCs w:val="0"/>
        </w:rPr>
        <w:fldChar w:fldCharType="separate"/>
      </w:r>
      <w:r w:rsidR="00470776">
        <w:t>Fig. S</w:t>
      </w:r>
      <w:r w:rsidR="00470776">
        <w:rPr>
          <w:noProof/>
        </w:rPr>
        <w:t>2</w:t>
      </w:r>
      <w:r>
        <w:rPr>
          <w:b w:val="0"/>
          <w:bCs w:val="0"/>
        </w:rPr>
        <w:fldChar w:fldCharType="end"/>
      </w:r>
      <w:r>
        <w:rPr>
          <w:b w:val="0"/>
          <w:bCs w:val="0"/>
        </w:rPr>
        <w:t>. Parameters include Mean Corpuscular Hemoglobin (MCH), Mean Corpuscular Volume (MCV), Mean Corpuscular Hemoglobin Concentration (MCHC), Mean Platelet Volume (MPV), Platelet Distribution Width (PDW), and Red Cell Distribution Width (RDW-CV, RDW-SD). All values remained within physiologically acceptable ranges.</w:t>
      </w:r>
    </w:p>
    <w:p w14:paraId="5CFBCE31" w14:textId="5B9D7B56" w:rsidR="003B1460" w:rsidRDefault="003B1460" w:rsidP="00470776">
      <w:pPr>
        <w:pStyle w:val="SMHeading"/>
      </w:pPr>
      <w:r>
        <w:lastRenderedPageBreak/>
        <w:t>Fig. S</w:t>
      </w:r>
      <w:r w:rsidR="00470776">
        <w:t>6</w:t>
      </w:r>
      <w:r>
        <w:t xml:space="preserve">. </w:t>
      </w:r>
    </w:p>
    <w:p w14:paraId="43220CF6" w14:textId="77777777" w:rsidR="003B1460" w:rsidRDefault="003B1460" w:rsidP="003B1460">
      <w:r>
        <w:rPr>
          <w:noProof/>
        </w:rPr>
        <w:drawing>
          <wp:inline distT="0" distB="0" distL="0" distR="0" wp14:anchorId="714ADAED" wp14:editId="5FBDAF08">
            <wp:extent cx="5694680" cy="4385945"/>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pic:cNvPicPr>
                      <a:picLocks noChangeAspect="1" noChangeArrowheads="1"/>
                    </pic:cNvPicPr>
                  </pic:nvPicPr>
                  <pic:blipFill>
                    <a:blip r:embed="rId11"/>
                    <a:srcRect t="7236" b="39415"/>
                    <a:stretch>
                      <a:fillRect/>
                    </a:stretch>
                  </pic:blipFill>
                  <pic:spPr bwMode="auto">
                    <a:xfrm>
                      <a:off x="0" y="0"/>
                      <a:ext cx="5694680" cy="4385945"/>
                    </a:xfrm>
                    <a:prstGeom prst="rect">
                      <a:avLst/>
                    </a:prstGeom>
                  </pic:spPr>
                </pic:pic>
              </a:graphicData>
            </a:graphic>
          </wp:inline>
        </w:drawing>
      </w:r>
    </w:p>
    <w:p w14:paraId="0C580712" w14:textId="603193FA" w:rsidR="003B1460" w:rsidRDefault="003B1460" w:rsidP="003B1460">
      <w:pPr>
        <w:pStyle w:val="Caption"/>
      </w:pPr>
      <w:r>
        <w:t>Fig. S</w:t>
      </w:r>
      <w:r w:rsidR="00470776">
        <w:t>6</w:t>
      </w:r>
      <w:r>
        <w:t xml:space="preserve">: Serum biochemical analysis following hydroxyapatite nanoflower microparticle based microrobots injection to assess systemic biosafety. </w:t>
      </w:r>
      <w:r>
        <w:rPr>
          <w:b w:val="0"/>
          <w:bCs w:val="0"/>
        </w:rPr>
        <w:t xml:space="preserve">Mice (n = 3 per group) were injected intravenously with 0, 1, 2.5, or 5 mg/mL of </w:t>
      </w:r>
      <w:proofErr w:type="spellStart"/>
      <w:r>
        <w:rPr>
          <w:b w:val="0"/>
          <w:bCs w:val="0"/>
        </w:rPr>
        <w:t>HAp</w:t>
      </w:r>
      <w:proofErr w:type="spellEnd"/>
      <w:r>
        <w:rPr>
          <w:b w:val="0"/>
          <w:bCs w:val="0"/>
        </w:rPr>
        <w:t>-NFs. No toxicologically relevant alterations were detected.</w:t>
      </w:r>
    </w:p>
    <w:p w14:paraId="2813FEE1" w14:textId="3D876C51" w:rsidR="003B1460" w:rsidRDefault="003B1460" w:rsidP="00470776">
      <w:pPr>
        <w:pStyle w:val="SMHeading"/>
      </w:pPr>
      <w:r>
        <w:lastRenderedPageBreak/>
        <w:t>Fig. S</w:t>
      </w:r>
      <w:r w:rsidR="00470776">
        <w:t>7</w:t>
      </w:r>
      <w:r>
        <w:t xml:space="preserve">. </w:t>
      </w:r>
    </w:p>
    <w:p w14:paraId="2225C034" w14:textId="77777777" w:rsidR="003B1460" w:rsidRDefault="003B1460" w:rsidP="003B1460">
      <w:pPr>
        <w:keepNext/>
      </w:pPr>
      <w:r>
        <w:rPr>
          <w:noProof/>
        </w:rPr>
        <w:drawing>
          <wp:inline distT="0" distB="0" distL="0" distR="0" wp14:anchorId="0AF0A658" wp14:editId="4D2A28AD">
            <wp:extent cx="5694680" cy="701802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pic:cNvPicPr>
                      <a:picLocks noChangeAspect="1" noChangeArrowheads="1"/>
                    </pic:cNvPicPr>
                  </pic:nvPicPr>
                  <pic:blipFill>
                    <a:blip r:embed="rId12"/>
                    <a:srcRect t="5701" b="8945"/>
                    <a:stretch>
                      <a:fillRect/>
                    </a:stretch>
                  </pic:blipFill>
                  <pic:spPr bwMode="auto">
                    <a:xfrm>
                      <a:off x="0" y="0"/>
                      <a:ext cx="5694680" cy="7018020"/>
                    </a:xfrm>
                    <a:prstGeom prst="rect">
                      <a:avLst/>
                    </a:prstGeom>
                  </pic:spPr>
                </pic:pic>
              </a:graphicData>
            </a:graphic>
          </wp:inline>
        </w:drawing>
      </w:r>
    </w:p>
    <w:p w14:paraId="1D4B42CA" w14:textId="4313DC45" w:rsidR="003B1460" w:rsidRDefault="003B1460" w:rsidP="003B1460">
      <w:pPr>
        <w:pStyle w:val="Caption"/>
        <w:rPr>
          <w:b w:val="0"/>
          <w:bCs w:val="0"/>
        </w:rPr>
      </w:pPr>
      <w:r>
        <w:t>Fig. S</w:t>
      </w:r>
      <w:r w:rsidR="00470776">
        <w:t>7</w:t>
      </w:r>
      <w:r>
        <w:t xml:space="preserve">: Expanded panel of serum biochemical markers for systemic toxicity assessment. </w:t>
      </w:r>
      <w:r>
        <w:rPr>
          <w:b w:val="0"/>
          <w:bCs w:val="0"/>
        </w:rPr>
        <w:t xml:space="preserve">Same dosing groups as in Fig. S8. Additional functional markers were evaluated to comprehensively assess systemic biocompatibility following hydroxyapatite nanoflower microparticle based microrobots injection. </w:t>
      </w:r>
    </w:p>
    <w:p w14:paraId="6B4E0630" w14:textId="77777777" w:rsidR="003B1460" w:rsidRDefault="003B1460" w:rsidP="003B1460">
      <w:r>
        <w:br w:type="page"/>
      </w:r>
    </w:p>
    <w:p w14:paraId="2B50523B" w14:textId="07DCAAF7" w:rsidR="003B1460" w:rsidRDefault="003B1460" w:rsidP="00470776">
      <w:pPr>
        <w:pStyle w:val="SMHeading"/>
      </w:pPr>
      <w:r>
        <w:lastRenderedPageBreak/>
        <w:t>Fig. S</w:t>
      </w:r>
      <w:r w:rsidR="00470776">
        <w:t>8</w:t>
      </w:r>
      <w:r>
        <w:t>.</w:t>
      </w:r>
    </w:p>
    <w:p w14:paraId="436F5F66" w14:textId="77777777" w:rsidR="003B1460" w:rsidRDefault="003B1460" w:rsidP="003B1460">
      <w:pPr>
        <w:keepNext/>
        <w:jc w:val="center"/>
      </w:pPr>
      <w:r>
        <w:rPr>
          <w:noProof/>
        </w:rPr>
        <w:drawing>
          <wp:inline distT="0" distB="0" distL="0" distR="0" wp14:anchorId="65676337" wp14:editId="4A56242C">
            <wp:extent cx="5400675" cy="56483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3"/>
                    <a:srcRect l="2508" t="4634" r="2672" b="26653"/>
                    <a:stretch>
                      <a:fillRect/>
                    </a:stretch>
                  </pic:blipFill>
                  <pic:spPr bwMode="auto">
                    <a:xfrm>
                      <a:off x="0" y="0"/>
                      <a:ext cx="5400675" cy="5648325"/>
                    </a:xfrm>
                    <a:prstGeom prst="rect">
                      <a:avLst/>
                    </a:prstGeom>
                  </pic:spPr>
                </pic:pic>
              </a:graphicData>
            </a:graphic>
          </wp:inline>
        </w:drawing>
      </w:r>
    </w:p>
    <w:p w14:paraId="22ABAE36" w14:textId="5C581B19" w:rsidR="003B1460" w:rsidRDefault="003B1460" w:rsidP="003B1460">
      <w:pPr>
        <w:pStyle w:val="Caption"/>
        <w:rPr>
          <w:b w:val="0"/>
          <w:bCs w:val="0"/>
        </w:rPr>
      </w:pPr>
      <w:r>
        <w:t>Fig. S</w:t>
      </w:r>
      <w:bookmarkStart w:id="2" w:name="_Hlk205201662"/>
      <w:r w:rsidR="00470776">
        <w:t>8</w:t>
      </w:r>
      <w:r>
        <w:t>: High-resolution transmission electron microscopy (HRTEM) images of hydroxyapatite nanoplates</w:t>
      </w:r>
      <w:bookmarkEnd w:id="2"/>
      <w:r>
        <w:t xml:space="preserve">. </w:t>
      </w:r>
      <w:r>
        <w:rPr>
          <w:b w:val="0"/>
          <w:bCs w:val="0"/>
        </w:rPr>
        <w:t>The images show the highly crystalline morphology of the microparticles.</w:t>
      </w:r>
    </w:p>
    <w:p w14:paraId="2F472582" w14:textId="77777777" w:rsidR="003B1460" w:rsidRDefault="003B1460" w:rsidP="003B1460">
      <w:r>
        <w:br w:type="page"/>
      </w:r>
    </w:p>
    <w:p w14:paraId="5776C88A" w14:textId="47348D65" w:rsidR="003B1460" w:rsidRDefault="003B1460" w:rsidP="00470776">
      <w:pPr>
        <w:pStyle w:val="SMHeading"/>
      </w:pPr>
      <w:r>
        <w:lastRenderedPageBreak/>
        <w:t>Fig. S</w:t>
      </w:r>
      <w:r w:rsidR="00470776">
        <w:t>9</w:t>
      </w:r>
      <w:r>
        <w:t>.</w:t>
      </w:r>
    </w:p>
    <w:p w14:paraId="02F82795" w14:textId="77777777" w:rsidR="003B1460" w:rsidRDefault="003B1460" w:rsidP="003B1460">
      <w:r>
        <w:rPr>
          <w:noProof/>
        </w:rPr>
        <w:drawing>
          <wp:inline distT="0" distB="0" distL="0" distR="0" wp14:anchorId="65B69B1A" wp14:editId="29691C99">
            <wp:extent cx="5695950" cy="50101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4"/>
                    <a:srcRect t="2776" b="36273"/>
                    <a:stretch>
                      <a:fillRect/>
                    </a:stretch>
                  </pic:blipFill>
                  <pic:spPr bwMode="auto">
                    <a:xfrm>
                      <a:off x="0" y="0"/>
                      <a:ext cx="5695950" cy="5010150"/>
                    </a:xfrm>
                    <a:prstGeom prst="rect">
                      <a:avLst/>
                    </a:prstGeom>
                  </pic:spPr>
                </pic:pic>
              </a:graphicData>
            </a:graphic>
          </wp:inline>
        </w:drawing>
      </w:r>
    </w:p>
    <w:p w14:paraId="0513439E" w14:textId="1A9886C0" w:rsidR="003B1460" w:rsidRDefault="003B1460" w:rsidP="003B1460">
      <w:pPr>
        <w:pStyle w:val="Caption"/>
        <w:rPr>
          <w:b w:val="0"/>
          <w:bCs w:val="0"/>
        </w:rPr>
      </w:pPr>
      <w:r>
        <w:t>Fig. S</w:t>
      </w:r>
      <w:r w:rsidR="00470776">
        <w:t>9</w:t>
      </w:r>
      <w:r>
        <w:t xml:space="preserve">: Bright-field and high-angle annular dark-field scanning transmission electron microscopy (BF-STEM and HAADF-STEM) images of hydroxyapatite nanoplates. </w:t>
      </w:r>
      <w:r>
        <w:rPr>
          <w:b w:val="0"/>
          <w:bCs w:val="0"/>
        </w:rPr>
        <w:t xml:space="preserve">Top and bottom left panels show BF-STEM images; top and bottom right panels show HAADF-STEM images. The images reveal the highly crystalline, hierarchical morphology characteristic of </w:t>
      </w:r>
      <w:proofErr w:type="spellStart"/>
      <w:r>
        <w:rPr>
          <w:b w:val="0"/>
          <w:bCs w:val="0"/>
        </w:rPr>
        <w:t>HAp</w:t>
      </w:r>
      <w:proofErr w:type="spellEnd"/>
      <w:r>
        <w:rPr>
          <w:b w:val="0"/>
          <w:bCs w:val="0"/>
        </w:rPr>
        <w:t>-NFs.</w:t>
      </w:r>
    </w:p>
    <w:p w14:paraId="4F15B8A0" w14:textId="77777777" w:rsidR="003B1460" w:rsidRDefault="003B1460" w:rsidP="003B1460">
      <w:r>
        <w:br w:type="page"/>
      </w:r>
    </w:p>
    <w:p w14:paraId="0F58B3C0" w14:textId="6196EEB6" w:rsidR="003B1460" w:rsidRDefault="003B1460" w:rsidP="00470776">
      <w:pPr>
        <w:pStyle w:val="SMHeading"/>
      </w:pPr>
      <w:r>
        <w:lastRenderedPageBreak/>
        <w:t>Fig. S</w:t>
      </w:r>
      <w:r w:rsidR="00470776">
        <w:t>10</w:t>
      </w:r>
      <w:r>
        <w:t>.</w:t>
      </w:r>
    </w:p>
    <w:p w14:paraId="58F48AF0" w14:textId="77777777" w:rsidR="003B1460" w:rsidRDefault="003B1460" w:rsidP="003B1460">
      <w:pPr>
        <w:keepNext/>
        <w:jc w:val="center"/>
      </w:pPr>
      <w:r>
        <w:rPr>
          <w:noProof/>
        </w:rPr>
        <w:drawing>
          <wp:inline distT="0" distB="0" distL="0" distR="0" wp14:anchorId="407ADF7E" wp14:editId="44DCAA4F">
            <wp:extent cx="5414010" cy="7134225"/>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15"/>
                    <a:srcRect t="3126" b="5561"/>
                    <a:stretch>
                      <a:fillRect/>
                    </a:stretch>
                  </pic:blipFill>
                  <pic:spPr bwMode="auto">
                    <a:xfrm>
                      <a:off x="0" y="0"/>
                      <a:ext cx="5414010" cy="7134225"/>
                    </a:xfrm>
                    <a:prstGeom prst="rect">
                      <a:avLst/>
                    </a:prstGeom>
                  </pic:spPr>
                </pic:pic>
              </a:graphicData>
            </a:graphic>
          </wp:inline>
        </w:drawing>
      </w:r>
    </w:p>
    <w:p w14:paraId="38831040" w14:textId="14CCFA76" w:rsidR="003B1460" w:rsidRDefault="003B1460" w:rsidP="003B1460">
      <w:pPr>
        <w:pStyle w:val="Caption"/>
        <w:rPr>
          <w:b w:val="0"/>
          <w:bCs w:val="0"/>
        </w:rPr>
      </w:pPr>
      <w:r>
        <w:t>Fig. S</w:t>
      </w:r>
      <w:r w:rsidR="00470776">
        <w:t>10</w:t>
      </w:r>
      <w:r>
        <w:t xml:space="preserve">: Acoustic pressure profiles for different inter-focal distances in three-foci trapping sequences. </w:t>
      </w:r>
      <w:r>
        <w:rPr>
          <w:b w:val="0"/>
          <w:bCs w:val="0"/>
        </w:rPr>
        <w:t xml:space="preserve">Pressure distributions were measured at 5 </w:t>
      </w:r>
      <w:proofErr w:type="spellStart"/>
      <w:r>
        <w:rPr>
          <w:b w:val="0"/>
          <w:bCs w:val="0"/>
        </w:rPr>
        <w:t>V</w:t>
      </w:r>
      <w:r>
        <w:rPr>
          <w:b w:val="0"/>
          <w:bCs w:val="0"/>
          <w:vertAlign w:val="subscript"/>
        </w:rPr>
        <w:t>pp</w:t>
      </w:r>
      <w:proofErr w:type="spellEnd"/>
      <w:r>
        <w:rPr>
          <w:b w:val="0"/>
          <w:bCs w:val="0"/>
        </w:rPr>
        <w:t xml:space="preserve"> for inter-focal distances of 0.25 mm (A), 0.50 mm (B), 0.75 mm (C), and 1.00 mm (D). Each panel shows the spatial pressure distribution in the </w:t>
      </w:r>
      <w:proofErr w:type="spellStart"/>
      <w:r>
        <w:rPr>
          <w:b w:val="0"/>
          <w:bCs w:val="0"/>
        </w:rPr>
        <w:t>xy</w:t>
      </w:r>
      <w:proofErr w:type="spellEnd"/>
      <w:r>
        <w:rPr>
          <w:b w:val="0"/>
          <w:bCs w:val="0"/>
        </w:rPr>
        <w:t xml:space="preserve">-plane (top) and </w:t>
      </w:r>
      <w:proofErr w:type="spellStart"/>
      <w:r>
        <w:rPr>
          <w:b w:val="0"/>
          <w:bCs w:val="0"/>
        </w:rPr>
        <w:t>xz</w:t>
      </w:r>
      <w:proofErr w:type="spellEnd"/>
      <w:r>
        <w:rPr>
          <w:b w:val="0"/>
          <w:bCs w:val="0"/>
        </w:rPr>
        <w:t xml:space="preserve">-plane (bottom). Color scale indicates relative pressure amplitude. Measurements demonstrate the spatial characteristics of pressure fields as a function of inter-focal distance. </w:t>
      </w:r>
    </w:p>
    <w:p w14:paraId="171332C8" w14:textId="77777777" w:rsidR="003B1460" w:rsidRDefault="003B1460" w:rsidP="003B1460">
      <w:pPr>
        <w:rPr>
          <w:sz w:val="20"/>
        </w:rPr>
      </w:pPr>
      <w:r>
        <w:br w:type="page"/>
      </w:r>
    </w:p>
    <w:p w14:paraId="568FD9BA" w14:textId="112D6BCA" w:rsidR="003B1460" w:rsidRDefault="003B1460" w:rsidP="00470776">
      <w:pPr>
        <w:pStyle w:val="SMHeading"/>
      </w:pPr>
      <w:r>
        <w:lastRenderedPageBreak/>
        <w:t>Fig. S1</w:t>
      </w:r>
      <w:r w:rsidR="00470776">
        <w:t>1</w:t>
      </w:r>
      <w:r>
        <w:t>.</w:t>
      </w:r>
    </w:p>
    <w:p w14:paraId="67A0A1D0" w14:textId="77777777" w:rsidR="003B1460" w:rsidRDefault="003B1460" w:rsidP="003B1460">
      <w:r>
        <w:rPr>
          <w:noProof/>
        </w:rPr>
        <w:drawing>
          <wp:inline distT="0" distB="0" distL="0" distR="0" wp14:anchorId="607E61C1" wp14:editId="6B7906C5">
            <wp:extent cx="5694680" cy="240855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7"/>
                    <pic:cNvPicPr>
                      <a:picLocks noChangeAspect="1" noChangeArrowheads="1"/>
                    </pic:cNvPicPr>
                  </pic:nvPicPr>
                  <pic:blipFill>
                    <a:blip r:embed="rId16"/>
                    <a:srcRect t="7328" b="63379"/>
                    <a:stretch>
                      <a:fillRect/>
                    </a:stretch>
                  </pic:blipFill>
                  <pic:spPr bwMode="auto">
                    <a:xfrm>
                      <a:off x="0" y="0"/>
                      <a:ext cx="5694680" cy="2408555"/>
                    </a:xfrm>
                    <a:prstGeom prst="rect">
                      <a:avLst/>
                    </a:prstGeom>
                  </pic:spPr>
                </pic:pic>
              </a:graphicData>
            </a:graphic>
          </wp:inline>
        </w:drawing>
      </w:r>
    </w:p>
    <w:p w14:paraId="186CA253" w14:textId="45A2EAB1" w:rsidR="003B1460" w:rsidRDefault="003B1460" w:rsidP="003B1460">
      <w:pPr>
        <w:pStyle w:val="Caption"/>
        <w:rPr>
          <w:b w:val="0"/>
          <w:bCs w:val="0"/>
        </w:rPr>
      </w:pPr>
      <w:r>
        <w:t>Fig. S</w:t>
      </w:r>
      <w:r w:rsidR="00470776">
        <w:t>11</w:t>
      </w:r>
      <w:r>
        <w:t xml:space="preserve">: </w:t>
      </w:r>
      <w:r w:rsidR="00B36F5D">
        <w:t>Thrombotic lesion</w:t>
      </w:r>
      <w:r>
        <w:t xml:space="preserve"> induction using the ferric chloride model. </w:t>
      </w:r>
      <w:r>
        <w:rPr>
          <w:b w:val="0"/>
          <w:bCs w:val="0"/>
        </w:rPr>
        <w:t>After drilling a 3 × 3 mm cranial window, a glass pipette was positioned above the target cortical vessel (left). A droplet of ferric chloride solution was applied, inducing localized thrombus formation visible in the right panel.</w:t>
      </w:r>
    </w:p>
    <w:p w14:paraId="1A9C0400" w14:textId="77777777" w:rsidR="003B1460" w:rsidRDefault="003B1460" w:rsidP="003B1460">
      <w:r>
        <w:br w:type="page"/>
      </w:r>
    </w:p>
    <w:p w14:paraId="37A6CFCD" w14:textId="2C3D26F9" w:rsidR="001C4551" w:rsidRDefault="003B1460" w:rsidP="001C4551">
      <w:pPr>
        <w:keepNext/>
      </w:pPr>
      <w:r w:rsidRPr="00815DA7">
        <w:rPr>
          <w:rStyle w:val="Heading1Char"/>
        </w:rPr>
        <w:lastRenderedPageBreak/>
        <w:t>Fig. S1</w:t>
      </w:r>
      <w:r w:rsidR="00815DA7" w:rsidRPr="00815DA7">
        <w:rPr>
          <w:rStyle w:val="Heading1Char"/>
        </w:rPr>
        <w:t>2</w:t>
      </w:r>
      <w:r w:rsidRPr="00815DA7">
        <w:rPr>
          <w:rStyle w:val="Heading1Char"/>
        </w:rPr>
        <w:t>.</w:t>
      </w:r>
      <w:r w:rsidR="001C4551" w:rsidRPr="001C4551">
        <w:rPr>
          <w:noProof/>
        </w:rPr>
        <w:t xml:space="preserve"> </w:t>
      </w:r>
      <w:r w:rsidR="001C4551">
        <w:rPr>
          <w:noProof/>
        </w:rPr>
        <w:drawing>
          <wp:inline distT="0" distB="0" distL="0" distR="0" wp14:anchorId="49C72DE8" wp14:editId="793902BB">
            <wp:extent cx="5687695" cy="2804160"/>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9"/>
                    <pic:cNvPicPr>
                      <a:picLocks noChangeAspect="1" noChangeArrowheads="1"/>
                    </pic:cNvPicPr>
                  </pic:nvPicPr>
                  <pic:blipFill>
                    <a:blip r:embed="rId17"/>
                    <a:srcRect t="35514" b="30370"/>
                    <a:stretch>
                      <a:fillRect/>
                    </a:stretch>
                  </pic:blipFill>
                  <pic:spPr bwMode="auto">
                    <a:xfrm>
                      <a:off x="0" y="0"/>
                      <a:ext cx="5687695" cy="2804160"/>
                    </a:xfrm>
                    <a:prstGeom prst="rect">
                      <a:avLst/>
                    </a:prstGeom>
                  </pic:spPr>
                </pic:pic>
              </a:graphicData>
            </a:graphic>
          </wp:inline>
        </w:drawing>
      </w:r>
    </w:p>
    <w:p w14:paraId="157EC9F6" w14:textId="3B629F2B" w:rsidR="001C4551" w:rsidRDefault="001C4551" w:rsidP="001C4551">
      <w:pPr>
        <w:pStyle w:val="Caption"/>
        <w:jc w:val="both"/>
        <w:rPr>
          <w:b w:val="0"/>
          <w:bCs w:val="0"/>
        </w:rPr>
      </w:pPr>
      <w:r>
        <w:t>Fig. S</w:t>
      </w:r>
      <w:r w:rsidR="00470776">
        <w:t>1</w:t>
      </w:r>
      <w:r w:rsidR="00815DA7">
        <w:t>2</w:t>
      </w:r>
      <w:r>
        <w:t xml:space="preserve">: Treatment summary for Mouse ID 5 (focused ultrasound (FUS) and </w:t>
      </w:r>
      <w:r w:rsidR="0065288F">
        <w:t xml:space="preserve">recombinant </w:t>
      </w:r>
      <w:r>
        <w:t>tissue plasminogen activator (</w:t>
      </w:r>
      <w:r w:rsidR="0065288F">
        <w:t>r</w:t>
      </w:r>
      <w:r>
        <w:t>t</w:t>
      </w:r>
      <w:r w:rsidR="0065288F">
        <w:t>-</w:t>
      </w:r>
      <w:r>
        <w:t>PA)-coated hydroxyapatite nanoflower microparticle based microrobots (</w:t>
      </w:r>
      <w:proofErr w:type="spellStart"/>
      <w:r>
        <w:t>HAp</w:t>
      </w:r>
      <w:proofErr w:type="spellEnd"/>
      <w:r>
        <w:t xml:space="preserve">-MRs)).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69689921" w14:textId="3C1697B7" w:rsidR="003B1460" w:rsidRDefault="003B1460" w:rsidP="00470776">
      <w:pPr>
        <w:pStyle w:val="SMHeading"/>
      </w:pPr>
      <w:r>
        <w:br w:type="page"/>
      </w:r>
    </w:p>
    <w:p w14:paraId="6CC7683E" w14:textId="3301E87C" w:rsidR="003B1460" w:rsidRDefault="003B1460" w:rsidP="00470776">
      <w:pPr>
        <w:pStyle w:val="SMHeading"/>
      </w:pPr>
      <w:r>
        <w:lastRenderedPageBreak/>
        <w:t>Fig. S1</w:t>
      </w:r>
      <w:r w:rsidR="00815DA7">
        <w:t>3</w:t>
      </w:r>
      <w:r>
        <w:t xml:space="preserve">. </w:t>
      </w:r>
    </w:p>
    <w:p w14:paraId="38F709E3" w14:textId="77777777" w:rsidR="003B1460" w:rsidRDefault="003B1460" w:rsidP="003B1460">
      <w:pPr>
        <w:keepNext/>
      </w:pPr>
      <w:r>
        <w:rPr>
          <w:noProof/>
        </w:rPr>
        <w:drawing>
          <wp:inline distT="0" distB="0" distL="0" distR="0" wp14:anchorId="012BC495" wp14:editId="0721359D">
            <wp:extent cx="5687695" cy="280416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pic:cNvPicPr>
                      <a:picLocks noChangeAspect="1" noChangeArrowheads="1"/>
                    </pic:cNvPicPr>
                  </pic:nvPicPr>
                  <pic:blipFill>
                    <a:blip r:embed="rId18"/>
                    <a:srcRect t="35514" b="30370"/>
                    <a:stretch>
                      <a:fillRect/>
                    </a:stretch>
                  </pic:blipFill>
                  <pic:spPr bwMode="auto">
                    <a:xfrm>
                      <a:off x="0" y="0"/>
                      <a:ext cx="5687695" cy="2804160"/>
                    </a:xfrm>
                    <a:prstGeom prst="rect">
                      <a:avLst/>
                    </a:prstGeom>
                  </pic:spPr>
                </pic:pic>
              </a:graphicData>
            </a:graphic>
          </wp:inline>
        </w:drawing>
      </w:r>
    </w:p>
    <w:p w14:paraId="78430A93" w14:textId="42F12422" w:rsidR="003B1460" w:rsidRDefault="003B1460" w:rsidP="003B1460">
      <w:pPr>
        <w:pStyle w:val="Caption"/>
        <w:jc w:val="both"/>
      </w:pPr>
      <w:r>
        <w:t>Fig. S</w:t>
      </w:r>
      <w:r w:rsidR="00470776">
        <w:t>1</w:t>
      </w:r>
      <w:r w:rsidR="00815DA7">
        <w:t>3</w:t>
      </w:r>
      <w:r>
        <w:t xml:space="preserve">: Treatment summary for Mouse ID 6 (focused ultrasound (FUS) and </w:t>
      </w:r>
      <w:r w:rsidR="0065288F">
        <w:t>recombinant tissue plasminogen activator (rt-PA)</w:t>
      </w:r>
      <w:r>
        <w:t>-coated hydroxyapatite nanoflower microparticle based microrobots (</w:t>
      </w:r>
      <w:proofErr w:type="spellStart"/>
      <w:r>
        <w:t>HAp</w:t>
      </w:r>
      <w:proofErr w:type="spellEnd"/>
      <w:r>
        <w:t xml:space="preserve">-MRs)).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3EF9A3B0" w14:textId="77777777" w:rsidR="003B1460" w:rsidRDefault="003B1460" w:rsidP="003B1460">
      <w:pPr>
        <w:pStyle w:val="Caption"/>
      </w:pPr>
    </w:p>
    <w:p w14:paraId="0A095B33" w14:textId="77777777" w:rsidR="003B1460" w:rsidRDefault="003B1460" w:rsidP="003B1460">
      <w:r>
        <w:br w:type="page"/>
      </w:r>
    </w:p>
    <w:p w14:paraId="23FC7936" w14:textId="6534BED8" w:rsidR="003B1460" w:rsidRDefault="003B1460" w:rsidP="00470776">
      <w:pPr>
        <w:pStyle w:val="SMHeading"/>
      </w:pPr>
      <w:r>
        <w:lastRenderedPageBreak/>
        <w:t>Fig. S1</w:t>
      </w:r>
      <w:r w:rsidR="00815DA7">
        <w:t>4</w:t>
      </w:r>
      <w:r>
        <w:t>.</w:t>
      </w:r>
    </w:p>
    <w:p w14:paraId="27C2E39C" w14:textId="77777777" w:rsidR="003B1460" w:rsidRDefault="003B1460" w:rsidP="003B1460">
      <w:pPr>
        <w:keepNext/>
      </w:pPr>
      <w:r>
        <w:rPr>
          <w:noProof/>
        </w:rPr>
        <w:drawing>
          <wp:inline distT="0" distB="0" distL="0" distR="0" wp14:anchorId="20128554" wp14:editId="0191BCD3">
            <wp:extent cx="5687695" cy="279654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a:blip r:embed="rId19"/>
                    <a:srcRect t="35498" b="30478"/>
                    <a:stretch>
                      <a:fillRect/>
                    </a:stretch>
                  </pic:blipFill>
                  <pic:spPr bwMode="auto">
                    <a:xfrm>
                      <a:off x="0" y="0"/>
                      <a:ext cx="5687695" cy="2796540"/>
                    </a:xfrm>
                    <a:prstGeom prst="rect">
                      <a:avLst/>
                    </a:prstGeom>
                  </pic:spPr>
                </pic:pic>
              </a:graphicData>
            </a:graphic>
          </wp:inline>
        </w:drawing>
      </w:r>
    </w:p>
    <w:p w14:paraId="7AA2AD16" w14:textId="0C37FC72" w:rsidR="003B1460" w:rsidRDefault="003B1460" w:rsidP="003B1460">
      <w:pPr>
        <w:pStyle w:val="Caption"/>
      </w:pPr>
      <w:r>
        <w:t>Fig. S</w:t>
      </w:r>
      <w:r w:rsidR="00470776">
        <w:t>1</w:t>
      </w:r>
      <w:r w:rsidR="00815DA7">
        <w:t>4</w:t>
      </w:r>
      <w:r>
        <w:t xml:space="preserve">: Treatment summary for Mouse ID 7 (focused ultrasound (FUS) and </w:t>
      </w:r>
      <w:r w:rsidR="0065288F">
        <w:t>recombinant tissue plasminogen activator (rt-PA)</w:t>
      </w:r>
      <w:r>
        <w:t>-coated hydroxyapatite nanoflower microparticle based microrobots (</w:t>
      </w:r>
      <w:proofErr w:type="spellStart"/>
      <w:r>
        <w:t>HAp</w:t>
      </w:r>
      <w:proofErr w:type="spellEnd"/>
      <w:r>
        <w:t xml:space="preserve">-MRs)).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4DD727E4" w14:textId="77777777" w:rsidR="003B1460" w:rsidRDefault="003B1460" w:rsidP="003B1460">
      <w:r>
        <w:br w:type="page"/>
      </w:r>
    </w:p>
    <w:p w14:paraId="52223C41" w14:textId="47D294E4" w:rsidR="003B1460" w:rsidRDefault="003B1460" w:rsidP="00470776">
      <w:pPr>
        <w:pStyle w:val="SMHeading"/>
      </w:pPr>
      <w:r>
        <w:lastRenderedPageBreak/>
        <w:t>Fig. S1</w:t>
      </w:r>
      <w:r w:rsidR="00815DA7">
        <w:t>5</w:t>
      </w:r>
      <w:r>
        <w:t xml:space="preserve">. </w:t>
      </w:r>
    </w:p>
    <w:p w14:paraId="066E6F12" w14:textId="77777777" w:rsidR="003B1460" w:rsidRDefault="003B1460" w:rsidP="003B1460">
      <w:r>
        <w:rPr>
          <w:noProof/>
        </w:rPr>
        <w:drawing>
          <wp:inline distT="0" distB="0" distL="0" distR="0" wp14:anchorId="4F05A98E" wp14:editId="274685F1">
            <wp:extent cx="5687060" cy="276415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20"/>
                    <a:srcRect t="35686" b="30693"/>
                    <a:stretch>
                      <a:fillRect/>
                    </a:stretch>
                  </pic:blipFill>
                  <pic:spPr bwMode="auto">
                    <a:xfrm>
                      <a:off x="0" y="0"/>
                      <a:ext cx="5687060" cy="2764155"/>
                    </a:xfrm>
                    <a:prstGeom prst="rect">
                      <a:avLst/>
                    </a:prstGeom>
                  </pic:spPr>
                </pic:pic>
              </a:graphicData>
            </a:graphic>
          </wp:inline>
        </w:drawing>
      </w:r>
    </w:p>
    <w:p w14:paraId="55A7B6C4" w14:textId="53B9C917" w:rsidR="003B1460" w:rsidRDefault="003B1460" w:rsidP="003B1460">
      <w:pPr>
        <w:pStyle w:val="Caption"/>
        <w:jc w:val="both"/>
      </w:pPr>
      <w:r>
        <w:t>Fig. S</w:t>
      </w:r>
      <w:r w:rsidR="00470776">
        <w:t>1</w:t>
      </w:r>
      <w:r w:rsidR="00815DA7">
        <w:t>5</w:t>
      </w:r>
      <w:r>
        <w:t xml:space="preserve">: Treatment summary for Mouse ID 8 (focused ultrasound (FUS) and </w:t>
      </w:r>
      <w:r w:rsidR="0065288F">
        <w:t>recombinant tissue plasminogen activator (rt-PA)</w:t>
      </w:r>
      <w:r>
        <w:t>-coated hydroxyapatite nanoflower microparticle based microrobots (</w:t>
      </w:r>
      <w:proofErr w:type="spellStart"/>
      <w:r>
        <w:t>HAp</w:t>
      </w:r>
      <w:proofErr w:type="spellEnd"/>
      <w:r>
        <w:t xml:space="preserve">-MRs)).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r w:rsidR="00470776">
        <w:rPr>
          <w:b w:val="0"/>
          <w:bCs w:val="0"/>
        </w:rPr>
        <w:t xml:space="preserve"> This mouse showed hemorrhage after the second </w:t>
      </w:r>
      <w:proofErr w:type="gramStart"/>
      <w:r w:rsidR="00470776">
        <w:rPr>
          <w:b w:val="0"/>
          <w:bCs w:val="0"/>
        </w:rPr>
        <w:t>treatment</w:t>
      </w:r>
      <w:proofErr w:type="gramEnd"/>
      <w:r w:rsidR="00470776">
        <w:rPr>
          <w:b w:val="0"/>
          <w:bCs w:val="0"/>
        </w:rPr>
        <w:t xml:space="preserve"> likely due to a sudden change in blood pressure within the vessel after recanalization </w:t>
      </w:r>
    </w:p>
    <w:p w14:paraId="1E1B6402" w14:textId="77777777" w:rsidR="003B1460" w:rsidRDefault="003B1460" w:rsidP="003B1460">
      <w:pPr>
        <w:pStyle w:val="Caption"/>
      </w:pPr>
    </w:p>
    <w:p w14:paraId="1BD85C4C" w14:textId="77777777" w:rsidR="003B1460" w:rsidRDefault="003B1460" w:rsidP="003B1460"/>
    <w:p w14:paraId="56599298" w14:textId="77777777" w:rsidR="003B1460" w:rsidRDefault="003B1460" w:rsidP="003B1460">
      <w:r>
        <w:br w:type="page"/>
      </w:r>
    </w:p>
    <w:p w14:paraId="4559B9E5" w14:textId="66CA273C" w:rsidR="003B1460" w:rsidRDefault="003B1460" w:rsidP="00470776">
      <w:pPr>
        <w:pStyle w:val="SMHeading"/>
      </w:pPr>
      <w:r>
        <w:lastRenderedPageBreak/>
        <w:t>Fig. S1</w:t>
      </w:r>
      <w:r w:rsidR="00815DA7">
        <w:t>6</w:t>
      </w:r>
      <w:r>
        <w:t xml:space="preserve">. </w:t>
      </w:r>
    </w:p>
    <w:p w14:paraId="453970C6" w14:textId="77777777" w:rsidR="001C4551" w:rsidRDefault="001C4551" w:rsidP="001C4551"/>
    <w:p w14:paraId="105A59A1" w14:textId="77777777" w:rsidR="001C4551" w:rsidRDefault="001C4551" w:rsidP="001A4B3A">
      <w:r>
        <w:rPr>
          <w:noProof/>
        </w:rPr>
        <w:drawing>
          <wp:inline distT="0" distB="0" distL="0" distR="0" wp14:anchorId="637A7B84" wp14:editId="6CE17129">
            <wp:extent cx="5687695" cy="2776855"/>
            <wp:effectExtent l="0" t="0" r="0" b="0"/>
            <wp:docPr id="15149366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pic:cNvPicPr>
                      <a:picLocks noChangeAspect="1" noChangeArrowheads="1"/>
                    </pic:cNvPicPr>
                  </pic:nvPicPr>
                  <pic:blipFill>
                    <a:blip r:embed="rId21"/>
                    <a:srcRect t="35637" b="30585"/>
                    <a:stretch>
                      <a:fillRect/>
                    </a:stretch>
                  </pic:blipFill>
                  <pic:spPr bwMode="auto">
                    <a:xfrm>
                      <a:off x="0" y="0"/>
                      <a:ext cx="5687695" cy="2776855"/>
                    </a:xfrm>
                    <a:prstGeom prst="rect">
                      <a:avLst/>
                    </a:prstGeom>
                  </pic:spPr>
                </pic:pic>
              </a:graphicData>
            </a:graphic>
          </wp:inline>
        </w:drawing>
      </w:r>
    </w:p>
    <w:p w14:paraId="752D3C98" w14:textId="3BADB8C1" w:rsidR="001C4551" w:rsidRDefault="001C4551" w:rsidP="001C4551">
      <w:pPr>
        <w:pStyle w:val="Caption"/>
        <w:jc w:val="both"/>
        <w:rPr>
          <w:b w:val="0"/>
          <w:bCs w:val="0"/>
        </w:rPr>
      </w:pPr>
      <w:r>
        <w:t>Fig. S</w:t>
      </w:r>
      <w:r w:rsidR="00470776">
        <w:t>1</w:t>
      </w:r>
      <w:r w:rsidR="00815DA7">
        <w:t>6</w:t>
      </w:r>
      <w:r>
        <w:t xml:space="preserve">: Treatment summary for Mouse ID 9 (focused ultrasound (FUS) and </w:t>
      </w:r>
      <w:r w:rsidR="0065288F">
        <w:t>recombinant tissue plasminogen activator (rt-PA)</w:t>
      </w:r>
      <w:r>
        <w:t>-coated hydroxyapatite nanoflower microparticle based microrobots (</w:t>
      </w:r>
      <w:proofErr w:type="spellStart"/>
      <w:r>
        <w:t>HAp</w:t>
      </w:r>
      <w:proofErr w:type="spellEnd"/>
      <w:r>
        <w:t xml:space="preserve">-MRs)). </w:t>
      </w:r>
      <w:r w:rsidR="00E57F80">
        <w:rPr>
          <w:b w:val="0"/>
          <w:bCs w:val="0"/>
        </w:rPr>
        <w:t xml:space="preserve">In this mouse we had bleedings coming in from the side of the craniotomy window required for stroke induction. It is not caused by the FUS treatment but occurred during surgery.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 </w:t>
      </w:r>
    </w:p>
    <w:p w14:paraId="1AECFAB3" w14:textId="77777777" w:rsidR="001C4551" w:rsidRPr="001C4551" w:rsidRDefault="001C4551" w:rsidP="001C4551"/>
    <w:p w14:paraId="7CF4530A" w14:textId="77777777" w:rsidR="003B1460" w:rsidRDefault="003B1460" w:rsidP="003B1460">
      <w:r>
        <w:br w:type="page"/>
      </w:r>
    </w:p>
    <w:p w14:paraId="44229201" w14:textId="511706DE" w:rsidR="003B1460" w:rsidRDefault="003B1460" w:rsidP="00470776">
      <w:pPr>
        <w:pStyle w:val="SMHeading"/>
      </w:pPr>
      <w:r>
        <w:lastRenderedPageBreak/>
        <w:t>Fig. S1</w:t>
      </w:r>
      <w:r w:rsidR="00815DA7">
        <w:t>7</w:t>
      </w:r>
      <w:r>
        <w:t>.</w:t>
      </w:r>
    </w:p>
    <w:p w14:paraId="7D481570" w14:textId="77777777" w:rsidR="003B1460" w:rsidRDefault="003B1460" w:rsidP="003B1460">
      <w:pPr>
        <w:keepNext/>
      </w:pPr>
      <w:r>
        <w:rPr>
          <w:noProof/>
        </w:rPr>
        <w:drawing>
          <wp:inline distT="0" distB="0" distL="0" distR="0" wp14:anchorId="653278A0" wp14:editId="5C4A87E9">
            <wp:extent cx="5687695" cy="277495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pic:cNvPicPr>
                      <a:picLocks noChangeAspect="1" noChangeArrowheads="1"/>
                    </pic:cNvPicPr>
                  </pic:nvPicPr>
                  <pic:blipFill>
                    <a:blip r:embed="rId22"/>
                    <a:srcRect t="35554" b="30686"/>
                    <a:stretch>
                      <a:fillRect/>
                    </a:stretch>
                  </pic:blipFill>
                  <pic:spPr bwMode="auto">
                    <a:xfrm>
                      <a:off x="0" y="0"/>
                      <a:ext cx="5687695" cy="2774950"/>
                    </a:xfrm>
                    <a:prstGeom prst="rect">
                      <a:avLst/>
                    </a:prstGeom>
                  </pic:spPr>
                </pic:pic>
              </a:graphicData>
            </a:graphic>
          </wp:inline>
        </w:drawing>
      </w:r>
    </w:p>
    <w:p w14:paraId="516B6B2A" w14:textId="7723F119" w:rsidR="003B1460" w:rsidRDefault="003B1460" w:rsidP="003B1460">
      <w:pPr>
        <w:pStyle w:val="Caption"/>
        <w:jc w:val="both"/>
        <w:rPr>
          <w:b w:val="0"/>
          <w:bCs w:val="0"/>
        </w:rPr>
      </w:pPr>
      <w:r>
        <w:t>Fig. S</w:t>
      </w:r>
      <w:r w:rsidR="00470776">
        <w:t>1</w:t>
      </w:r>
      <w:r w:rsidR="00815DA7">
        <w:t>7</w:t>
      </w:r>
      <w:r>
        <w:t xml:space="preserve">: Treatment summary for Mouse ID </w:t>
      </w:r>
      <w:r w:rsidR="001C4551">
        <w:t>10</w:t>
      </w:r>
      <w:r>
        <w:t xml:space="preserve"> (focused ultrasound (FUS) only).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20FAFF4E" w14:textId="77777777" w:rsidR="003B1460" w:rsidRDefault="003B1460" w:rsidP="003B1460">
      <w:pPr>
        <w:pStyle w:val="Caption"/>
        <w:jc w:val="both"/>
      </w:pPr>
      <w:r>
        <w:rPr>
          <w:b w:val="0"/>
          <w:bCs w:val="0"/>
        </w:rPr>
        <w:t>.</w:t>
      </w:r>
      <w:r>
        <w:br w:type="page"/>
      </w:r>
    </w:p>
    <w:p w14:paraId="58210D08" w14:textId="4DA6F58B" w:rsidR="003B1460" w:rsidRDefault="003B1460" w:rsidP="00470776">
      <w:pPr>
        <w:pStyle w:val="SMHeading"/>
      </w:pPr>
      <w:r>
        <w:lastRenderedPageBreak/>
        <w:t>Fig. S1</w:t>
      </w:r>
      <w:r w:rsidR="00815DA7">
        <w:t>8</w:t>
      </w:r>
      <w:r>
        <w:t>.</w:t>
      </w:r>
    </w:p>
    <w:p w14:paraId="06FDC081" w14:textId="77777777" w:rsidR="003B1460" w:rsidRDefault="003B1460" w:rsidP="003B1460">
      <w:pPr>
        <w:keepNext/>
      </w:pPr>
      <w:r>
        <w:rPr>
          <w:noProof/>
        </w:rPr>
        <w:drawing>
          <wp:inline distT="0" distB="0" distL="0" distR="0" wp14:anchorId="324CE42A" wp14:editId="4AD9F606">
            <wp:extent cx="5687695" cy="2747010"/>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
                    <pic:cNvPicPr>
                      <a:picLocks noChangeAspect="1" noChangeArrowheads="1"/>
                    </pic:cNvPicPr>
                  </pic:nvPicPr>
                  <pic:blipFill>
                    <a:blip r:embed="rId23"/>
                    <a:srcRect t="35567" b="31010"/>
                    <a:stretch>
                      <a:fillRect/>
                    </a:stretch>
                  </pic:blipFill>
                  <pic:spPr bwMode="auto">
                    <a:xfrm>
                      <a:off x="0" y="0"/>
                      <a:ext cx="5687695" cy="2747010"/>
                    </a:xfrm>
                    <a:prstGeom prst="rect">
                      <a:avLst/>
                    </a:prstGeom>
                  </pic:spPr>
                </pic:pic>
              </a:graphicData>
            </a:graphic>
          </wp:inline>
        </w:drawing>
      </w:r>
    </w:p>
    <w:p w14:paraId="4FCECB1C" w14:textId="7F09C66A" w:rsidR="003B1460" w:rsidRDefault="003B1460" w:rsidP="003B1460">
      <w:pPr>
        <w:pStyle w:val="Caption"/>
        <w:jc w:val="both"/>
      </w:pPr>
      <w:r>
        <w:t>Fig. S</w:t>
      </w:r>
      <w:r w:rsidR="00470776">
        <w:t>1</w:t>
      </w:r>
      <w:r w:rsidR="00815DA7">
        <w:t>8</w:t>
      </w:r>
      <w:r>
        <w:t xml:space="preserve">: Treatment summary for Mouse ID 13 (focused ultrasound (FUS) only).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4B52DE7E" w14:textId="77777777" w:rsidR="003B1460" w:rsidRDefault="003B1460" w:rsidP="003B1460">
      <w:r>
        <w:br w:type="page"/>
      </w:r>
    </w:p>
    <w:p w14:paraId="452E6223" w14:textId="6F00FCCB" w:rsidR="003B1460" w:rsidRDefault="003B1460" w:rsidP="00470776">
      <w:pPr>
        <w:pStyle w:val="SMHeading"/>
      </w:pPr>
      <w:r>
        <w:lastRenderedPageBreak/>
        <w:t>Fig. S1</w:t>
      </w:r>
      <w:r w:rsidR="00815DA7">
        <w:t>9</w:t>
      </w:r>
      <w:r>
        <w:t xml:space="preserve">. </w:t>
      </w:r>
    </w:p>
    <w:p w14:paraId="1F77B4CE" w14:textId="77777777" w:rsidR="003B1460" w:rsidRDefault="003B1460" w:rsidP="003B1460">
      <w:pPr>
        <w:keepNext/>
      </w:pPr>
      <w:r>
        <w:rPr>
          <w:noProof/>
        </w:rPr>
        <w:drawing>
          <wp:inline distT="0" distB="0" distL="0" distR="0" wp14:anchorId="26C02B0F" wp14:editId="3540A0FD">
            <wp:extent cx="5687060" cy="280797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2"/>
                    <pic:cNvPicPr>
                      <a:picLocks noChangeAspect="1" noChangeArrowheads="1"/>
                    </pic:cNvPicPr>
                  </pic:nvPicPr>
                  <pic:blipFill>
                    <a:blip r:embed="rId24"/>
                    <a:srcRect t="35686" b="30164"/>
                    <a:stretch>
                      <a:fillRect/>
                    </a:stretch>
                  </pic:blipFill>
                  <pic:spPr bwMode="auto">
                    <a:xfrm>
                      <a:off x="0" y="0"/>
                      <a:ext cx="5687060" cy="2807970"/>
                    </a:xfrm>
                    <a:prstGeom prst="rect">
                      <a:avLst/>
                    </a:prstGeom>
                  </pic:spPr>
                </pic:pic>
              </a:graphicData>
            </a:graphic>
          </wp:inline>
        </w:drawing>
      </w:r>
    </w:p>
    <w:p w14:paraId="4E5FFF61" w14:textId="50D9208A" w:rsidR="003B1460" w:rsidRDefault="003B1460" w:rsidP="003B1460">
      <w:pPr>
        <w:pStyle w:val="Caption"/>
      </w:pPr>
      <w:r>
        <w:t>Fig. S</w:t>
      </w:r>
      <w:r w:rsidR="00470776">
        <w:t>1</w:t>
      </w:r>
      <w:r w:rsidR="00815DA7">
        <w:t>9</w:t>
      </w:r>
      <w:r>
        <w:t xml:space="preserve">: Treatment summary for Mouse ID 14 (focused ultrasound (FUS) only).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53D4FD16" w14:textId="77777777" w:rsidR="003B1460" w:rsidRDefault="003B1460" w:rsidP="003B1460">
      <w:r>
        <w:br w:type="page"/>
      </w:r>
    </w:p>
    <w:p w14:paraId="2CFE0E75" w14:textId="71F08F89" w:rsidR="003B1460" w:rsidRDefault="003B1460" w:rsidP="00470776">
      <w:pPr>
        <w:pStyle w:val="SMHeading"/>
      </w:pPr>
      <w:r>
        <w:lastRenderedPageBreak/>
        <w:t>Fig. S</w:t>
      </w:r>
      <w:r w:rsidR="00815DA7">
        <w:t>20</w:t>
      </w:r>
      <w:r>
        <w:t xml:space="preserve">. </w:t>
      </w:r>
    </w:p>
    <w:p w14:paraId="297D73B3" w14:textId="77777777" w:rsidR="003B1460" w:rsidRDefault="003B1460" w:rsidP="003B1460">
      <w:r>
        <w:rPr>
          <w:noProof/>
        </w:rPr>
        <w:drawing>
          <wp:inline distT="0" distB="0" distL="0" distR="0" wp14:anchorId="0B6CC8C7" wp14:editId="675F3CFA">
            <wp:extent cx="5687060" cy="278638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
                    <pic:cNvPicPr>
                      <a:picLocks noChangeAspect="1" noChangeArrowheads="1"/>
                    </pic:cNvPicPr>
                  </pic:nvPicPr>
                  <pic:blipFill>
                    <a:blip r:embed="rId25"/>
                    <a:srcRect t="35514" b="30585"/>
                    <a:stretch>
                      <a:fillRect/>
                    </a:stretch>
                  </pic:blipFill>
                  <pic:spPr bwMode="auto">
                    <a:xfrm>
                      <a:off x="0" y="0"/>
                      <a:ext cx="5687060" cy="2786380"/>
                    </a:xfrm>
                    <a:prstGeom prst="rect">
                      <a:avLst/>
                    </a:prstGeom>
                  </pic:spPr>
                </pic:pic>
              </a:graphicData>
            </a:graphic>
          </wp:inline>
        </w:drawing>
      </w:r>
    </w:p>
    <w:p w14:paraId="4CCC61A9" w14:textId="6E55E54F" w:rsidR="003B1460" w:rsidRDefault="003B1460" w:rsidP="003B1460">
      <w:pPr>
        <w:pStyle w:val="Caption"/>
      </w:pPr>
      <w:r>
        <w:t>Fig. S</w:t>
      </w:r>
      <w:r w:rsidR="00815DA7">
        <w:t>20</w:t>
      </w:r>
      <w:r>
        <w:t xml:space="preserve">: Treatment summary for Mouse ID 15 (focused ultrasound (FUS) only). </w:t>
      </w:r>
      <w:r>
        <w:rPr>
          <w:b w:val="0"/>
          <w:bCs w:val="0"/>
        </w:rPr>
        <w:t xml:space="preserve">(A) Optoacoustic (OA) </w:t>
      </w:r>
      <w:proofErr w:type="spellStart"/>
      <w:r>
        <w:rPr>
          <w:b w:val="0"/>
          <w:bCs w:val="0"/>
          <w:i/>
          <w:iCs/>
        </w:rPr>
        <w:t>xy</w:t>
      </w:r>
      <w:proofErr w:type="spellEnd"/>
      <w:r>
        <w:rPr>
          <w:b w:val="0"/>
          <w:bCs w:val="0"/>
        </w:rPr>
        <w:t xml:space="preserve"> image slice showing the stroke area and surrounding vasculature. (B) Maximum intensity projections acquired pre-treatment (left), after step 1 (center), and after step 2 (right). (C) Relative OA signal change over time for regions marked in (A), color-coded accordingly. (D) Bright-field microscopy of the occluded vessel before (left) and after (right) therapy, with stroke area outlined in blue.</w:t>
      </w:r>
    </w:p>
    <w:p w14:paraId="57CB5CBF" w14:textId="77777777" w:rsidR="003B1460" w:rsidRDefault="003B1460" w:rsidP="003B1460">
      <w:r>
        <w:br w:type="page"/>
      </w:r>
    </w:p>
    <w:p w14:paraId="2FB1E8C0" w14:textId="0921DE9A" w:rsidR="003B1460" w:rsidRDefault="003B1460" w:rsidP="00470776">
      <w:pPr>
        <w:pStyle w:val="SMHeading"/>
      </w:pPr>
      <w:r>
        <w:lastRenderedPageBreak/>
        <w:t>Fig. S2</w:t>
      </w:r>
      <w:r w:rsidR="00815DA7">
        <w:t>1</w:t>
      </w:r>
      <w:r>
        <w:t xml:space="preserve">. </w:t>
      </w:r>
    </w:p>
    <w:p w14:paraId="573ACDAA" w14:textId="77777777" w:rsidR="003B1460" w:rsidRDefault="003B1460" w:rsidP="00470776">
      <w:pPr>
        <w:keepNext/>
        <w:jc w:val="center"/>
      </w:pPr>
      <w:r>
        <w:rPr>
          <w:noProof/>
        </w:rPr>
        <w:drawing>
          <wp:inline distT="0" distB="0" distL="0" distR="0" wp14:anchorId="4BB335FC" wp14:editId="1D287967">
            <wp:extent cx="4942845" cy="6652260"/>
            <wp:effectExtent l="0" t="0" r="0" b="0"/>
            <wp:docPr id="2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
                    <pic:cNvPicPr>
                      <a:picLocks noChangeAspect="1" noChangeArrowheads="1"/>
                    </pic:cNvPicPr>
                  </pic:nvPicPr>
                  <pic:blipFill>
                    <a:blip r:embed="rId26"/>
                    <a:srcRect t="3104" b="3751"/>
                    <a:stretch>
                      <a:fillRect/>
                    </a:stretch>
                  </pic:blipFill>
                  <pic:spPr bwMode="auto">
                    <a:xfrm>
                      <a:off x="0" y="0"/>
                      <a:ext cx="4971110" cy="6690300"/>
                    </a:xfrm>
                    <a:prstGeom prst="rect">
                      <a:avLst/>
                    </a:prstGeom>
                  </pic:spPr>
                </pic:pic>
              </a:graphicData>
            </a:graphic>
          </wp:inline>
        </w:drawing>
      </w:r>
    </w:p>
    <w:p w14:paraId="7183DA77" w14:textId="60706E77" w:rsidR="003B1460" w:rsidRPr="00EF45ED" w:rsidRDefault="003B1460" w:rsidP="00EF45ED">
      <w:pPr>
        <w:pStyle w:val="Caption"/>
        <w:jc w:val="both"/>
        <w:rPr>
          <w:b w:val="0"/>
          <w:bCs w:val="0"/>
        </w:rPr>
      </w:pPr>
      <w:r>
        <w:t>Fig. S</w:t>
      </w:r>
      <w:r w:rsidR="00470776">
        <w:t>20</w:t>
      </w:r>
      <w:r>
        <w:t xml:space="preserve">: Optimization of primary and secondary antibody (AB) concentrations for </w:t>
      </w:r>
      <w:r w:rsidR="0065288F">
        <w:t>r</w:t>
      </w:r>
      <w:r>
        <w:t>t</w:t>
      </w:r>
      <w:r w:rsidR="0065288F">
        <w:t>-</w:t>
      </w:r>
      <w:r>
        <w:t xml:space="preserve">PA detection via fluorescence plate reader measurements. </w:t>
      </w:r>
      <w:r>
        <w:rPr>
          <w:b w:val="0"/>
          <w:bCs w:val="0"/>
        </w:rPr>
        <w:t xml:space="preserve">(A) Fluorescence intensity as a function of primary AB concentration, measured at a fixed </w:t>
      </w:r>
      <w:proofErr w:type="spellStart"/>
      <w:r>
        <w:rPr>
          <w:b w:val="0"/>
          <w:bCs w:val="0"/>
        </w:rPr>
        <w:t>HAp</w:t>
      </w:r>
      <w:proofErr w:type="spellEnd"/>
      <w:r>
        <w:rPr>
          <w:b w:val="0"/>
          <w:bCs w:val="0"/>
        </w:rPr>
        <w:t>-MR concentration (100 </w:t>
      </w:r>
      <w:proofErr w:type="gramStart"/>
      <w:r>
        <w:rPr>
          <w:b w:val="0"/>
          <w:bCs w:val="0"/>
        </w:rPr>
        <w:t>µg</w:t>
      </w:r>
      <w:proofErr w:type="gramEnd"/>
      <w:r>
        <w:rPr>
          <w:b w:val="0"/>
          <w:bCs w:val="0"/>
        </w:rPr>
        <w:t>/mL), rt</w:t>
      </w:r>
      <w:r w:rsidR="0065288F">
        <w:rPr>
          <w:b w:val="0"/>
          <w:bCs w:val="0"/>
        </w:rPr>
        <w:t>-</w:t>
      </w:r>
      <w:r>
        <w:rPr>
          <w:b w:val="0"/>
          <w:bCs w:val="0"/>
        </w:rPr>
        <w:t>PA concentration (300 </w:t>
      </w:r>
      <w:proofErr w:type="gramStart"/>
      <w:r>
        <w:rPr>
          <w:b w:val="0"/>
          <w:bCs w:val="0"/>
        </w:rPr>
        <w:t>µg</w:t>
      </w:r>
      <w:proofErr w:type="gramEnd"/>
      <w:r>
        <w:rPr>
          <w:b w:val="0"/>
          <w:bCs w:val="0"/>
        </w:rPr>
        <w:t>/mL), and secondary AB concentration (100 </w:t>
      </w:r>
      <w:proofErr w:type="gramStart"/>
      <w:r>
        <w:rPr>
          <w:b w:val="0"/>
          <w:bCs w:val="0"/>
        </w:rPr>
        <w:t>µg</w:t>
      </w:r>
      <w:proofErr w:type="gramEnd"/>
      <w:r>
        <w:rPr>
          <w:b w:val="0"/>
          <w:bCs w:val="0"/>
        </w:rPr>
        <w:t>/mL). The curve saturates beyond 13 </w:t>
      </w:r>
      <w:proofErr w:type="gramStart"/>
      <w:r>
        <w:rPr>
          <w:b w:val="0"/>
          <w:bCs w:val="0"/>
        </w:rPr>
        <w:t>µg</w:t>
      </w:r>
      <w:proofErr w:type="gramEnd"/>
      <w:r>
        <w:rPr>
          <w:b w:val="0"/>
          <w:bCs w:val="0"/>
        </w:rPr>
        <w:t xml:space="preserve"> of primary AB, indicating this as the optimal concentration under the given conditions. (B, C) Fluorescence intensity as a function of secondary AB concentration, using fixed </w:t>
      </w:r>
      <w:proofErr w:type="spellStart"/>
      <w:r>
        <w:rPr>
          <w:b w:val="0"/>
          <w:bCs w:val="0"/>
        </w:rPr>
        <w:t>HAp</w:t>
      </w:r>
      <w:proofErr w:type="spellEnd"/>
      <w:r>
        <w:rPr>
          <w:b w:val="0"/>
          <w:bCs w:val="0"/>
        </w:rPr>
        <w:t>-MR (100 </w:t>
      </w:r>
      <w:proofErr w:type="gramStart"/>
      <w:r>
        <w:rPr>
          <w:b w:val="0"/>
          <w:bCs w:val="0"/>
        </w:rPr>
        <w:t>µg</w:t>
      </w:r>
      <w:proofErr w:type="gramEnd"/>
      <w:r>
        <w:rPr>
          <w:b w:val="0"/>
          <w:bCs w:val="0"/>
        </w:rPr>
        <w:t>/mL), rt</w:t>
      </w:r>
      <w:r w:rsidR="0065288F">
        <w:rPr>
          <w:b w:val="0"/>
          <w:bCs w:val="0"/>
        </w:rPr>
        <w:t>-</w:t>
      </w:r>
      <w:r>
        <w:rPr>
          <w:b w:val="0"/>
          <w:bCs w:val="0"/>
        </w:rPr>
        <w:t>PA (300 </w:t>
      </w:r>
      <w:proofErr w:type="gramStart"/>
      <w:r>
        <w:rPr>
          <w:b w:val="0"/>
          <w:bCs w:val="0"/>
        </w:rPr>
        <w:t>µg</w:t>
      </w:r>
      <w:proofErr w:type="gramEnd"/>
      <w:r>
        <w:rPr>
          <w:b w:val="0"/>
          <w:bCs w:val="0"/>
        </w:rPr>
        <w:t>/mL), and primary AB (13 </w:t>
      </w:r>
      <w:proofErr w:type="gramStart"/>
      <w:r>
        <w:rPr>
          <w:b w:val="0"/>
          <w:bCs w:val="0"/>
        </w:rPr>
        <w:t>µg</w:t>
      </w:r>
      <w:proofErr w:type="gramEnd"/>
      <w:r>
        <w:rPr>
          <w:b w:val="0"/>
          <w:bCs w:val="0"/>
        </w:rPr>
        <w:t xml:space="preserve">/mL) concentrations. In (B), the curve does not saturate, suggesting insufficient secondary AB to label all bound </w:t>
      </w:r>
      <w:r w:rsidR="0065288F">
        <w:rPr>
          <w:b w:val="0"/>
          <w:bCs w:val="0"/>
        </w:rPr>
        <w:t>r</w:t>
      </w:r>
      <w:r>
        <w:rPr>
          <w:b w:val="0"/>
          <w:bCs w:val="0"/>
        </w:rPr>
        <w:t>t</w:t>
      </w:r>
      <w:r w:rsidR="0065288F">
        <w:rPr>
          <w:b w:val="0"/>
          <w:bCs w:val="0"/>
        </w:rPr>
        <w:t>-</w:t>
      </w:r>
      <w:r>
        <w:rPr>
          <w:b w:val="0"/>
          <w:bCs w:val="0"/>
        </w:rPr>
        <w:t>PA and primary AB. In (C), saturation is observed beyond 60 </w:t>
      </w:r>
      <w:proofErr w:type="gramStart"/>
      <w:r>
        <w:rPr>
          <w:b w:val="0"/>
          <w:bCs w:val="0"/>
        </w:rPr>
        <w:t>µg</w:t>
      </w:r>
      <w:proofErr w:type="gramEnd"/>
      <w:r>
        <w:rPr>
          <w:b w:val="0"/>
          <w:bCs w:val="0"/>
        </w:rPr>
        <w:t xml:space="preserve"> of secondary AB, confirming this as the required amount for complete labeling under the tested conditions.</w:t>
      </w:r>
    </w:p>
    <w:sectPr w:rsidR="003B1460" w:rsidRPr="00EF45ED" w:rsidSect="003B146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B7B63" w14:textId="77777777" w:rsidR="002A169D" w:rsidRDefault="002A169D">
      <w:r>
        <w:separator/>
      </w:r>
    </w:p>
  </w:endnote>
  <w:endnote w:type="continuationSeparator" w:id="0">
    <w:p w14:paraId="04D9C2AF" w14:textId="77777777" w:rsidR="002A169D" w:rsidRDefault="002A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0BFD" w14:textId="77777777" w:rsidR="003B1460" w:rsidRDefault="003B1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55E1" w14:textId="77777777" w:rsidR="003B1460" w:rsidRDefault="003B1460">
    <w:pPr>
      <w:pStyle w:val="Footer"/>
      <w:jc w:val="right"/>
    </w:pPr>
    <w:r>
      <w:fldChar w:fldCharType="begin"/>
    </w:r>
    <w:r>
      <w:instrText xml:space="preserve"> PAGE </w:instrText>
    </w:r>
    <w:r>
      <w:fldChar w:fldCharType="separate"/>
    </w:r>
    <w:r>
      <w:t>30</w:t>
    </w:r>
    <w:r>
      <w:fldChar w:fldCharType="end"/>
    </w:r>
  </w:p>
  <w:p w14:paraId="5DFF5055" w14:textId="77777777" w:rsidR="003B1460" w:rsidRDefault="003B1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847C7" w14:textId="77777777" w:rsidR="003B1460" w:rsidRDefault="003B1460">
    <w:pPr>
      <w:pStyle w:val="Footer"/>
      <w:jc w:val="right"/>
    </w:pPr>
    <w:r>
      <w:fldChar w:fldCharType="begin"/>
    </w:r>
    <w:r>
      <w:instrText xml:space="preserve"> PAGE </w:instrText>
    </w:r>
    <w:r>
      <w:fldChar w:fldCharType="separate"/>
    </w:r>
    <w:r>
      <w:t>30</w:t>
    </w:r>
    <w:r>
      <w:fldChar w:fldCharType="end"/>
    </w:r>
  </w:p>
  <w:p w14:paraId="25B6721D" w14:textId="77777777" w:rsidR="003B1460" w:rsidRDefault="003B1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69F9F" w14:textId="77777777" w:rsidR="002A169D" w:rsidRDefault="002A169D">
      <w:r>
        <w:separator/>
      </w:r>
    </w:p>
  </w:footnote>
  <w:footnote w:type="continuationSeparator" w:id="0">
    <w:p w14:paraId="15CFAD79" w14:textId="77777777" w:rsidR="002A169D" w:rsidRDefault="002A1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DA19C" w14:textId="77777777" w:rsidR="003B1460" w:rsidRDefault="003B1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0E65" w14:textId="77777777" w:rsidR="003B1460" w:rsidRDefault="003B1460">
    <w:pPr>
      <w:jc w:val="right"/>
      <w:rPr>
        <w:sz w:val="20"/>
      </w:rPr>
    </w:pPr>
  </w:p>
  <w:p w14:paraId="761BEFD6" w14:textId="77777777" w:rsidR="003B1460" w:rsidRDefault="003B146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BF0B" w14:textId="77777777" w:rsidR="003B1460" w:rsidRDefault="003B1460">
    <w:pPr>
      <w:jc w:val="right"/>
      <w:rPr>
        <w:sz w:val="20"/>
      </w:rPr>
    </w:pPr>
  </w:p>
  <w:p w14:paraId="3A6EEBD4" w14:textId="77777777" w:rsidR="003B1460" w:rsidRDefault="003B146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460"/>
    <w:rsid w:val="001A4B3A"/>
    <w:rsid w:val="001C4551"/>
    <w:rsid w:val="002059F7"/>
    <w:rsid w:val="002A169D"/>
    <w:rsid w:val="003B1460"/>
    <w:rsid w:val="00470776"/>
    <w:rsid w:val="00610E59"/>
    <w:rsid w:val="006258DB"/>
    <w:rsid w:val="006363B5"/>
    <w:rsid w:val="0065288F"/>
    <w:rsid w:val="007E0965"/>
    <w:rsid w:val="00815DA7"/>
    <w:rsid w:val="008E0414"/>
    <w:rsid w:val="008E656A"/>
    <w:rsid w:val="0099521F"/>
    <w:rsid w:val="00B36F5D"/>
    <w:rsid w:val="00B465CB"/>
    <w:rsid w:val="00B855E3"/>
    <w:rsid w:val="00C372F9"/>
    <w:rsid w:val="00CC4243"/>
    <w:rsid w:val="00D8402C"/>
    <w:rsid w:val="00E568B6"/>
    <w:rsid w:val="00E57F80"/>
    <w:rsid w:val="00EF45ED"/>
    <w:rsid w:val="00FD1E6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08B1"/>
  <w15:chartTrackingRefBased/>
  <w15:docId w15:val="{D0415793-BC83-4674-B811-7610BB4EC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60"/>
    <w:pPr>
      <w:suppressAutoHyphens/>
      <w:spacing w:after="0" w:line="240" w:lineRule="auto"/>
    </w:pPr>
    <w:rPr>
      <w:rFonts w:ascii="Times New Roman" w:eastAsia="Times New Roman" w:hAnsi="Times New Roman" w:cs="Times New Roman"/>
      <w:kern w:val="0"/>
      <w:szCs w:val="20"/>
      <w:lang w:val="en-US"/>
      <w14:ligatures w14:val="none"/>
    </w:rPr>
  </w:style>
  <w:style w:type="paragraph" w:styleId="Heading1">
    <w:name w:val="heading 1"/>
    <w:basedOn w:val="Normal"/>
    <w:next w:val="Normal"/>
    <w:link w:val="Heading1Char"/>
    <w:uiPriority w:val="9"/>
    <w:qFormat/>
    <w:rsid w:val="00470776"/>
    <w:pPr>
      <w:keepNext/>
      <w:spacing w:after="60"/>
      <w:outlineLvl w:val="0"/>
    </w:pPr>
    <w:rPr>
      <w:b/>
      <w:bCs/>
      <w:kern w:val="2"/>
      <w:szCs w:val="24"/>
    </w:rPr>
  </w:style>
  <w:style w:type="paragraph" w:styleId="Heading2">
    <w:name w:val="heading 2"/>
    <w:basedOn w:val="Normal"/>
    <w:next w:val="Normal"/>
    <w:link w:val="Heading2Char"/>
    <w:uiPriority w:val="9"/>
    <w:semiHidden/>
    <w:unhideWhenUsed/>
    <w:qFormat/>
    <w:rsid w:val="003B1460"/>
    <w:pPr>
      <w:keepNext/>
      <w:keepLines/>
      <w:suppressAutoHyphens w:val="0"/>
      <w:spacing w:before="160" w:after="80" w:line="278" w:lineRule="auto"/>
      <w:outlineLvl w:val="1"/>
    </w:pPr>
    <w:rPr>
      <w:rFonts w:asciiTheme="majorHAnsi" w:eastAsiaTheme="majorEastAsia" w:hAnsiTheme="majorHAnsi" w:cstheme="majorBidi"/>
      <w:color w:val="0F4761" w:themeColor="accent1" w:themeShade="BF"/>
      <w:kern w:val="2"/>
      <w:sz w:val="32"/>
      <w:szCs w:val="32"/>
      <w:lang w:val="en-DE"/>
      <w14:ligatures w14:val="standardContextual"/>
    </w:rPr>
  </w:style>
  <w:style w:type="paragraph" w:styleId="Heading3">
    <w:name w:val="heading 3"/>
    <w:basedOn w:val="Normal"/>
    <w:next w:val="Normal"/>
    <w:link w:val="Heading3Char"/>
    <w:uiPriority w:val="9"/>
    <w:semiHidden/>
    <w:unhideWhenUsed/>
    <w:qFormat/>
    <w:rsid w:val="003B1460"/>
    <w:pPr>
      <w:keepNext/>
      <w:keepLines/>
      <w:suppressAutoHyphens w:val="0"/>
      <w:spacing w:before="160" w:after="80" w:line="278" w:lineRule="auto"/>
      <w:outlineLvl w:val="2"/>
    </w:pPr>
    <w:rPr>
      <w:rFonts w:asciiTheme="minorHAnsi" w:eastAsiaTheme="majorEastAsia" w:hAnsiTheme="minorHAnsi" w:cstheme="majorBidi"/>
      <w:color w:val="0F4761" w:themeColor="accent1" w:themeShade="BF"/>
      <w:kern w:val="2"/>
      <w:sz w:val="28"/>
      <w:szCs w:val="28"/>
      <w:lang w:val="en-DE"/>
      <w14:ligatures w14:val="standardContextual"/>
    </w:rPr>
  </w:style>
  <w:style w:type="paragraph" w:styleId="Heading4">
    <w:name w:val="heading 4"/>
    <w:basedOn w:val="Normal"/>
    <w:next w:val="Normal"/>
    <w:link w:val="Heading4Char"/>
    <w:uiPriority w:val="9"/>
    <w:semiHidden/>
    <w:unhideWhenUsed/>
    <w:qFormat/>
    <w:rsid w:val="003B1460"/>
    <w:pPr>
      <w:keepNext/>
      <w:keepLines/>
      <w:suppressAutoHyphens w:val="0"/>
      <w:spacing w:before="80" w:after="40" w:line="278" w:lineRule="auto"/>
      <w:outlineLvl w:val="3"/>
    </w:pPr>
    <w:rPr>
      <w:rFonts w:asciiTheme="minorHAnsi" w:eastAsiaTheme="majorEastAsia" w:hAnsiTheme="minorHAnsi" w:cstheme="majorBidi"/>
      <w:i/>
      <w:iCs/>
      <w:color w:val="0F4761" w:themeColor="accent1" w:themeShade="BF"/>
      <w:kern w:val="2"/>
      <w:szCs w:val="24"/>
      <w:lang w:val="en-DE"/>
      <w14:ligatures w14:val="standardContextual"/>
    </w:rPr>
  </w:style>
  <w:style w:type="paragraph" w:styleId="Heading5">
    <w:name w:val="heading 5"/>
    <w:basedOn w:val="Normal"/>
    <w:next w:val="Normal"/>
    <w:link w:val="Heading5Char"/>
    <w:uiPriority w:val="9"/>
    <w:semiHidden/>
    <w:unhideWhenUsed/>
    <w:qFormat/>
    <w:rsid w:val="003B1460"/>
    <w:pPr>
      <w:keepNext/>
      <w:keepLines/>
      <w:suppressAutoHyphens w:val="0"/>
      <w:spacing w:before="80" w:after="40" w:line="278" w:lineRule="auto"/>
      <w:outlineLvl w:val="4"/>
    </w:pPr>
    <w:rPr>
      <w:rFonts w:asciiTheme="minorHAnsi" w:eastAsiaTheme="majorEastAsia" w:hAnsiTheme="minorHAnsi" w:cstheme="majorBidi"/>
      <w:color w:val="0F4761" w:themeColor="accent1" w:themeShade="BF"/>
      <w:kern w:val="2"/>
      <w:szCs w:val="24"/>
      <w:lang w:val="en-DE"/>
      <w14:ligatures w14:val="standardContextual"/>
    </w:rPr>
  </w:style>
  <w:style w:type="paragraph" w:styleId="Heading6">
    <w:name w:val="heading 6"/>
    <w:basedOn w:val="Normal"/>
    <w:next w:val="Normal"/>
    <w:link w:val="Heading6Char"/>
    <w:uiPriority w:val="9"/>
    <w:semiHidden/>
    <w:unhideWhenUsed/>
    <w:qFormat/>
    <w:rsid w:val="003B1460"/>
    <w:pPr>
      <w:keepNext/>
      <w:keepLines/>
      <w:suppressAutoHyphens w:val="0"/>
      <w:spacing w:before="40" w:line="278" w:lineRule="auto"/>
      <w:outlineLvl w:val="5"/>
    </w:pPr>
    <w:rPr>
      <w:rFonts w:asciiTheme="minorHAnsi" w:eastAsiaTheme="majorEastAsia" w:hAnsiTheme="minorHAnsi" w:cstheme="majorBidi"/>
      <w:i/>
      <w:iCs/>
      <w:color w:val="595959" w:themeColor="text1" w:themeTint="A6"/>
      <w:kern w:val="2"/>
      <w:szCs w:val="24"/>
      <w:lang w:val="en-DE"/>
      <w14:ligatures w14:val="standardContextual"/>
    </w:rPr>
  </w:style>
  <w:style w:type="paragraph" w:styleId="Heading7">
    <w:name w:val="heading 7"/>
    <w:basedOn w:val="Normal"/>
    <w:next w:val="Normal"/>
    <w:link w:val="Heading7Char"/>
    <w:uiPriority w:val="9"/>
    <w:semiHidden/>
    <w:unhideWhenUsed/>
    <w:qFormat/>
    <w:rsid w:val="003B1460"/>
    <w:pPr>
      <w:keepNext/>
      <w:keepLines/>
      <w:suppressAutoHyphens w:val="0"/>
      <w:spacing w:before="40" w:line="278" w:lineRule="auto"/>
      <w:outlineLvl w:val="6"/>
    </w:pPr>
    <w:rPr>
      <w:rFonts w:asciiTheme="minorHAnsi" w:eastAsiaTheme="majorEastAsia" w:hAnsiTheme="minorHAnsi" w:cstheme="majorBidi"/>
      <w:color w:val="595959" w:themeColor="text1" w:themeTint="A6"/>
      <w:kern w:val="2"/>
      <w:szCs w:val="24"/>
      <w:lang w:val="en-DE"/>
      <w14:ligatures w14:val="standardContextual"/>
    </w:rPr>
  </w:style>
  <w:style w:type="paragraph" w:styleId="Heading8">
    <w:name w:val="heading 8"/>
    <w:basedOn w:val="Normal"/>
    <w:next w:val="Normal"/>
    <w:link w:val="Heading8Char"/>
    <w:uiPriority w:val="9"/>
    <w:semiHidden/>
    <w:unhideWhenUsed/>
    <w:qFormat/>
    <w:rsid w:val="003B1460"/>
    <w:pPr>
      <w:keepNext/>
      <w:keepLines/>
      <w:suppressAutoHyphens w:val="0"/>
      <w:spacing w:line="278" w:lineRule="auto"/>
      <w:outlineLvl w:val="7"/>
    </w:pPr>
    <w:rPr>
      <w:rFonts w:asciiTheme="minorHAnsi" w:eastAsiaTheme="majorEastAsia" w:hAnsiTheme="minorHAnsi" w:cstheme="majorBidi"/>
      <w:i/>
      <w:iCs/>
      <w:color w:val="272727" w:themeColor="text1" w:themeTint="D8"/>
      <w:kern w:val="2"/>
      <w:szCs w:val="24"/>
      <w:lang w:val="en-DE"/>
      <w14:ligatures w14:val="standardContextual"/>
    </w:rPr>
  </w:style>
  <w:style w:type="paragraph" w:styleId="Heading9">
    <w:name w:val="heading 9"/>
    <w:basedOn w:val="Normal"/>
    <w:next w:val="Normal"/>
    <w:link w:val="Heading9Char"/>
    <w:uiPriority w:val="9"/>
    <w:semiHidden/>
    <w:unhideWhenUsed/>
    <w:qFormat/>
    <w:rsid w:val="003B1460"/>
    <w:pPr>
      <w:keepNext/>
      <w:keepLines/>
      <w:suppressAutoHyphens w:val="0"/>
      <w:spacing w:line="278" w:lineRule="auto"/>
      <w:outlineLvl w:val="8"/>
    </w:pPr>
    <w:rPr>
      <w:rFonts w:asciiTheme="minorHAnsi" w:eastAsiaTheme="majorEastAsia" w:hAnsiTheme="minorHAnsi" w:cstheme="majorBidi"/>
      <w:color w:val="272727" w:themeColor="text1" w:themeTint="D8"/>
      <w:kern w:val="2"/>
      <w:szCs w:val="24"/>
      <w:lang w:val="en-D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776"/>
    <w:rPr>
      <w:rFonts w:ascii="Times New Roman" w:eastAsia="Times New Roman" w:hAnsi="Times New Roman" w:cs="Times New Roman"/>
      <w:b/>
      <w:bCs/>
      <w:lang w:val="en-US"/>
      <w14:ligatures w14:val="none"/>
    </w:rPr>
  </w:style>
  <w:style w:type="character" w:customStyle="1" w:styleId="Heading2Char">
    <w:name w:val="Heading 2 Char"/>
    <w:basedOn w:val="DefaultParagraphFont"/>
    <w:link w:val="Heading2"/>
    <w:uiPriority w:val="9"/>
    <w:semiHidden/>
    <w:rsid w:val="003B14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14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14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14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14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14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14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1460"/>
    <w:rPr>
      <w:rFonts w:eastAsiaTheme="majorEastAsia" w:cstheme="majorBidi"/>
      <w:color w:val="272727" w:themeColor="text1" w:themeTint="D8"/>
    </w:rPr>
  </w:style>
  <w:style w:type="paragraph" w:styleId="Title">
    <w:name w:val="Title"/>
    <w:basedOn w:val="Normal"/>
    <w:next w:val="Normal"/>
    <w:link w:val="TitleChar"/>
    <w:uiPriority w:val="10"/>
    <w:qFormat/>
    <w:rsid w:val="003B1460"/>
    <w:pPr>
      <w:suppressAutoHyphens w:val="0"/>
      <w:spacing w:after="80"/>
      <w:contextualSpacing/>
    </w:pPr>
    <w:rPr>
      <w:rFonts w:asciiTheme="majorHAnsi" w:eastAsiaTheme="majorEastAsia" w:hAnsiTheme="majorHAnsi" w:cstheme="majorBidi"/>
      <w:spacing w:val="-10"/>
      <w:kern w:val="28"/>
      <w:sz w:val="56"/>
      <w:szCs w:val="56"/>
      <w:lang w:val="en-DE"/>
      <w14:ligatures w14:val="standardContextual"/>
    </w:rPr>
  </w:style>
  <w:style w:type="character" w:customStyle="1" w:styleId="TitleChar">
    <w:name w:val="Title Char"/>
    <w:basedOn w:val="DefaultParagraphFont"/>
    <w:link w:val="Title"/>
    <w:uiPriority w:val="10"/>
    <w:rsid w:val="003B14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1460"/>
    <w:pPr>
      <w:numPr>
        <w:ilvl w:val="1"/>
      </w:numPr>
      <w:suppressAutoHyphens w:val="0"/>
      <w:spacing w:after="160" w:line="278" w:lineRule="auto"/>
    </w:pPr>
    <w:rPr>
      <w:rFonts w:asciiTheme="minorHAnsi" w:eastAsiaTheme="majorEastAsia" w:hAnsiTheme="minorHAnsi" w:cstheme="majorBidi"/>
      <w:color w:val="595959" w:themeColor="text1" w:themeTint="A6"/>
      <w:spacing w:val="15"/>
      <w:kern w:val="2"/>
      <w:sz w:val="28"/>
      <w:szCs w:val="28"/>
      <w:lang w:val="en-DE"/>
      <w14:ligatures w14:val="standardContextual"/>
    </w:rPr>
  </w:style>
  <w:style w:type="character" w:customStyle="1" w:styleId="SubtitleChar">
    <w:name w:val="Subtitle Char"/>
    <w:basedOn w:val="DefaultParagraphFont"/>
    <w:link w:val="Subtitle"/>
    <w:uiPriority w:val="11"/>
    <w:rsid w:val="003B14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1460"/>
    <w:pPr>
      <w:suppressAutoHyphens w:val="0"/>
      <w:spacing w:before="160" w:after="160" w:line="278" w:lineRule="auto"/>
      <w:jc w:val="center"/>
    </w:pPr>
    <w:rPr>
      <w:rFonts w:asciiTheme="minorHAnsi" w:eastAsiaTheme="minorHAnsi" w:hAnsiTheme="minorHAnsi" w:cstheme="minorBidi"/>
      <w:i/>
      <w:iCs/>
      <w:color w:val="404040" w:themeColor="text1" w:themeTint="BF"/>
      <w:kern w:val="2"/>
      <w:szCs w:val="24"/>
      <w:lang w:val="en-DE"/>
      <w14:ligatures w14:val="standardContextual"/>
    </w:rPr>
  </w:style>
  <w:style w:type="character" w:customStyle="1" w:styleId="QuoteChar">
    <w:name w:val="Quote Char"/>
    <w:basedOn w:val="DefaultParagraphFont"/>
    <w:link w:val="Quote"/>
    <w:uiPriority w:val="29"/>
    <w:rsid w:val="003B1460"/>
    <w:rPr>
      <w:i/>
      <w:iCs/>
      <w:color w:val="404040" w:themeColor="text1" w:themeTint="BF"/>
    </w:rPr>
  </w:style>
  <w:style w:type="paragraph" w:styleId="ListParagraph">
    <w:name w:val="List Paragraph"/>
    <w:basedOn w:val="Normal"/>
    <w:uiPriority w:val="34"/>
    <w:qFormat/>
    <w:rsid w:val="003B1460"/>
    <w:pPr>
      <w:suppressAutoHyphens w:val="0"/>
      <w:spacing w:after="160" w:line="278" w:lineRule="auto"/>
      <w:ind w:left="720"/>
      <w:contextualSpacing/>
    </w:pPr>
    <w:rPr>
      <w:rFonts w:asciiTheme="minorHAnsi" w:eastAsiaTheme="minorHAnsi" w:hAnsiTheme="minorHAnsi" w:cstheme="minorBidi"/>
      <w:kern w:val="2"/>
      <w:szCs w:val="24"/>
      <w:lang w:val="en-DE"/>
      <w14:ligatures w14:val="standardContextual"/>
    </w:rPr>
  </w:style>
  <w:style w:type="character" w:styleId="IntenseEmphasis">
    <w:name w:val="Intense Emphasis"/>
    <w:basedOn w:val="DefaultParagraphFont"/>
    <w:uiPriority w:val="21"/>
    <w:qFormat/>
    <w:rsid w:val="003B1460"/>
    <w:rPr>
      <w:i/>
      <w:iCs/>
      <w:color w:val="0F4761" w:themeColor="accent1" w:themeShade="BF"/>
    </w:rPr>
  </w:style>
  <w:style w:type="paragraph" w:styleId="IntenseQuote">
    <w:name w:val="Intense Quote"/>
    <w:basedOn w:val="Normal"/>
    <w:next w:val="Normal"/>
    <w:link w:val="IntenseQuoteChar"/>
    <w:uiPriority w:val="30"/>
    <w:qFormat/>
    <w:rsid w:val="003B1460"/>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lang w:val="en-DE"/>
      <w14:ligatures w14:val="standardContextual"/>
    </w:rPr>
  </w:style>
  <w:style w:type="character" w:customStyle="1" w:styleId="IntenseQuoteChar">
    <w:name w:val="Intense Quote Char"/>
    <w:basedOn w:val="DefaultParagraphFont"/>
    <w:link w:val="IntenseQuote"/>
    <w:uiPriority w:val="30"/>
    <w:rsid w:val="003B1460"/>
    <w:rPr>
      <w:i/>
      <w:iCs/>
      <w:color w:val="0F4761" w:themeColor="accent1" w:themeShade="BF"/>
    </w:rPr>
  </w:style>
  <w:style w:type="character" w:styleId="IntenseReference">
    <w:name w:val="Intense Reference"/>
    <w:basedOn w:val="DefaultParagraphFont"/>
    <w:uiPriority w:val="32"/>
    <w:qFormat/>
    <w:rsid w:val="003B1460"/>
    <w:rPr>
      <w:b/>
      <w:bCs/>
      <w:smallCaps/>
      <w:color w:val="0F4761" w:themeColor="accent1" w:themeShade="BF"/>
      <w:spacing w:val="5"/>
    </w:rPr>
  </w:style>
  <w:style w:type="character" w:customStyle="1" w:styleId="FooterChar">
    <w:name w:val="Footer Char"/>
    <w:link w:val="Footer"/>
    <w:semiHidden/>
    <w:qFormat/>
    <w:rsid w:val="003B1460"/>
  </w:style>
  <w:style w:type="character" w:customStyle="1" w:styleId="HeaderChar">
    <w:name w:val="Header Char"/>
    <w:link w:val="Header"/>
    <w:semiHidden/>
    <w:qFormat/>
    <w:rsid w:val="003B1460"/>
  </w:style>
  <w:style w:type="paragraph" w:styleId="Caption">
    <w:name w:val="caption"/>
    <w:basedOn w:val="Normal"/>
    <w:next w:val="Normal"/>
    <w:qFormat/>
    <w:rsid w:val="003B1460"/>
    <w:rPr>
      <w:b/>
      <w:bCs/>
      <w:sz w:val="20"/>
    </w:rPr>
  </w:style>
  <w:style w:type="paragraph" w:customStyle="1" w:styleId="SMHeading">
    <w:name w:val="SM Heading"/>
    <w:basedOn w:val="Heading1"/>
    <w:rsid w:val="003B1460"/>
    <w:pPr>
      <w:spacing w:before="240"/>
    </w:pPr>
    <w:rPr>
      <w:b w:val="0"/>
      <w:bCs w:val="0"/>
    </w:rPr>
  </w:style>
  <w:style w:type="paragraph" w:customStyle="1" w:styleId="SMcaption">
    <w:name w:val="SM caption"/>
    <w:basedOn w:val="Normal"/>
    <w:rsid w:val="003B1460"/>
  </w:style>
  <w:style w:type="paragraph" w:styleId="Bibliography">
    <w:name w:val="Bibliography"/>
    <w:basedOn w:val="Normal"/>
    <w:next w:val="Normal"/>
    <w:uiPriority w:val="37"/>
    <w:semiHidden/>
    <w:qFormat/>
    <w:rsid w:val="003B1460"/>
    <w:pPr>
      <w:tabs>
        <w:tab w:val="left" w:pos="384"/>
      </w:tabs>
      <w:spacing w:after="240"/>
      <w:ind w:left="384" w:hanging="384"/>
    </w:pPr>
  </w:style>
  <w:style w:type="paragraph" w:styleId="Footer">
    <w:name w:val="footer"/>
    <w:basedOn w:val="Normal"/>
    <w:link w:val="FooterChar"/>
    <w:semiHidden/>
    <w:rsid w:val="003B1460"/>
    <w:pPr>
      <w:tabs>
        <w:tab w:val="center" w:pos="4680"/>
        <w:tab w:val="right" w:pos="9360"/>
      </w:tabs>
    </w:pPr>
    <w:rPr>
      <w:rFonts w:asciiTheme="minorHAnsi" w:eastAsiaTheme="minorHAnsi" w:hAnsiTheme="minorHAnsi" w:cstheme="minorBidi"/>
      <w:kern w:val="2"/>
      <w:szCs w:val="24"/>
      <w:lang w:val="en-DE"/>
      <w14:ligatures w14:val="standardContextual"/>
    </w:rPr>
  </w:style>
  <w:style w:type="character" w:customStyle="1" w:styleId="FooterChar1">
    <w:name w:val="Footer Char1"/>
    <w:basedOn w:val="DefaultParagraphFont"/>
    <w:uiPriority w:val="99"/>
    <w:semiHidden/>
    <w:rsid w:val="003B1460"/>
    <w:rPr>
      <w:rFonts w:ascii="Times New Roman" w:eastAsia="Times New Roman" w:hAnsi="Times New Roman" w:cs="Times New Roman"/>
      <w:kern w:val="0"/>
      <w:szCs w:val="20"/>
      <w:lang w:val="en-US"/>
      <w14:ligatures w14:val="none"/>
    </w:rPr>
  </w:style>
  <w:style w:type="paragraph" w:styleId="Header">
    <w:name w:val="header"/>
    <w:basedOn w:val="Normal"/>
    <w:link w:val="HeaderChar"/>
    <w:semiHidden/>
    <w:rsid w:val="003B1460"/>
    <w:pPr>
      <w:tabs>
        <w:tab w:val="center" w:pos="4680"/>
        <w:tab w:val="right" w:pos="9360"/>
      </w:tabs>
    </w:pPr>
    <w:rPr>
      <w:rFonts w:asciiTheme="minorHAnsi" w:eastAsiaTheme="minorHAnsi" w:hAnsiTheme="minorHAnsi" w:cstheme="minorBidi"/>
      <w:kern w:val="2"/>
      <w:szCs w:val="24"/>
      <w:lang w:val="en-DE"/>
      <w14:ligatures w14:val="standardContextual"/>
    </w:rPr>
  </w:style>
  <w:style w:type="character" w:customStyle="1" w:styleId="HeaderChar1">
    <w:name w:val="Header Char1"/>
    <w:basedOn w:val="DefaultParagraphFont"/>
    <w:uiPriority w:val="99"/>
    <w:semiHidden/>
    <w:rsid w:val="003B1460"/>
    <w:rPr>
      <w:rFonts w:ascii="Times New Roman" w:eastAsia="Times New Roman" w:hAnsi="Times New Roman" w:cs="Times New Roman"/>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20</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Wrede  Paul</dc:creator>
  <cp:keywords/>
  <dc:description/>
  <cp:lastModifiedBy>Wrede  Paul</cp:lastModifiedBy>
  <cp:revision>10</cp:revision>
  <dcterms:created xsi:type="dcterms:W3CDTF">2025-12-09T14:08:00Z</dcterms:created>
  <dcterms:modified xsi:type="dcterms:W3CDTF">2025-12-19T11:00:00Z</dcterms:modified>
</cp:coreProperties>
</file>