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9587B" w14:textId="7D061B2B" w:rsidR="003C4F13" w:rsidRDefault="00000000">
      <w:pPr>
        <w:pStyle w:val="Title"/>
        <w:widowControl w:val="0"/>
        <w:spacing w:line="360" w:lineRule="auto"/>
        <w:jc w:val="center"/>
      </w:pPr>
      <w:bookmarkStart w:id="0" w:name="_mrm88e5ywgp" w:colFirst="0" w:colLast="0"/>
      <w:bookmarkEnd w:id="0"/>
      <w:r>
        <w:rPr>
          <w:rFonts w:ascii="Times New Roman" w:eastAsia="Times New Roman" w:hAnsi="Times New Roman" w:cs="Times New Roman"/>
          <w:b/>
          <w:sz w:val="28"/>
          <w:szCs w:val="28"/>
        </w:rPr>
        <w:t>Dynamic regulation of a domesticated DNA transposon-derived gene in human germline and early embryonic development</w:t>
      </w:r>
    </w:p>
    <w:p w14:paraId="20F4574E" w14:textId="77777777" w:rsidR="003C4F1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Tanuja Bhardwaj, Sharmistha Majumdar*</w:t>
      </w:r>
    </w:p>
    <w:p w14:paraId="58C5FF09" w14:textId="77777777" w:rsidR="003C4F13"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Department of Biological Sciences and Engineering, Indian Institute of Technology Gandhinagar, Gujarat, India</w:t>
      </w:r>
    </w:p>
    <w:p w14:paraId="3ED5E2D9" w14:textId="77777777" w:rsidR="003C4F13" w:rsidRDefault="003C4F13">
      <w:pPr>
        <w:spacing w:line="240" w:lineRule="auto"/>
        <w:jc w:val="center"/>
        <w:rPr>
          <w:rFonts w:ascii="Times New Roman" w:eastAsia="Times New Roman" w:hAnsi="Times New Roman" w:cs="Times New Roman"/>
        </w:rPr>
      </w:pPr>
      <w:hyperlink r:id="rId6">
        <w:r>
          <w:rPr>
            <w:rFonts w:ascii="Times New Roman" w:eastAsia="Times New Roman" w:hAnsi="Times New Roman" w:cs="Times New Roman"/>
            <w:color w:val="1155CC"/>
            <w:u w:val="single"/>
          </w:rPr>
          <w:t>bhardwajtanuja@iitgn.ac.in</w:t>
        </w:r>
      </w:hyperlink>
      <w:r>
        <w:rPr>
          <w:rFonts w:ascii="Times New Roman" w:eastAsia="Times New Roman" w:hAnsi="Times New Roman" w:cs="Times New Roman"/>
        </w:rPr>
        <w:t xml:space="preserve"> ; *Corresponding Author:  </w:t>
      </w:r>
      <w:hyperlink r:id="rId7">
        <w:r>
          <w:rPr>
            <w:rFonts w:ascii="Times New Roman" w:eastAsia="Times New Roman" w:hAnsi="Times New Roman" w:cs="Times New Roman"/>
            <w:color w:val="1155CC"/>
            <w:u w:val="single"/>
          </w:rPr>
          <w:t>sharmistham@iitgn.ac.in</w:t>
        </w:r>
      </w:hyperlink>
      <w:r>
        <w:rPr>
          <w:rFonts w:ascii="Times New Roman" w:eastAsia="Times New Roman" w:hAnsi="Times New Roman" w:cs="Times New Roman"/>
        </w:rPr>
        <w:t xml:space="preserve">  </w:t>
      </w:r>
    </w:p>
    <w:p w14:paraId="2E6C6BDC" w14:textId="77777777" w:rsidR="003C4F13" w:rsidRDefault="003C4F13"/>
    <w:p w14:paraId="43BE6C01" w14:textId="77777777" w:rsidR="003C4F13" w:rsidRDefault="00000000">
      <w:pPr>
        <w:pStyle w:val="Heading2"/>
        <w:rPr>
          <w:rFonts w:ascii="Times New Roman" w:eastAsia="Times New Roman" w:hAnsi="Times New Roman" w:cs="Times New Roman"/>
          <w:b/>
          <w:sz w:val="28"/>
          <w:szCs w:val="28"/>
        </w:rPr>
      </w:pPr>
      <w:bookmarkStart w:id="1" w:name="_rtmfcii5bcod" w:colFirst="0" w:colLast="0"/>
      <w:bookmarkStart w:id="2" w:name="_6rvaq2242bjc" w:colFirst="0" w:colLast="0"/>
      <w:bookmarkEnd w:id="1"/>
      <w:bookmarkEnd w:id="2"/>
      <w:r>
        <w:rPr>
          <w:rFonts w:ascii="Times New Roman" w:eastAsia="Times New Roman" w:hAnsi="Times New Roman" w:cs="Times New Roman"/>
          <w:b/>
          <w:sz w:val="28"/>
          <w:szCs w:val="28"/>
        </w:rPr>
        <w:t>Supplementary Figures</w:t>
      </w:r>
    </w:p>
    <w:p w14:paraId="7B42390D" w14:textId="77777777" w:rsidR="003C4F13" w:rsidRDefault="003C4F13">
      <w:pPr>
        <w:rPr>
          <w:rFonts w:ascii="Times New Roman" w:eastAsia="Times New Roman" w:hAnsi="Times New Roman" w:cs="Times New Roman"/>
          <w:sz w:val="24"/>
          <w:szCs w:val="24"/>
        </w:rPr>
      </w:pPr>
    </w:p>
    <w:p w14:paraId="3693ADFF" w14:textId="77777777" w:rsidR="003C4F13"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332C5D5A" wp14:editId="48061D5C">
            <wp:extent cx="5943600" cy="2921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921000"/>
                    </a:xfrm>
                    <a:prstGeom prst="rect">
                      <a:avLst/>
                    </a:prstGeom>
                    <a:ln/>
                  </pic:spPr>
                </pic:pic>
              </a:graphicData>
            </a:graphic>
          </wp:inline>
        </w:drawing>
      </w:r>
    </w:p>
    <w:p w14:paraId="5A86D64B" w14:textId="77777777" w:rsidR="003C4F13"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Supplementary Figure 1:</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 xml:space="preserve">Tissue-specific expression profile of THAP9 gene across human tissues: </w:t>
      </w:r>
      <w:r>
        <w:rPr>
          <w:rFonts w:ascii="Times New Roman" w:eastAsia="Times New Roman" w:hAnsi="Times New Roman" w:cs="Times New Roman"/>
          <w:i/>
          <w:sz w:val="24"/>
          <w:szCs w:val="24"/>
        </w:rPr>
        <w:t xml:space="preserve">Violin plots displaying bulk tissue gene expression data for THAP9 (ENSG00000168152.13) showing transcripts per million (TPM) values across diverse human tissues from the </w:t>
      </w:r>
      <w:proofErr w:type="spellStart"/>
      <w:r>
        <w:rPr>
          <w:rFonts w:ascii="Times New Roman" w:eastAsia="Times New Roman" w:hAnsi="Times New Roman" w:cs="Times New Roman"/>
          <w:i/>
          <w:sz w:val="24"/>
          <w:szCs w:val="24"/>
        </w:rPr>
        <w:t>GTEx</w:t>
      </w:r>
      <w:proofErr w:type="spellEnd"/>
      <w:r>
        <w:rPr>
          <w:rFonts w:ascii="Times New Roman" w:eastAsia="Times New Roman" w:hAnsi="Times New Roman" w:cs="Times New Roman"/>
          <w:i/>
          <w:sz w:val="24"/>
          <w:szCs w:val="24"/>
        </w:rPr>
        <w:t xml:space="preserve"> (Genotype-Tissue Expression) portal. The width of each violin represents the density of samples at different expression levels, and black bars within violins indicate median expression values. Data obtained from the </w:t>
      </w:r>
      <w:proofErr w:type="spellStart"/>
      <w:r>
        <w:rPr>
          <w:rFonts w:ascii="Times New Roman" w:eastAsia="Times New Roman" w:hAnsi="Times New Roman" w:cs="Times New Roman"/>
          <w:i/>
          <w:sz w:val="24"/>
          <w:szCs w:val="24"/>
        </w:rPr>
        <w:t>GTEx</w:t>
      </w:r>
      <w:proofErr w:type="spellEnd"/>
      <w:r>
        <w:rPr>
          <w:rFonts w:ascii="Times New Roman" w:eastAsia="Times New Roman" w:hAnsi="Times New Roman" w:cs="Times New Roman"/>
          <w:i/>
          <w:sz w:val="24"/>
          <w:szCs w:val="24"/>
        </w:rPr>
        <w:t xml:space="preserve"> portal (</w:t>
      </w:r>
      <w:hyperlink r:id="rId9">
        <w:r w:rsidR="003C4F13">
          <w:rPr>
            <w:rFonts w:ascii="Times New Roman" w:eastAsia="Times New Roman" w:hAnsi="Times New Roman" w:cs="Times New Roman"/>
            <w:i/>
            <w:sz w:val="24"/>
            <w:szCs w:val="24"/>
            <w:u w:val="single"/>
          </w:rPr>
          <w:t>https://gtexportal.org/home/gene/THAP9</w:t>
        </w:r>
      </w:hyperlink>
      <w:r>
        <w:rPr>
          <w:rFonts w:ascii="Times New Roman" w:eastAsia="Times New Roman" w:hAnsi="Times New Roman" w:cs="Times New Roman"/>
          <w:i/>
          <w:sz w:val="24"/>
          <w:szCs w:val="24"/>
        </w:rPr>
        <w:t>)</w:t>
      </w:r>
    </w:p>
    <w:p w14:paraId="01D7E01B" w14:textId="77777777" w:rsidR="003C4F13" w:rsidRDefault="003C4F13">
      <w:pPr>
        <w:rPr>
          <w:rFonts w:ascii="Times New Roman" w:eastAsia="Times New Roman" w:hAnsi="Times New Roman" w:cs="Times New Roman"/>
          <w:sz w:val="24"/>
          <w:szCs w:val="24"/>
        </w:rPr>
      </w:pPr>
    </w:p>
    <w:p w14:paraId="51BD0BA7" w14:textId="77777777" w:rsidR="003C4F13"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lastRenderedPageBreak/>
        <w:drawing>
          <wp:inline distT="114300" distB="114300" distL="114300" distR="114300" wp14:anchorId="2DA14031" wp14:editId="1E28759D">
            <wp:extent cx="5943600" cy="32131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213100"/>
                    </a:xfrm>
                    <a:prstGeom prst="rect">
                      <a:avLst/>
                    </a:prstGeom>
                    <a:ln/>
                  </pic:spPr>
                </pic:pic>
              </a:graphicData>
            </a:graphic>
          </wp:inline>
        </w:drawing>
      </w:r>
      <w:r>
        <w:rPr>
          <w:rFonts w:ascii="Times New Roman" w:eastAsia="Times New Roman" w:hAnsi="Times New Roman" w:cs="Times New Roman"/>
          <w:b/>
          <w:i/>
          <w:sz w:val="24"/>
          <w:szCs w:val="24"/>
        </w:rPr>
        <w:t xml:space="preserve">Supplementary Figure 2: Single-cell RNA sequencing analysis reveals dataset integration, clustering, and developmental trajectory during spermatogenesis. (a) </w:t>
      </w:r>
      <w:r>
        <w:rPr>
          <w:rFonts w:ascii="Times New Roman" w:eastAsia="Times New Roman" w:hAnsi="Times New Roman" w:cs="Times New Roman"/>
          <w:i/>
          <w:sz w:val="24"/>
          <w:szCs w:val="24"/>
        </w:rPr>
        <w:t xml:space="preserve">UMAP </w:t>
      </w:r>
      <w:proofErr w:type="spellStart"/>
      <w:r>
        <w:rPr>
          <w:rFonts w:ascii="Times New Roman" w:eastAsia="Times New Roman" w:hAnsi="Times New Roman" w:cs="Times New Roman"/>
          <w:i/>
          <w:sz w:val="24"/>
          <w:szCs w:val="24"/>
        </w:rPr>
        <w:t>visualisation</w:t>
      </w:r>
      <w:proofErr w:type="spellEnd"/>
      <w:r>
        <w:rPr>
          <w:rFonts w:ascii="Times New Roman" w:eastAsia="Times New Roman" w:hAnsi="Times New Roman" w:cs="Times New Roman"/>
          <w:i/>
          <w:sz w:val="24"/>
          <w:szCs w:val="24"/>
        </w:rPr>
        <w:t xml:space="preserve"> showing the integration of different spermatogenesis datasets, with each dataset colored separately. Cell numbers for each dataset are indicated below </w:t>
      </w:r>
      <w:r>
        <w:rPr>
          <w:rFonts w:ascii="Times New Roman" w:eastAsia="Times New Roman" w:hAnsi="Times New Roman" w:cs="Times New Roman"/>
          <w:b/>
          <w:i/>
          <w:sz w:val="24"/>
          <w:szCs w:val="24"/>
        </w:rPr>
        <w:t xml:space="preserve">(b) </w:t>
      </w:r>
      <w:r>
        <w:rPr>
          <w:rFonts w:ascii="Times New Roman" w:eastAsia="Times New Roman" w:hAnsi="Times New Roman" w:cs="Times New Roman"/>
          <w:i/>
          <w:sz w:val="24"/>
          <w:szCs w:val="24"/>
        </w:rPr>
        <w:t xml:space="preserve">UMAP plot displaying 16 distinct cell clusters (0-15) identified through unsupervised clustering of the integrated dataset, with the number of cells in each cluster listed below </w:t>
      </w:r>
      <w:r>
        <w:rPr>
          <w:rFonts w:ascii="Times New Roman" w:eastAsia="Times New Roman" w:hAnsi="Times New Roman" w:cs="Times New Roman"/>
          <w:b/>
          <w:i/>
          <w:sz w:val="24"/>
          <w:szCs w:val="24"/>
        </w:rPr>
        <w:t xml:space="preserve">(c) </w:t>
      </w:r>
      <w:proofErr w:type="spellStart"/>
      <w:r>
        <w:rPr>
          <w:rFonts w:ascii="Times New Roman" w:eastAsia="Times New Roman" w:hAnsi="Times New Roman" w:cs="Times New Roman"/>
          <w:i/>
          <w:sz w:val="24"/>
          <w:szCs w:val="24"/>
        </w:rPr>
        <w:t>Pseudotime</w:t>
      </w:r>
      <w:proofErr w:type="spellEnd"/>
      <w:r>
        <w:rPr>
          <w:rFonts w:ascii="Times New Roman" w:eastAsia="Times New Roman" w:hAnsi="Times New Roman" w:cs="Times New Roman"/>
          <w:i/>
          <w:sz w:val="24"/>
          <w:szCs w:val="24"/>
        </w:rPr>
        <w:t xml:space="preserve"> analysis using trajectory inference to reconstruct the developmental progression during spermatogenesis. Left panel shows the inferred trajectory path overlaid on cell populations, while the right panel displays the same trajectory colored by </w:t>
      </w:r>
      <w:proofErr w:type="spellStart"/>
      <w:r>
        <w:rPr>
          <w:rFonts w:ascii="Times New Roman" w:eastAsia="Times New Roman" w:hAnsi="Times New Roman" w:cs="Times New Roman"/>
          <w:i/>
          <w:sz w:val="24"/>
          <w:szCs w:val="24"/>
        </w:rPr>
        <w:t>pseudotime</w:t>
      </w:r>
      <w:proofErr w:type="spellEnd"/>
      <w:r>
        <w:rPr>
          <w:rFonts w:ascii="Times New Roman" w:eastAsia="Times New Roman" w:hAnsi="Times New Roman" w:cs="Times New Roman"/>
          <w:i/>
          <w:sz w:val="24"/>
          <w:szCs w:val="24"/>
        </w:rPr>
        <w:t xml:space="preserve"> values, indicating the temporal ordering of developmental stages </w:t>
      </w:r>
      <w:r>
        <w:rPr>
          <w:rFonts w:ascii="Times New Roman" w:eastAsia="Times New Roman" w:hAnsi="Times New Roman" w:cs="Times New Roman"/>
          <w:b/>
          <w:i/>
          <w:sz w:val="24"/>
          <w:szCs w:val="24"/>
        </w:rPr>
        <w:t xml:space="preserve">(d) </w:t>
      </w:r>
      <w:r>
        <w:rPr>
          <w:rFonts w:ascii="Times New Roman" w:eastAsia="Times New Roman" w:hAnsi="Times New Roman" w:cs="Times New Roman"/>
          <w:i/>
          <w:sz w:val="24"/>
          <w:szCs w:val="24"/>
        </w:rPr>
        <w:t xml:space="preserve">Hierarchical ordering of cell stages along the developmental trajectory, showing the sequential progression from undifferentiated </w:t>
      </w:r>
      <w:proofErr w:type="spellStart"/>
      <w:r>
        <w:rPr>
          <w:rFonts w:ascii="Times New Roman" w:eastAsia="Times New Roman" w:hAnsi="Times New Roman" w:cs="Times New Roman"/>
          <w:i/>
          <w:sz w:val="24"/>
          <w:szCs w:val="24"/>
        </w:rPr>
        <w:t>spermatogonial</w:t>
      </w:r>
      <w:proofErr w:type="spellEnd"/>
      <w:r>
        <w:rPr>
          <w:rFonts w:ascii="Times New Roman" w:eastAsia="Times New Roman" w:hAnsi="Times New Roman" w:cs="Times New Roman"/>
          <w:i/>
          <w:sz w:val="24"/>
          <w:szCs w:val="24"/>
        </w:rPr>
        <w:t xml:space="preserve"> populations through various differentiated stages including spermatocytes, round spermatids, and elongated spermatids, as determined by </w:t>
      </w:r>
      <w:proofErr w:type="spellStart"/>
      <w:r>
        <w:rPr>
          <w:rFonts w:ascii="Times New Roman" w:eastAsia="Times New Roman" w:hAnsi="Times New Roman" w:cs="Times New Roman"/>
          <w:i/>
          <w:sz w:val="24"/>
          <w:szCs w:val="24"/>
        </w:rPr>
        <w:t>pseudotime</w:t>
      </w:r>
      <w:proofErr w:type="spellEnd"/>
      <w:r>
        <w:rPr>
          <w:rFonts w:ascii="Times New Roman" w:eastAsia="Times New Roman" w:hAnsi="Times New Roman" w:cs="Times New Roman"/>
          <w:i/>
          <w:sz w:val="24"/>
          <w:szCs w:val="24"/>
        </w:rPr>
        <w:t xml:space="preserve"> analysis.</w:t>
      </w:r>
    </w:p>
    <w:p w14:paraId="5C74E713" w14:textId="77777777" w:rsidR="003C4F13" w:rsidRDefault="003C4F13">
      <w:pPr>
        <w:spacing w:line="240" w:lineRule="auto"/>
        <w:jc w:val="both"/>
        <w:rPr>
          <w:rFonts w:ascii="Times New Roman" w:eastAsia="Times New Roman" w:hAnsi="Times New Roman" w:cs="Times New Roman"/>
          <w:i/>
          <w:sz w:val="24"/>
          <w:szCs w:val="24"/>
        </w:rPr>
      </w:pPr>
    </w:p>
    <w:p w14:paraId="0BD1B9D8" w14:textId="77777777" w:rsidR="003C4F13"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lastRenderedPageBreak/>
        <w:drawing>
          <wp:inline distT="114300" distB="114300" distL="114300" distR="114300" wp14:anchorId="1134CB66" wp14:editId="316BC6D9">
            <wp:extent cx="5943600" cy="5676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5676900"/>
                    </a:xfrm>
                    <a:prstGeom prst="rect">
                      <a:avLst/>
                    </a:prstGeom>
                    <a:ln/>
                  </pic:spPr>
                </pic:pic>
              </a:graphicData>
            </a:graphic>
          </wp:inline>
        </w:drawing>
      </w:r>
    </w:p>
    <w:p w14:paraId="1F707432" w14:textId="07954869" w:rsidR="003C4F13" w:rsidRDefault="00000000" w:rsidP="00BF7400">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sz w:val="24"/>
          <w:szCs w:val="24"/>
        </w:rPr>
        <w:t xml:space="preserve">Supplementary Figure 3: Differential expression analysis of THAP9 across various human testicular and spermatogenic conditions. </w:t>
      </w:r>
      <w:r>
        <w:rPr>
          <w:rFonts w:ascii="Times New Roman" w:eastAsia="Times New Roman" w:hAnsi="Times New Roman" w:cs="Times New Roman"/>
          <w:i/>
          <w:sz w:val="24"/>
          <w:szCs w:val="24"/>
        </w:rPr>
        <w:t>Panels show THAP9 transcript levels across multiple independent human testicular and sperm datasets, comparing normal tissue/cell types to those diagnosed with impaired spermatogenesis.</w:t>
      </w:r>
      <w:r>
        <w:rPr>
          <w:rFonts w:ascii="Times New Roman" w:eastAsia="Times New Roman" w:hAnsi="Times New Roman" w:cs="Times New Roman"/>
          <w:b/>
          <w:i/>
          <w:sz w:val="24"/>
          <w:szCs w:val="24"/>
        </w:rPr>
        <w:t xml:space="preserve"> (a) </w:t>
      </w:r>
      <w:r>
        <w:rPr>
          <w:rFonts w:ascii="Times New Roman" w:eastAsia="Times New Roman" w:hAnsi="Times New Roman" w:cs="Times New Roman"/>
          <w:i/>
          <w:sz w:val="24"/>
          <w:szCs w:val="24"/>
        </w:rPr>
        <w:t>Comparison of THAP9 expression across testicular samples representing different karyotypes and developmental stages. The study included 22 total samples comprising adult Klinefelter samples (</w:t>
      </w:r>
      <w:proofErr w:type="spellStart"/>
      <w:r>
        <w:rPr>
          <w:rFonts w:ascii="Times New Roman" w:eastAsia="Times New Roman" w:hAnsi="Times New Roman" w:cs="Times New Roman"/>
          <w:i/>
          <w:sz w:val="24"/>
          <w:szCs w:val="24"/>
        </w:rPr>
        <w:t>aKS</w:t>
      </w:r>
      <w:proofErr w:type="spellEnd"/>
      <w:r>
        <w:rPr>
          <w:rFonts w:ascii="Times New Roman" w:eastAsia="Times New Roman" w:hAnsi="Times New Roman" w:cs="Times New Roman"/>
          <w:i/>
          <w:sz w:val="24"/>
          <w:szCs w:val="24"/>
        </w:rPr>
        <w:t>, 47, XXY), Klinefelter-like samples (</w:t>
      </w:r>
      <w:proofErr w:type="spellStart"/>
      <w:r>
        <w:rPr>
          <w:rFonts w:ascii="Times New Roman" w:eastAsia="Times New Roman" w:hAnsi="Times New Roman" w:cs="Times New Roman"/>
          <w:i/>
          <w:sz w:val="24"/>
          <w:szCs w:val="24"/>
        </w:rPr>
        <w:t>aKSL</w:t>
      </w:r>
      <w:proofErr w:type="spellEnd"/>
      <w:r>
        <w:rPr>
          <w:rFonts w:ascii="Times New Roman" w:eastAsia="Times New Roman" w:hAnsi="Times New Roman" w:cs="Times New Roman"/>
          <w:i/>
          <w:sz w:val="24"/>
          <w:szCs w:val="24"/>
        </w:rPr>
        <w:t>, 47, XY), Sertoli cell samples (</w:t>
      </w:r>
      <w:proofErr w:type="spellStart"/>
      <w:r>
        <w:rPr>
          <w:rFonts w:ascii="Times New Roman" w:eastAsia="Times New Roman" w:hAnsi="Times New Roman" w:cs="Times New Roman"/>
          <w:i/>
          <w:sz w:val="24"/>
          <w:szCs w:val="24"/>
        </w:rPr>
        <w:t>aSCO</w:t>
      </w:r>
      <w:proofErr w:type="spellEnd"/>
      <w:r>
        <w:rPr>
          <w:rFonts w:ascii="Times New Roman" w:eastAsia="Times New Roman" w:hAnsi="Times New Roman" w:cs="Times New Roman"/>
          <w:i/>
          <w:sz w:val="24"/>
          <w:szCs w:val="24"/>
        </w:rPr>
        <w:t>, 47, XY), pre-pubertal Klinefelter samples (</w:t>
      </w:r>
      <w:proofErr w:type="spellStart"/>
      <w:r>
        <w:rPr>
          <w:rFonts w:ascii="Times New Roman" w:eastAsia="Times New Roman" w:hAnsi="Times New Roman" w:cs="Times New Roman"/>
          <w:i/>
          <w:sz w:val="24"/>
          <w:szCs w:val="24"/>
        </w:rPr>
        <w:t>ppKS</w:t>
      </w:r>
      <w:proofErr w:type="spellEnd"/>
      <w:r>
        <w:rPr>
          <w:rFonts w:ascii="Times New Roman" w:eastAsia="Times New Roman" w:hAnsi="Times New Roman" w:cs="Times New Roman"/>
          <w:i/>
          <w:sz w:val="24"/>
          <w:szCs w:val="24"/>
        </w:rPr>
        <w:t>, karyotype unknown), and pre-pubertal control samples (</w:t>
      </w:r>
      <w:proofErr w:type="spellStart"/>
      <w:r>
        <w:rPr>
          <w:rFonts w:ascii="Times New Roman" w:eastAsia="Times New Roman" w:hAnsi="Times New Roman" w:cs="Times New Roman"/>
          <w:i/>
          <w:sz w:val="24"/>
          <w:szCs w:val="24"/>
        </w:rPr>
        <w:t>ppNorm</w:t>
      </w:r>
      <w:proofErr w:type="spellEnd"/>
      <w:r>
        <w:rPr>
          <w:rFonts w:ascii="Times New Roman" w:eastAsia="Times New Roman" w:hAnsi="Times New Roman" w:cs="Times New Roman"/>
          <w:i/>
          <w:sz w:val="24"/>
          <w:szCs w:val="24"/>
        </w:rPr>
        <w:t xml:space="preserve">, karyotype unknown) (GSE103905; </w:t>
      </w:r>
      <w:hyperlink r:id="rId12">
        <w:r w:rsidR="003C4F13">
          <w:rPr>
            <w:rFonts w:ascii="Times New Roman" w:eastAsia="Times New Roman" w:hAnsi="Times New Roman" w:cs="Times New Roman"/>
            <w:i/>
            <w:color w:val="000000"/>
            <w:sz w:val="24"/>
            <w:szCs w:val="24"/>
          </w:rPr>
          <w:t>[33]</w:t>
        </w:r>
      </w:hyperlink>
      <w:r>
        <w:rPr>
          <w:rFonts w:ascii="Times New Roman" w:eastAsia="Times New Roman" w:hAnsi="Times New Roman" w:cs="Times New Roman"/>
          <w:i/>
          <w:sz w:val="24"/>
          <w:szCs w:val="24"/>
        </w:rPr>
        <w:t xml:space="preserve">). Bars represent Log2 fold change relative to adult Klinefelter samples; significance indicated for adjusted </w:t>
      </w:r>
      <w:proofErr w:type="spellStart"/>
      <w:r>
        <w:rPr>
          <w:rFonts w:ascii="Times New Roman" w:eastAsia="Times New Roman" w:hAnsi="Times New Roman" w:cs="Times New Roman"/>
          <w:i/>
          <w:sz w:val="24"/>
          <w:szCs w:val="24"/>
        </w:rPr>
        <w:t>padj</w:t>
      </w:r>
      <w:proofErr w:type="spellEnd"/>
      <w:r>
        <w:rPr>
          <w:rFonts w:ascii="Times New Roman" w:eastAsia="Times New Roman" w:hAnsi="Times New Roman" w:cs="Times New Roman"/>
          <w:i/>
          <w:sz w:val="24"/>
          <w:szCs w:val="24"/>
        </w:rPr>
        <w:t xml:space="preserve"> &lt; 0.1. </w:t>
      </w:r>
      <w:r>
        <w:rPr>
          <w:rFonts w:ascii="Times New Roman" w:eastAsia="Times New Roman" w:hAnsi="Times New Roman" w:cs="Times New Roman"/>
          <w:b/>
          <w:i/>
          <w:sz w:val="24"/>
          <w:szCs w:val="24"/>
        </w:rPr>
        <w:t xml:space="preserve">(b) </w:t>
      </w:r>
      <w:r>
        <w:rPr>
          <w:rFonts w:ascii="Times New Roman" w:eastAsia="Times New Roman" w:hAnsi="Times New Roman" w:cs="Times New Roman"/>
          <w:i/>
          <w:sz w:val="24"/>
          <w:szCs w:val="24"/>
        </w:rPr>
        <w:t>THAP9 expression levels in patients with non-obstructive azoospermia (NOA) arrested at the spermatocyte (SP_NOA) or round spermatid (</w:t>
      </w:r>
      <w:proofErr w:type="spellStart"/>
      <w:r>
        <w:rPr>
          <w:rFonts w:ascii="Times New Roman" w:eastAsia="Times New Roman" w:hAnsi="Times New Roman" w:cs="Times New Roman"/>
          <w:i/>
          <w:sz w:val="24"/>
          <w:szCs w:val="24"/>
        </w:rPr>
        <w:t>rST_NOA</w:t>
      </w:r>
      <w:proofErr w:type="spellEnd"/>
      <w:r>
        <w:rPr>
          <w:rFonts w:ascii="Times New Roman" w:eastAsia="Times New Roman" w:hAnsi="Times New Roman" w:cs="Times New Roman"/>
          <w:i/>
          <w:sz w:val="24"/>
          <w:szCs w:val="24"/>
        </w:rPr>
        <w:t>) stage, and in obstructive azoospermia (OA) with normal spermatogenesis (GSE238078;</w:t>
      </w:r>
      <w:hyperlink r:id="rId13">
        <w:r w:rsidR="003C4F13">
          <w:rPr>
            <w:rFonts w:ascii="Times New Roman" w:eastAsia="Times New Roman" w:hAnsi="Times New Roman" w:cs="Times New Roman"/>
            <w:i/>
            <w:color w:val="000000"/>
            <w:sz w:val="24"/>
            <w:szCs w:val="24"/>
          </w:rPr>
          <w:t>[34]</w:t>
        </w:r>
      </w:hyperlink>
      <w:r>
        <w:rPr>
          <w:rFonts w:ascii="Times New Roman" w:eastAsia="Times New Roman" w:hAnsi="Times New Roman" w:cs="Times New Roman"/>
          <w:i/>
          <w:sz w:val="24"/>
          <w:szCs w:val="24"/>
        </w:rPr>
        <w:t xml:space="preserve">). Box plots show </w:t>
      </w:r>
      <w:proofErr w:type="spellStart"/>
      <w:r>
        <w:rPr>
          <w:rFonts w:ascii="Times New Roman" w:eastAsia="Times New Roman" w:hAnsi="Times New Roman" w:cs="Times New Roman"/>
          <w:i/>
          <w:sz w:val="24"/>
          <w:szCs w:val="24"/>
        </w:rPr>
        <w:t>normalised</w:t>
      </w:r>
      <w:proofErr w:type="spellEnd"/>
      <w:r>
        <w:rPr>
          <w:rFonts w:ascii="Times New Roman" w:eastAsia="Times New Roman" w:hAnsi="Times New Roman" w:cs="Times New Roman"/>
          <w:i/>
          <w:sz w:val="24"/>
          <w:szCs w:val="24"/>
        </w:rPr>
        <w:t xml:space="preserve"> expression values; THAP9 expression is markedly reduced in SP_NOA relative to </w:t>
      </w:r>
      <w:proofErr w:type="spellStart"/>
      <w:r>
        <w:rPr>
          <w:rFonts w:ascii="Times New Roman" w:eastAsia="Times New Roman" w:hAnsi="Times New Roman" w:cs="Times New Roman"/>
          <w:i/>
          <w:sz w:val="24"/>
          <w:szCs w:val="24"/>
        </w:rPr>
        <w:t>rST_NOA</w:t>
      </w:r>
      <w:proofErr w:type="spellEnd"/>
      <w:r>
        <w:rPr>
          <w:rFonts w:ascii="Times New Roman" w:eastAsia="Times New Roman" w:hAnsi="Times New Roman" w:cs="Times New Roman"/>
          <w:i/>
          <w:sz w:val="24"/>
          <w:szCs w:val="24"/>
        </w:rPr>
        <w:t xml:space="preserve"> and OA samples (log2FC and adjusted p-values indicated). </w:t>
      </w:r>
      <w:r>
        <w:rPr>
          <w:rFonts w:ascii="Times New Roman" w:eastAsia="Times New Roman" w:hAnsi="Times New Roman" w:cs="Times New Roman"/>
          <w:b/>
          <w:i/>
          <w:sz w:val="24"/>
          <w:szCs w:val="24"/>
        </w:rPr>
        <w:t xml:space="preserve">(c) </w:t>
      </w:r>
      <w:r>
        <w:rPr>
          <w:rFonts w:ascii="Times New Roman" w:eastAsia="Times New Roman" w:hAnsi="Times New Roman" w:cs="Times New Roman"/>
          <w:i/>
          <w:sz w:val="24"/>
          <w:szCs w:val="24"/>
        </w:rPr>
        <w:t xml:space="preserve">Expression of THAP9 in </w:t>
      </w:r>
      <w:proofErr w:type="spellStart"/>
      <w:r>
        <w:rPr>
          <w:rFonts w:ascii="Times New Roman" w:eastAsia="Times New Roman" w:hAnsi="Times New Roman" w:cs="Times New Roman"/>
          <w:i/>
          <w:sz w:val="24"/>
          <w:szCs w:val="24"/>
        </w:rPr>
        <w:lastRenderedPageBreak/>
        <w:t>asthenozoospermic</w:t>
      </w:r>
      <w:proofErr w:type="spellEnd"/>
      <w:r>
        <w:rPr>
          <w:rFonts w:ascii="Times New Roman" w:eastAsia="Times New Roman" w:hAnsi="Times New Roman" w:cs="Times New Roman"/>
          <w:i/>
          <w:sz w:val="24"/>
          <w:szCs w:val="24"/>
        </w:rPr>
        <w:t xml:space="preserve"> sperm (ATNZ), control sperm, and testis tissue samples (GSE92578; </w:t>
      </w:r>
      <w:hyperlink r:id="rId14">
        <w:r w:rsidR="003C4F13">
          <w:rPr>
            <w:rFonts w:ascii="Times New Roman" w:eastAsia="Times New Roman" w:hAnsi="Times New Roman" w:cs="Times New Roman"/>
            <w:i/>
            <w:color w:val="000000"/>
            <w:sz w:val="24"/>
            <w:szCs w:val="24"/>
          </w:rPr>
          <w:t>[35]</w:t>
        </w:r>
      </w:hyperlink>
      <w:r>
        <w:rPr>
          <w:rFonts w:ascii="Times New Roman" w:eastAsia="Times New Roman" w:hAnsi="Times New Roman" w:cs="Times New Roman"/>
          <w:i/>
          <w:sz w:val="24"/>
          <w:szCs w:val="24"/>
        </w:rPr>
        <w:t xml:space="preserve">). Box plots indicate </w:t>
      </w:r>
      <w:proofErr w:type="spellStart"/>
      <w:r>
        <w:rPr>
          <w:rFonts w:ascii="Times New Roman" w:eastAsia="Times New Roman" w:hAnsi="Times New Roman" w:cs="Times New Roman"/>
          <w:i/>
          <w:sz w:val="24"/>
          <w:szCs w:val="24"/>
        </w:rPr>
        <w:t>normalised</w:t>
      </w:r>
      <w:proofErr w:type="spellEnd"/>
      <w:r>
        <w:rPr>
          <w:rFonts w:ascii="Times New Roman" w:eastAsia="Times New Roman" w:hAnsi="Times New Roman" w:cs="Times New Roman"/>
          <w:i/>
          <w:sz w:val="24"/>
          <w:szCs w:val="24"/>
        </w:rPr>
        <w:t xml:space="preserve"> expression values (log2FC and adjusted p-values shown). </w:t>
      </w:r>
      <w:r>
        <w:rPr>
          <w:rFonts w:ascii="Times New Roman" w:eastAsia="Times New Roman" w:hAnsi="Times New Roman" w:cs="Times New Roman"/>
          <w:b/>
          <w:i/>
          <w:sz w:val="24"/>
          <w:szCs w:val="24"/>
        </w:rPr>
        <w:t xml:space="preserve">(d) </w:t>
      </w:r>
      <w:r>
        <w:rPr>
          <w:rFonts w:ascii="Times New Roman" w:eastAsia="Times New Roman" w:hAnsi="Times New Roman" w:cs="Times New Roman"/>
          <w:i/>
          <w:sz w:val="24"/>
          <w:szCs w:val="24"/>
        </w:rPr>
        <w:t xml:space="preserve">Testicular biopsies from secondary idiopathic non-obstructive azoospermia (NOA) and obstructive azoospermia (OA) were taken as controls (GSE190752; </w:t>
      </w:r>
      <w:hyperlink r:id="rId15">
        <w:r w:rsidR="003C4F13">
          <w:rPr>
            <w:rFonts w:ascii="Times New Roman" w:eastAsia="Times New Roman" w:hAnsi="Times New Roman" w:cs="Times New Roman"/>
            <w:i/>
            <w:color w:val="000000"/>
            <w:sz w:val="24"/>
            <w:szCs w:val="24"/>
          </w:rPr>
          <w:t>[36]</w:t>
        </w:r>
      </w:hyperlink>
      <w:r>
        <w:rPr>
          <w:rFonts w:ascii="Times New Roman" w:eastAsia="Times New Roman" w:hAnsi="Times New Roman" w:cs="Times New Roman"/>
          <w:i/>
          <w:sz w:val="24"/>
          <w:szCs w:val="24"/>
        </w:rPr>
        <w:t xml:space="preserve">). </w:t>
      </w:r>
    </w:p>
    <w:p w14:paraId="38266693" w14:textId="77777777" w:rsidR="003C4F13" w:rsidRDefault="003C4F13">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sectPr w:rsidR="003C4F13" w:rsidSect="004642A8">
      <w:headerReference w:type="default" r:id="rId16"/>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0FCE4" w14:textId="77777777" w:rsidR="00183B8B" w:rsidRDefault="00183B8B">
      <w:pPr>
        <w:spacing w:line="240" w:lineRule="auto"/>
      </w:pPr>
      <w:r>
        <w:separator/>
      </w:r>
    </w:p>
  </w:endnote>
  <w:endnote w:type="continuationSeparator" w:id="0">
    <w:p w14:paraId="0D582873" w14:textId="77777777" w:rsidR="00183B8B" w:rsidRDefault="00183B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246548-5038-40A2-BC38-477B2860E7F2}"/>
  </w:font>
  <w:font w:name="Cambria">
    <w:panose1 w:val="02040503050406030204"/>
    <w:charset w:val="00"/>
    <w:family w:val="roman"/>
    <w:pitch w:val="variable"/>
    <w:sig w:usb0="E00006FF" w:usb1="420024FF" w:usb2="02000000" w:usb3="00000000" w:csb0="0000019F" w:csb1="00000000"/>
    <w:embedRegular r:id="rId2" w:fontKey="{81082611-0759-4187-92BE-B819B6B7F9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ED04D" w14:textId="77777777" w:rsidR="00183B8B" w:rsidRDefault="00183B8B">
      <w:pPr>
        <w:spacing w:line="240" w:lineRule="auto"/>
      </w:pPr>
      <w:r>
        <w:separator/>
      </w:r>
    </w:p>
  </w:footnote>
  <w:footnote w:type="continuationSeparator" w:id="0">
    <w:p w14:paraId="61AB9700" w14:textId="77777777" w:rsidR="00183B8B" w:rsidRDefault="00183B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C546" w14:textId="77777777" w:rsidR="003C4F13" w:rsidRDefault="00000000">
    <w:pPr>
      <w:jc w:val="right"/>
    </w:pPr>
    <w:r>
      <w:fldChar w:fldCharType="begin"/>
    </w:r>
    <w:r>
      <w:instrText>PAGE</w:instrText>
    </w:r>
    <w:r>
      <w:fldChar w:fldCharType="separate"/>
    </w:r>
    <w:r w:rsidR="00A0785D">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F13"/>
    <w:rsid w:val="00146E69"/>
    <w:rsid w:val="00183B8B"/>
    <w:rsid w:val="002554ED"/>
    <w:rsid w:val="003C4F13"/>
    <w:rsid w:val="004624AF"/>
    <w:rsid w:val="004642A8"/>
    <w:rsid w:val="005211A4"/>
    <w:rsid w:val="00697883"/>
    <w:rsid w:val="006A4A32"/>
    <w:rsid w:val="00757EC6"/>
    <w:rsid w:val="0097213E"/>
    <w:rsid w:val="009D1457"/>
    <w:rsid w:val="00A0785D"/>
    <w:rsid w:val="00BF7400"/>
    <w:rsid w:val="00D34DAA"/>
    <w:rsid w:val="00D4420B"/>
    <w:rsid w:val="00DC668D"/>
    <w:rsid w:val="00E444AE"/>
    <w:rsid w:val="00FF7B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2BFD2"/>
  <w15:docId w15:val="{97829AB3-97D2-40E6-B04F-DBAAC1E56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A07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perpile.com/c/BU7l6x/AxB06"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harmistham@iitgn.ac.in" TargetMode="External"/><Relationship Id="rId12" Type="http://schemas.openxmlformats.org/officeDocument/2006/relationships/hyperlink" Target="https://paperpile.com/c/BU7l6x/xO1Z"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bhardwajtanuja@iitgn.ac.in"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yperlink" Target="https://paperpile.com/c/BU7l6x/QVPdA" TargetMode="Externa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gtexportal.org/home/gene/THAP9" TargetMode="External"/><Relationship Id="rId14" Type="http://schemas.openxmlformats.org/officeDocument/2006/relationships/hyperlink" Target="https://paperpile.com/c/BU7l6x/rwuD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607</Words>
  <Characters>3463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Sharmistha Majumdar</dc:creator>
  <cp:lastModifiedBy>Sharmistha Majumdar</cp:lastModifiedBy>
  <cp:revision>3</cp:revision>
  <cp:lastPrinted>2025-11-20T08:28:00Z</cp:lastPrinted>
  <dcterms:created xsi:type="dcterms:W3CDTF">2025-12-22T19:46:00Z</dcterms:created>
  <dcterms:modified xsi:type="dcterms:W3CDTF">2025-12-22T19:46:00Z</dcterms:modified>
</cp:coreProperties>
</file>