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0CA9EB" w14:textId="77777777" w:rsidR="00CB0EBE" w:rsidRPr="00263206" w:rsidRDefault="00CB0EBE" w:rsidP="00CB0EBE">
      <w:pPr>
        <w:widowControl/>
        <w:spacing w:line="300" w:lineRule="auto"/>
        <w:jc w:val="center"/>
        <w:rPr>
          <w:rFonts w:eastAsia="宋体"/>
          <w:bCs/>
          <w:kern w:val="0"/>
          <w:sz w:val="32"/>
          <w:szCs w:val="32"/>
        </w:rPr>
      </w:pPr>
      <w:r w:rsidRPr="00263206">
        <w:rPr>
          <w:rFonts w:eastAsia="宋体"/>
          <w:bCs/>
          <w:kern w:val="0"/>
          <w:sz w:val="32"/>
          <w:szCs w:val="32"/>
        </w:rPr>
        <w:t>Supporting information</w:t>
      </w:r>
    </w:p>
    <w:p w14:paraId="55DF90F5" w14:textId="77777777" w:rsidR="00CB0EBE" w:rsidRPr="00263206" w:rsidRDefault="00CB0EBE" w:rsidP="00CB0EBE">
      <w:pPr>
        <w:widowControl/>
        <w:spacing w:line="300" w:lineRule="auto"/>
        <w:rPr>
          <w:rFonts w:eastAsia="宋体"/>
          <w:bCs/>
          <w:sz w:val="32"/>
          <w:szCs w:val="32"/>
        </w:rPr>
      </w:pPr>
      <w:bookmarkStart w:id="0" w:name="_Hlk145414446"/>
      <w:r w:rsidRPr="00263206">
        <w:rPr>
          <w:rFonts w:eastAsia="宋体"/>
          <w:bCs/>
          <w:sz w:val="32"/>
          <w:szCs w:val="32"/>
        </w:rPr>
        <w:t>Repurposing watermelon aerial parts to provide D-sorbitol for plant-specific growth</w:t>
      </w:r>
    </w:p>
    <w:p w14:paraId="7CC8F91E" w14:textId="77777777" w:rsidR="00CB0EBE" w:rsidRPr="00263206" w:rsidRDefault="00CB0EBE" w:rsidP="00CB0EBE">
      <w:pPr>
        <w:spacing w:line="300" w:lineRule="auto"/>
        <w:rPr>
          <w:rFonts w:eastAsia="宋体"/>
          <w:i/>
          <w:iCs/>
          <w:sz w:val="24"/>
          <w:szCs w:val="24"/>
        </w:rPr>
      </w:pPr>
      <w:bookmarkStart w:id="1" w:name="_Hlk185912617"/>
      <w:bookmarkEnd w:id="0"/>
      <w:r w:rsidRPr="00263206">
        <w:rPr>
          <w:rFonts w:eastAsia="宋体"/>
          <w:i/>
          <w:iCs/>
          <w:sz w:val="24"/>
          <w:szCs w:val="24"/>
        </w:rPr>
        <w:t>Xiaoyang Wan</w:t>
      </w:r>
      <w:r w:rsidRPr="00263206">
        <w:rPr>
          <w:rFonts w:eastAsia="宋体"/>
          <w:i/>
          <w:iCs/>
          <w:sz w:val="24"/>
          <w:szCs w:val="24"/>
          <w:vertAlign w:val="superscript"/>
        </w:rPr>
        <w:t>2</w:t>
      </w:r>
      <w:r w:rsidRPr="00263206">
        <w:rPr>
          <w:rFonts w:eastAsia="宋体" w:hint="eastAsia"/>
          <w:i/>
          <w:iCs/>
          <w:sz w:val="24"/>
          <w:szCs w:val="24"/>
          <w:vertAlign w:val="superscript"/>
        </w:rPr>
        <w:t>,11,12</w:t>
      </w:r>
      <w:r w:rsidRPr="00263206">
        <w:rPr>
          <w:rFonts w:eastAsia="宋体"/>
          <w:i/>
          <w:iCs/>
          <w:sz w:val="24"/>
          <w:szCs w:val="24"/>
        </w:rPr>
        <w:t>*, Huixian Cheng</w:t>
      </w:r>
      <w:r w:rsidRPr="00263206">
        <w:rPr>
          <w:rFonts w:eastAsia="宋体"/>
          <w:i/>
          <w:iCs/>
          <w:sz w:val="24"/>
          <w:szCs w:val="24"/>
          <w:vertAlign w:val="superscript"/>
        </w:rPr>
        <w:t>4</w:t>
      </w:r>
      <w:r w:rsidRPr="00263206">
        <w:rPr>
          <w:rFonts w:eastAsia="宋体" w:hint="eastAsia"/>
          <w:i/>
          <w:iCs/>
          <w:sz w:val="24"/>
          <w:szCs w:val="24"/>
          <w:vertAlign w:val="superscript"/>
        </w:rPr>
        <w:t>,11</w:t>
      </w:r>
      <w:r w:rsidRPr="00263206">
        <w:rPr>
          <w:rFonts w:eastAsia="宋体"/>
          <w:i/>
          <w:iCs/>
          <w:sz w:val="24"/>
          <w:szCs w:val="24"/>
        </w:rPr>
        <w:t>, Jiefei Niu</w:t>
      </w:r>
      <w:r w:rsidRPr="00263206">
        <w:rPr>
          <w:rFonts w:eastAsia="宋体"/>
          <w:i/>
          <w:iCs/>
          <w:sz w:val="24"/>
          <w:szCs w:val="24"/>
          <w:vertAlign w:val="superscript"/>
        </w:rPr>
        <w:t>5,6,7</w:t>
      </w:r>
      <w:r w:rsidRPr="00263206">
        <w:rPr>
          <w:rFonts w:eastAsia="宋体" w:hint="eastAsia"/>
          <w:i/>
          <w:iCs/>
          <w:sz w:val="24"/>
          <w:szCs w:val="24"/>
          <w:vertAlign w:val="superscript"/>
        </w:rPr>
        <w:t>,11</w:t>
      </w:r>
      <w:r w:rsidRPr="00263206">
        <w:rPr>
          <w:rFonts w:eastAsia="宋体"/>
          <w:i/>
          <w:iCs/>
          <w:sz w:val="24"/>
          <w:szCs w:val="24"/>
        </w:rPr>
        <w:t>, Shufang Wang</w:t>
      </w:r>
      <w:r w:rsidRPr="00263206">
        <w:rPr>
          <w:rFonts w:eastAsia="宋体"/>
          <w:i/>
          <w:iCs/>
          <w:sz w:val="24"/>
          <w:szCs w:val="24"/>
          <w:vertAlign w:val="superscript"/>
        </w:rPr>
        <w:t>8</w:t>
      </w:r>
      <w:r w:rsidRPr="00263206">
        <w:rPr>
          <w:rFonts w:eastAsia="宋体"/>
          <w:i/>
          <w:iCs/>
          <w:sz w:val="24"/>
          <w:szCs w:val="24"/>
        </w:rPr>
        <w:t>, Lanxin Li</w:t>
      </w:r>
      <w:r w:rsidRPr="00263206">
        <w:rPr>
          <w:rFonts w:eastAsia="宋体"/>
          <w:i/>
          <w:iCs/>
          <w:sz w:val="24"/>
          <w:szCs w:val="24"/>
          <w:vertAlign w:val="superscript"/>
        </w:rPr>
        <w:t>9,10</w:t>
      </w:r>
      <w:r w:rsidRPr="00263206">
        <w:rPr>
          <w:rFonts w:eastAsia="宋体"/>
          <w:i/>
          <w:iCs/>
          <w:sz w:val="24"/>
          <w:szCs w:val="24"/>
        </w:rPr>
        <w:t xml:space="preserve">, </w:t>
      </w:r>
      <w:bookmarkStart w:id="2" w:name="OLE_LINK127"/>
      <w:r w:rsidRPr="00263206">
        <w:rPr>
          <w:rFonts w:eastAsia="宋体"/>
          <w:i/>
          <w:iCs/>
          <w:sz w:val="24"/>
          <w:szCs w:val="24"/>
        </w:rPr>
        <w:t>Xinwei Wang</w:t>
      </w:r>
      <w:bookmarkEnd w:id="2"/>
      <w:r w:rsidRPr="00263206">
        <w:rPr>
          <w:rFonts w:eastAsia="宋体"/>
          <w:i/>
          <w:iCs/>
          <w:sz w:val="24"/>
          <w:szCs w:val="24"/>
          <w:vertAlign w:val="superscript"/>
        </w:rPr>
        <w:t>3</w:t>
      </w:r>
      <w:r w:rsidRPr="00263206">
        <w:rPr>
          <w:rFonts w:eastAsia="宋体" w:hint="eastAsia"/>
          <w:i/>
          <w:iCs/>
          <w:sz w:val="24"/>
          <w:szCs w:val="24"/>
          <w:vertAlign w:val="superscript"/>
        </w:rPr>
        <w:t>,12</w:t>
      </w:r>
      <w:bookmarkStart w:id="3" w:name="OLE_LINK128"/>
      <w:r w:rsidRPr="00263206">
        <w:rPr>
          <w:rFonts w:eastAsia="宋体"/>
          <w:i/>
          <w:iCs/>
          <w:sz w:val="24"/>
          <w:szCs w:val="24"/>
        </w:rPr>
        <w:t>*</w:t>
      </w:r>
      <w:bookmarkEnd w:id="3"/>
      <w:r w:rsidRPr="00263206">
        <w:rPr>
          <w:rFonts w:eastAsia="宋体"/>
          <w:i/>
          <w:iCs/>
          <w:sz w:val="24"/>
          <w:szCs w:val="24"/>
        </w:rPr>
        <w:t xml:space="preserve">, </w:t>
      </w:r>
      <w:bookmarkStart w:id="4" w:name="OLE_LINK2"/>
      <w:r w:rsidRPr="00263206">
        <w:rPr>
          <w:rFonts w:eastAsia="宋体"/>
          <w:i/>
          <w:iCs/>
          <w:sz w:val="24"/>
          <w:szCs w:val="24"/>
        </w:rPr>
        <w:t>Hongyang Wu</w:t>
      </w:r>
      <w:bookmarkEnd w:id="4"/>
      <w:r w:rsidRPr="00263206">
        <w:rPr>
          <w:rFonts w:eastAsia="宋体"/>
          <w:i/>
          <w:iCs/>
          <w:sz w:val="24"/>
          <w:szCs w:val="24"/>
          <w:vertAlign w:val="superscript"/>
        </w:rPr>
        <w:t>1</w:t>
      </w:r>
      <w:r w:rsidRPr="00263206">
        <w:rPr>
          <w:rFonts w:eastAsia="宋体" w:hint="eastAsia"/>
          <w:i/>
          <w:iCs/>
          <w:sz w:val="24"/>
          <w:szCs w:val="24"/>
          <w:vertAlign w:val="superscript"/>
        </w:rPr>
        <w:t>,12</w:t>
      </w:r>
      <w:r w:rsidRPr="00263206">
        <w:rPr>
          <w:rFonts w:eastAsia="宋体"/>
          <w:i/>
          <w:iCs/>
          <w:sz w:val="24"/>
          <w:szCs w:val="24"/>
        </w:rPr>
        <w:t>*</w:t>
      </w:r>
    </w:p>
    <w:p w14:paraId="4509E63D" w14:textId="77777777" w:rsidR="00CB0EBE" w:rsidRPr="001C4277" w:rsidRDefault="00CB0EBE" w:rsidP="00CB0EBE">
      <w:pPr>
        <w:spacing w:line="300" w:lineRule="auto"/>
        <w:rPr>
          <w:sz w:val="24"/>
          <w:szCs w:val="24"/>
        </w:rPr>
      </w:pPr>
      <w:bookmarkStart w:id="5" w:name="_Hlk182650615"/>
      <w:bookmarkStart w:id="6" w:name="OLE_LINK114"/>
      <w:bookmarkEnd w:id="1"/>
    </w:p>
    <w:p w14:paraId="27D29332" w14:textId="77777777" w:rsidR="00CB0EBE" w:rsidRPr="00263206" w:rsidRDefault="00CB0EBE" w:rsidP="00CB0EBE">
      <w:pPr>
        <w:spacing w:line="300" w:lineRule="auto"/>
        <w:rPr>
          <w:i/>
          <w:iCs/>
          <w:sz w:val="22"/>
        </w:rPr>
      </w:pPr>
      <w:r w:rsidRPr="00263206">
        <w:rPr>
          <w:i/>
          <w:iCs/>
          <w:sz w:val="22"/>
          <w:vertAlign w:val="superscript"/>
        </w:rPr>
        <w:t>1</w:t>
      </w:r>
      <w:r w:rsidRPr="00263206">
        <w:rPr>
          <w:rFonts w:hint="eastAsia"/>
          <w:i/>
          <w:iCs/>
          <w:sz w:val="22"/>
          <w:vertAlign w:val="superscript"/>
        </w:rPr>
        <w:t xml:space="preserve"> </w:t>
      </w:r>
      <w:bookmarkStart w:id="7" w:name="OLE_LINK130"/>
      <w:r w:rsidRPr="00263206">
        <w:rPr>
          <w:i/>
          <w:iCs/>
          <w:sz w:val="22"/>
        </w:rPr>
        <w:t xml:space="preserve">State Key Laboratory for Quality Ensurance and Sustainable Use of Dao-di Herbs, </w:t>
      </w:r>
      <w:bookmarkEnd w:id="7"/>
      <w:r w:rsidRPr="00263206">
        <w:rPr>
          <w:i/>
          <w:iCs/>
          <w:sz w:val="22"/>
        </w:rPr>
        <w:t xml:space="preserve">Institute of Medicinal Plant Development, Chinese Academy of Medical Sciences and Peking Union Medical College, Beijing 100193, China. </w:t>
      </w:r>
    </w:p>
    <w:p w14:paraId="5465A141" w14:textId="77777777" w:rsidR="00CB0EBE" w:rsidRPr="00263206" w:rsidRDefault="00CB0EBE" w:rsidP="00CB0EBE">
      <w:pPr>
        <w:spacing w:line="300" w:lineRule="auto"/>
        <w:rPr>
          <w:i/>
          <w:iCs/>
          <w:sz w:val="22"/>
        </w:rPr>
      </w:pPr>
      <w:r w:rsidRPr="00263206">
        <w:rPr>
          <w:i/>
          <w:iCs/>
          <w:sz w:val="22"/>
          <w:vertAlign w:val="superscript"/>
        </w:rPr>
        <w:t>2</w:t>
      </w:r>
      <w:r w:rsidRPr="00263206">
        <w:rPr>
          <w:rFonts w:hint="eastAsia"/>
          <w:i/>
          <w:iCs/>
          <w:sz w:val="22"/>
          <w:vertAlign w:val="superscript"/>
        </w:rPr>
        <w:t xml:space="preserve"> </w:t>
      </w:r>
      <w:r w:rsidRPr="00263206">
        <w:rPr>
          <w:i/>
          <w:iCs/>
          <w:sz w:val="22"/>
        </w:rPr>
        <w:t>College of Agriculture and Biotechnology, Zhejiang University, Hangzhou 310058, China.</w:t>
      </w:r>
    </w:p>
    <w:p w14:paraId="59E82E60" w14:textId="77777777" w:rsidR="00CB0EBE" w:rsidRPr="00263206" w:rsidRDefault="00CB0EBE" w:rsidP="00CB0EBE">
      <w:pPr>
        <w:spacing w:line="300" w:lineRule="auto"/>
        <w:rPr>
          <w:i/>
          <w:iCs/>
          <w:sz w:val="22"/>
        </w:rPr>
      </w:pPr>
      <w:r w:rsidRPr="00263206">
        <w:rPr>
          <w:i/>
          <w:iCs/>
          <w:sz w:val="22"/>
          <w:vertAlign w:val="superscript"/>
        </w:rPr>
        <w:t>3</w:t>
      </w:r>
      <w:r w:rsidRPr="00263206">
        <w:rPr>
          <w:rFonts w:hint="eastAsia"/>
          <w:i/>
          <w:iCs/>
          <w:sz w:val="22"/>
          <w:vertAlign w:val="superscript"/>
        </w:rPr>
        <w:t xml:space="preserve"> </w:t>
      </w:r>
      <w:r w:rsidRPr="00263206">
        <w:rPr>
          <w:i/>
          <w:iCs/>
          <w:sz w:val="22"/>
        </w:rPr>
        <w:t>College of Agriculture and Forestry, Hebei North University, Zhangjiakou 075000, China.</w:t>
      </w:r>
    </w:p>
    <w:p w14:paraId="3B480B11" w14:textId="77777777" w:rsidR="00CB0EBE" w:rsidRPr="00263206" w:rsidRDefault="00CB0EBE" w:rsidP="00CB0EBE">
      <w:pPr>
        <w:spacing w:line="300" w:lineRule="auto"/>
        <w:rPr>
          <w:i/>
          <w:iCs/>
          <w:sz w:val="22"/>
        </w:rPr>
      </w:pPr>
      <w:r w:rsidRPr="00263206">
        <w:rPr>
          <w:i/>
          <w:iCs/>
          <w:sz w:val="22"/>
          <w:vertAlign w:val="superscript"/>
        </w:rPr>
        <w:t>4</w:t>
      </w:r>
      <w:r w:rsidRPr="00263206">
        <w:rPr>
          <w:rFonts w:hint="eastAsia"/>
          <w:i/>
          <w:iCs/>
          <w:sz w:val="22"/>
          <w:vertAlign w:val="superscript"/>
        </w:rPr>
        <w:t xml:space="preserve"> </w:t>
      </w:r>
      <w:r w:rsidRPr="00263206">
        <w:rPr>
          <w:i/>
          <w:iCs/>
          <w:sz w:val="22"/>
        </w:rPr>
        <w:t>College of Economics and Management, China Agricultural University, Beijing 100193, China.</w:t>
      </w:r>
    </w:p>
    <w:p w14:paraId="55DD5E1F" w14:textId="77777777" w:rsidR="00CB0EBE" w:rsidRPr="00263206" w:rsidRDefault="00CB0EBE" w:rsidP="00CB0EBE">
      <w:pPr>
        <w:spacing w:line="300" w:lineRule="auto"/>
        <w:rPr>
          <w:i/>
          <w:iCs/>
          <w:sz w:val="22"/>
        </w:rPr>
      </w:pPr>
      <w:r w:rsidRPr="00263206">
        <w:rPr>
          <w:i/>
          <w:iCs/>
          <w:sz w:val="22"/>
          <w:vertAlign w:val="superscript"/>
        </w:rPr>
        <w:t>5</w:t>
      </w:r>
      <w:r w:rsidRPr="00263206">
        <w:rPr>
          <w:rFonts w:hint="eastAsia"/>
          <w:i/>
          <w:iCs/>
          <w:sz w:val="22"/>
          <w:vertAlign w:val="superscript"/>
        </w:rPr>
        <w:t xml:space="preserve"> </w:t>
      </w:r>
      <w:r w:rsidRPr="00263206">
        <w:rPr>
          <w:i/>
          <w:iCs/>
          <w:sz w:val="22"/>
        </w:rPr>
        <w:t>Research Unit of Molecular Epidemiology, Helmholtz Zentrum München, Neuherberg 85764, Germany.</w:t>
      </w:r>
    </w:p>
    <w:p w14:paraId="2870A806" w14:textId="77777777" w:rsidR="00CB0EBE" w:rsidRPr="00263206" w:rsidRDefault="00CB0EBE" w:rsidP="00CB0EBE">
      <w:pPr>
        <w:spacing w:line="300" w:lineRule="auto"/>
        <w:rPr>
          <w:i/>
          <w:iCs/>
          <w:sz w:val="22"/>
        </w:rPr>
      </w:pPr>
      <w:r w:rsidRPr="00263206">
        <w:rPr>
          <w:i/>
          <w:iCs/>
          <w:sz w:val="22"/>
          <w:vertAlign w:val="superscript"/>
        </w:rPr>
        <w:t>6</w:t>
      </w:r>
      <w:r w:rsidRPr="00263206">
        <w:rPr>
          <w:rFonts w:hint="eastAsia"/>
          <w:i/>
          <w:iCs/>
          <w:sz w:val="22"/>
          <w:vertAlign w:val="superscript"/>
        </w:rPr>
        <w:t xml:space="preserve"> </w:t>
      </w:r>
      <w:r w:rsidRPr="00263206">
        <w:rPr>
          <w:i/>
          <w:iCs/>
          <w:sz w:val="22"/>
        </w:rPr>
        <w:t>Institute of Epidemiology, Helmholtz Zentrum München, Neuherberg 85764, Germany.</w:t>
      </w:r>
    </w:p>
    <w:p w14:paraId="04EAC314" w14:textId="77777777" w:rsidR="00CB0EBE" w:rsidRPr="00263206" w:rsidRDefault="00CB0EBE" w:rsidP="00CB0EBE">
      <w:pPr>
        <w:spacing w:line="300" w:lineRule="auto"/>
        <w:rPr>
          <w:i/>
          <w:iCs/>
          <w:sz w:val="22"/>
        </w:rPr>
      </w:pPr>
      <w:r w:rsidRPr="00263206">
        <w:rPr>
          <w:i/>
          <w:iCs/>
          <w:sz w:val="22"/>
          <w:vertAlign w:val="superscript"/>
        </w:rPr>
        <w:t>7</w:t>
      </w:r>
      <w:r w:rsidRPr="00263206">
        <w:rPr>
          <w:rFonts w:hint="eastAsia"/>
          <w:i/>
          <w:iCs/>
          <w:sz w:val="22"/>
          <w:vertAlign w:val="superscript"/>
        </w:rPr>
        <w:t xml:space="preserve"> </w:t>
      </w:r>
      <w:r w:rsidRPr="00263206">
        <w:rPr>
          <w:i/>
          <w:iCs/>
          <w:sz w:val="22"/>
        </w:rPr>
        <w:t>Faculty of Medicine, Ludwig-Maximilians-University München, Munich 81377, Germany.</w:t>
      </w:r>
    </w:p>
    <w:p w14:paraId="3D4A8206" w14:textId="77777777" w:rsidR="00CB0EBE" w:rsidRPr="00263206" w:rsidRDefault="00CB0EBE" w:rsidP="00CB0EBE">
      <w:pPr>
        <w:spacing w:line="300" w:lineRule="auto"/>
        <w:rPr>
          <w:i/>
          <w:iCs/>
          <w:sz w:val="22"/>
        </w:rPr>
      </w:pPr>
      <w:bookmarkStart w:id="8" w:name="_Hlk183842561"/>
      <w:r w:rsidRPr="00263206">
        <w:rPr>
          <w:i/>
          <w:iCs/>
          <w:sz w:val="22"/>
          <w:vertAlign w:val="superscript"/>
        </w:rPr>
        <w:t>8</w:t>
      </w:r>
      <w:bookmarkEnd w:id="8"/>
      <w:r w:rsidRPr="00263206">
        <w:rPr>
          <w:rFonts w:hint="eastAsia"/>
          <w:i/>
          <w:iCs/>
          <w:sz w:val="22"/>
          <w:vertAlign w:val="superscript"/>
        </w:rPr>
        <w:t xml:space="preserve"> </w:t>
      </w:r>
      <w:r w:rsidRPr="00263206">
        <w:rPr>
          <w:i/>
          <w:iCs/>
          <w:sz w:val="22"/>
        </w:rPr>
        <w:t>State Key Laboratory of Forage Breeding-by-Design and Utilization, Institute of Botany, Chinese Academy of Sciences, Beijing 100093, China.</w:t>
      </w:r>
    </w:p>
    <w:p w14:paraId="6E6AFD03" w14:textId="77777777" w:rsidR="00CB0EBE" w:rsidRPr="00263206" w:rsidRDefault="00CB0EBE" w:rsidP="00CB0EBE">
      <w:pPr>
        <w:spacing w:line="300" w:lineRule="auto"/>
        <w:rPr>
          <w:i/>
          <w:iCs/>
          <w:sz w:val="22"/>
        </w:rPr>
      </w:pPr>
      <w:r w:rsidRPr="00263206">
        <w:rPr>
          <w:i/>
          <w:iCs/>
          <w:sz w:val="22"/>
          <w:vertAlign w:val="superscript"/>
        </w:rPr>
        <w:t>9</w:t>
      </w:r>
      <w:r w:rsidRPr="00263206">
        <w:rPr>
          <w:rFonts w:hint="eastAsia"/>
          <w:i/>
          <w:iCs/>
          <w:sz w:val="22"/>
          <w:vertAlign w:val="superscript"/>
        </w:rPr>
        <w:t xml:space="preserve"> </w:t>
      </w:r>
      <w:r w:rsidRPr="00263206">
        <w:rPr>
          <w:i/>
          <w:iCs/>
          <w:sz w:val="22"/>
        </w:rPr>
        <w:t>Frontiers Science Center for Molecular Design Breeding (MOE), China Agricultural University, Beijing, China.</w:t>
      </w:r>
    </w:p>
    <w:p w14:paraId="19795E51" w14:textId="77777777" w:rsidR="00CB0EBE" w:rsidRPr="00263206" w:rsidRDefault="00CB0EBE" w:rsidP="00CB0EBE">
      <w:pPr>
        <w:spacing w:line="300" w:lineRule="auto"/>
        <w:rPr>
          <w:i/>
          <w:iCs/>
          <w:sz w:val="22"/>
        </w:rPr>
      </w:pPr>
      <w:r w:rsidRPr="00263206">
        <w:rPr>
          <w:i/>
          <w:iCs/>
          <w:sz w:val="22"/>
          <w:vertAlign w:val="superscript"/>
        </w:rPr>
        <w:t>10</w:t>
      </w:r>
      <w:r w:rsidRPr="00263206">
        <w:rPr>
          <w:rFonts w:hint="eastAsia"/>
          <w:i/>
          <w:iCs/>
          <w:sz w:val="22"/>
          <w:vertAlign w:val="superscript"/>
        </w:rPr>
        <w:t xml:space="preserve"> </w:t>
      </w:r>
      <w:r w:rsidRPr="00263206">
        <w:rPr>
          <w:i/>
          <w:iCs/>
          <w:sz w:val="22"/>
        </w:rPr>
        <w:t>Beijing Key Laboratory of Development and Quality Control of Ornamental Crops, Department of Ornamental Horticulture, College of Horticulture, China Agricultural University, Beijing, China.</w:t>
      </w:r>
    </w:p>
    <w:p w14:paraId="60241793" w14:textId="77777777" w:rsidR="00CB0EBE" w:rsidRPr="00263206" w:rsidRDefault="00CB0EBE" w:rsidP="00CB0EBE">
      <w:pPr>
        <w:adjustRightInd w:val="0"/>
        <w:snapToGrid w:val="0"/>
        <w:spacing w:line="300" w:lineRule="auto"/>
        <w:rPr>
          <w:bCs/>
          <w:i/>
          <w:iCs/>
          <w:sz w:val="22"/>
        </w:rPr>
      </w:pPr>
      <w:bookmarkStart w:id="9" w:name="_Hlk184371591"/>
      <w:r w:rsidRPr="00263206">
        <w:rPr>
          <w:rFonts w:hint="eastAsia"/>
          <w:bCs/>
          <w:i/>
          <w:iCs/>
          <w:sz w:val="22"/>
          <w:vertAlign w:val="superscript"/>
        </w:rPr>
        <w:t xml:space="preserve">11 </w:t>
      </w:r>
      <w:r w:rsidRPr="00263206">
        <w:rPr>
          <w:bCs/>
          <w:i/>
          <w:iCs/>
          <w:sz w:val="22"/>
        </w:rPr>
        <w:t xml:space="preserve">These authors contributed equally: </w:t>
      </w:r>
      <w:r w:rsidRPr="00263206">
        <w:rPr>
          <w:i/>
          <w:iCs/>
          <w:sz w:val="22"/>
        </w:rPr>
        <w:t>Xiaoyang Wan, Huixian Cheng, Jiefei Niu</w:t>
      </w:r>
    </w:p>
    <w:p w14:paraId="63A94D8C" w14:textId="77777777" w:rsidR="00CB0EBE" w:rsidRPr="00263206" w:rsidRDefault="00CB0EBE" w:rsidP="00CB0EBE">
      <w:pPr>
        <w:adjustRightInd w:val="0"/>
        <w:snapToGrid w:val="0"/>
        <w:spacing w:line="300" w:lineRule="auto"/>
        <w:rPr>
          <w:bCs/>
          <w:i/>
          <w:iCs/>
          <w:sz w:val="22"/>
        </w:rPr>
      </w:pPr>
      <w:r w:rsidRPr="00263206">
        <w:rPr>
          <w:rFonts w:hint="eastAsia"/>
          <w:bCs/>
          <w:i/>
          <w:iCs/>
          <w:sz w:val="22"/>
          <w:vertAlign w:val="superscript"/>
        </w:rPr>
        <w:t xml:space="preserve">12 </w:t>
      </w:r>
      <w:r w:rsidRPr="00263206">
        <w:rPr>
          <w:bCs/>
          <w:i/>
          <w:iCs/>
          <w:sz w:val="22"/>
        </w:rPr>
        <w:t>These authors jointly supervised this work:</w:t>
      </w:r>
      <w:r w:rsidRPr="00263206">
        <w:rPr>
          <w:rFonts w:hint="eastAsia"/>
          <w:bCs/>
          <w:i/>
          <w:iCs/>
          <w:sz w:val="22"/>
        </w:rPr>
        <w:t xml:space="preserve"> </w:t>
      </w:r>
      <w:r w:rsidRPr="00263206">
        <w:rPr>
          <w:i/>
          <w:iCs/>
          <w:sz w:val="22"/>
        </w:rPr>
        <w:t>Xiaoyang Wan</w:t>
      </w:r>
      <w:r w:rsidRPr="00263206">
        <w:rPr>
          <w:rFonts w:hint="eastAsia"/>
          <w:i/>
          <w:iCs/>
          <w:sz w:val="22"/>
        </w:rPr>
        <w:t>,</w:t>
      </w:r>
      <w:r w:rsidRPr="00263206">
        <w:rPr>
          <w:rFonts w:hint="eastAsia"/>
          <w:bCs/>
          <w:i/>
          <w:iCs/>
          <w:sz w:val="22"/>
        </w:rPr>
        <w:t xml:space="preserve"> Xinwei Wang, Hongyang Wu</w:t>
      </w:r>
    </w:p>
    <w:bookmarkEnd w:id="5"/>
    <w:bookmarkEnd w:id="6"/>
    <w:bookmarkEnd w:id="9"/>
    <w:p w14:paraId="7110EA51" w14:textId="77777777" w:rsidR="00CB0EBE" w:rsidRPr="00263206" w:rsidRDefault="00CB0EBE" w:rsidP="00CB0EBE">
      <w:pPr>
        <w:widowControl/>
        <w:pBdr>
          <w:bottom w:val="single" w:sz="6" w:space="7" w:color="auto"/>
        </w:pBdr>
        <w:adjustRightInd w:val="0"/>
        <w:snapToGrid w:val="0"/>
        <w:spacing w:line="300" w:lineRule="auto"/>
        <w:ind w:rightChars="-73" w:right="-153"/>
        <w:jc w:val="left"/>
        <w:rPr>
          <w:rFonts w:ascii="Myriad Pro" w:eastAsia="等线" w:hAnsi="Myriad Pro" w:cs="Times New Roman Regular"/>
          <w:kern w:val="0"/>
          <w:sz w:val="24"/>
          <w:szCs w:val="24"/>
        </w:rPr>
      </w:pPr>
    </w:p>
    <w:p w14:paraId="30FA2C4C" w14:textId="77777777" w:rsidR="00CB0EBE" w:rsidRPr="00263206" w:rsidRDefault="00CB0EBE" w:rsidP="00CB0EBE">
      <w:pPr>
        <w:spacing w:line="300" w:lineRule="auto"/>
        <w:rPr>
          <w:i/>
          <w:iCs/>
          <w:sz w:val="22"/>
        </w:rPr>
      </w:pPr>
      <w:r w:rsidRPr="00263206">
        <w:rPr>
          <w:rFonts w:eastAsia="等线"/>
          <w:i/>
          <w:iCs/>
          <w:kern w:val="0"/>
          <w:sz w:val="22"/>
        </w:rPr>
        <w:t xml:space="preserve">*Corresponding author at: </w:t>
      </w:r>
      <w:r w:rsidRPr="00263206">
        <w:rPr>
          <w:i/>
          <w:iCs/>
          <w:sz w:val="22"/>
        </w:rPr>
        <w:t xml:space="preserve">State Key Laboratory for Quality Ensurance and Sustainable Use of Dao-di Herbs, </w:t>
      </w:r>
      <w:r w:rsidRPr="00263206">
        <w:rPr>
          <w:rFonts w:eastAsia="等线"/>
          <w:i/>
          <w:iCs/>
          <w:kern w:val="0"/>
          <w:sz w:val="22"/>
          <w:lang w:bidi="ar"/>
        </w:rPr>
        <w:t>Institute of Medicinal Plant Development, Chinese Academy of Medical Sciences and Peking Union Medical College, Beijing 100193,</w:t>
      </w:r>
      <w:r w:rsidRPr="00263206">
        <w:rPr>
          <w:rFonts w:eastAsia="等线"/>
          <w:i/>
          <w:iCs/>
          <w:kern w:val="0"/>
          <w:sz w:val="22"/>
        </w:rPr>
        <w:t xml:space="preserve"> P.R. China. E-mail address: </w:t>
      </w:r>
      <w:r w:rsidRPr="00263206">
        <w:rPr>
          <w:rFonts w:hint="eastAsia"/>
          <w:i/>
          <w:iCs/>
          <w:sz w:val="22"/>
        </w:rPr>
        <w:t>Hongyang Wu (</w:t>
      </w:r>
      <w:hyperlink r:id="rId4" w:history="1">
        <w:r w:rsidRPr="00263206">
          <w:rPr>
            <w:rStyle w:val="ae"/>
            <w:i/>
            <w:iCs/>
            <w:color w:val="0000FF"/>
            <w:sz w:val="22"/>
          </w:rPr>
          <w:t>wuhongyang0829@foxmail.com</w:t>
        </w:r>
      </w:hyperlink>
      <w:r w:rsidRPr="00263206">
        <w:rPr>
          <w:rFonts w:hint="eastAsia"/>
          <w:i/>
          <w:iCs/>
          <w:sz w:val="22"/>
        </w:rPr>
        <w:t xml:space="preserve">), </w:t>
      </w:r>
      <w:r w:rsidRPr="00263206">
        <w:rPr>
          <w:i/>
          <w:iCs/>
          <w:sz w:val="22"/>
        </w:rPr>
        <w:t>Xinwei Wang</w:t>
      </w:r>
      <w:r w:rsidRPr="00263206">
        <w:rPr>
          <w:rFonts w:hint="eastAsia"/>
          <w:i/>
          <w:iCs/>
          <w:sz w:val="22"/>
        </w:rPr>
        <w:t xml:space="preserve"> (</w:t>
      </w:r>
      <w:hyperlink r:id="rId5" w:history="1">
        <w:r w:rsidRPr="00263206">
          <w:rPr>
            <w:rStyle w:val="ae"/>
            <w:i/>
            <w:iCs/>
            <w:color w:val="0000FF"/>
            <w:sz w:val="22"/>
          </w:rPr>
          <w:t>wangxw@hebeinu.edu.cn</w:t>
        </w:r>
      </w:hyperlink>
      <w:r w:rsidRPr="00263206">
        <w:rPr>
          <w:rFonts w:hint="eastAsia"/>
          <w:i/>
          <w:iCs/>
          <w:sz w:val="22"/>
        </w:rPr>
        <w:t xml:space="preserve">) </w:t>
      </w:r>
      <w:r w:rsidRPr="00263206">
        <w:rPr>
          <w:i/>
          <w:iCs/>
          <w:sz w:val="22"/>
        </w:rPr>
        <w:t>Xiaoyang Wan</w:t>
      </w:r>
      <w:r w:rsidRPr="00263206">
        <w:rPr>
          <w:rFonts w:hint="eastAsia"/>
          <w:i/>
          <w:iCs/>
          <w:sz w:val="22"/>
        </w:rPr>
        <w:t xml:space="preserve"> (</w:t>
      </w:r>
      <w:r w:rsidRPr="00263206">
        <w:rPr>
          <w:i/>
          <w:iCs/>
          <w:color w:val="0000FF"/>
          <w:sz w:val="22"/>
          <w:u w:val="single"/>
        </w:rPr>
        <w:t>wanxiaoyang_w@163.com</w:t>
      </w:r>
      <w:r w:rsidRPr="00263206">
        <w:rPr>
          <w:rFonts w:hint="eastAsia"/>
          <w:i/>
          <w:iCs/>
          <w:sz w:val="22"/>
        </w:rPr>
        <w:t>)</w:t>
      </w:r>
    </w:p>
    <w:p w14:paraId="088237A7" w14:textId="77777777" w:rsidR="00CB0EBE" w:rsidRDefault="00CB0EBE" w:rsidP="00CB0EBE">
      <w:r>
        <w:br w:type="page"/>
      </w:r>
    </w:p>
    <w:sdt>
      <w:sdtPr>
        <w:rPr>
          <w:rFonts w:ascii="Times New Roman" w:eastAsiaTheme="minorEastAsia" w:hAnsi="Times New Roman" w:cs="Times New Roman"/>
          <w:color w:val="auto"/>
          <w:kern w:val="2"/>
          <w:sz w:val="21"/>
          <w:szCs w:val="22"/>
          <w:lang w:val="zh-CN"/>
        </w:rPr>
        <w:id w:val="2139375908"/>
        <w:docPartObj>
          <w:docPartGallery w:val="Table of Contents"/>
          <w:docPartUnique/>
        </w:docPartObj>
      </w:sdtPr>
      <w:sdtEndPr>
        <w:rPr>
          <w:b/>
          <w:bCs/>
        </w:rPr>
      </w:sdtEndPr>
      <w:sdtContent>
        <w:p w14:paraId="24F65422" w14:textId="565D0106" w:rsidR="00CB0EBE" w:rsidRPr="00CB0EBE" w:rsidRDefault="00CB0EBE">
          <w:pPr>
            <w:pStyle w:val="TOC"/>
            <w:rPr>
              <w:rFonts w:ascii="Lucida Sans" w:hAnsi="Lucida Sans"/>
              <w:color w:val="000000" w:themeColor="text1"/>
            </w:rPr>
          </w:pPr>
          <w:r w:rsidRPr="00CB0EBE">
            <w:rPr>
              <w:rFonts w:ascii="Lucida Sans" w:hAnsi="Lucida Sans"/>
              <w:color w:val="000000" w:themeColor="text1"/>
              <w:lang w:val="zh-CN"/>
            </w:rPr>
            <w:t>Content</w:t>
          </w:r>
        </w:p>
        <w:p w14:paraId="0A1FA520" w14:textId="08914E87"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r>
            <w:fldChar w:fldCharType="begin"/>
          </w:r>
          <w:r>
            <w:instrText xml:space="preserve"> TOC \o "1-3" \h \z \u </w:instrText>
          </w:r>
          <w:r>
            <w:fldChar w:fldCharType="separate"/>
          </w:r>
          <w:hyperlink w:anchor="_Toc216766931" w:history="1">
            <w:r w:rsidRPr="000217D2">
              <w:rPr>
                <w:rStyle w:val="ae"/>
                <w:rFonts w:hint="eastAsia"/>
                <w:noProof/>
              </w:rPr>
              <w:t>Extended Data Fig. 1 Global watermelon cultivation scale and survey site distribution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_Toc216766931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w:t>
            </w:r>
            <w:r>
              <w:rPr>
                <w:rFonts w:hint="eastAsia"/>
                <w:noProof/>
                <w:webHidden/>
              </w:rPr>
              <w:fldChar w:fldCharType="end"/>
            </w:r>
          </w:hyperlink>
        </w:p>
        <w:p w14:paraId="7B0E7664" w14:textId="0C0634C5"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32" w:history="1">
            <w:r w:rsidRPr="000217D2">
              <w:rPr>
                <w:rStyle w:val="ae"/>
                <w:rFonts w:hint="eastAsia"/>
                <w:noProof/>
              </w:rPr>
              <w:t>Extended Data Fig. 2 Demographic characteristics and basic cultivation practices in the watermelon industry</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_Toc216766932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w:t>
            </w:r>
            <w:r>
              <w:rPr>
                <w:rFonts w:hint="eastAsia"/>
                <w:noProof/>
                <w:webHidden/>
              </w:rPr>
              <w:fldChar w:fldCharType="end"/>
            </w:r>
          </w:hyperlink>
        </w:p>
        <w:p w14:paraId="74E0DC40" w14:textId="0D0198FC"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33" w:history="1">
            <w:r w:rsidRPr="000217D2">
              <w:rPr>
                <w:rStyle w:val="ae"/>
                <w:rFonts w:hint="eastAsia"/>
                <w:noProof/>
              </w:rPr>
              <w:t>Extended Data Fig. 3 Survey on continuous cropping obstacles in watermelon cultivation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_Toc216766933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7</w:t>
            </w:r>
            <w:r>
              <w:rPr>
                <w:rFonts w:hint="eastAsia"/>
                <w:noProof/>
                <w:webHidden/>
              </w:rPr>
              <w:fldChar w:fldCharType="end"/>
            </w:r>
          </w:hyperlink>
        </w:p>
        <w:p w14:paraId="716E8240" w14:textId="46937EB2"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34" w:history="1">
            <w:r w:rsidRPr="000217D2">
              <w:rPr>
                <w:rStyle w:val="ae"/>
                <w:rFonts w:hint="eastAsia"/>
                <w:noProof/>
              </w:rPr>
              <w:t>Extended Data Fig. 4 Survey on watermelon aerial parts disposal practices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_Toc216766934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8</w:t>
            </w:r>
            <w:r>
              <w:rPr>
                <w:rFonts w:hint="eastAsia"/>
                <w:noProof/>
                <w:webHidden/>
              </w:rPr>
              <w:fldChar w:fldCharType="end"/>
            </w:r>
          </w:hyperlink>
        </w:p>
        <w:p w14:paraId="3787CCF5" w14:textId="2592C9C8"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35" w:history="1">
            <w:r w:rsidRPr="000217D2">
              <w:rPr>
                <w:rStyle w:val="ae"/>
                <w:rFonts w:hint="eastAsia"/>
                <w:noProof/>
              </w:rPr>
              <w:t>Extended Data Fig. 5 LP-WCFS1 is the dominant bacterial group in the LP-WCFS1-mediated rapid fermentation system</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_Toc216766935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9</w:t>
            </w:r>
            <w:r>
              <w:rPr>
                <w:rFonts w:hint="eastAsia"/>
                <w:noProof/>
                <w:webHidden/>
              </w:rPr>
              <w:fldChar w:fldCharType="end"/>
            </w:r>
          </w:hyperlink>
        </w:p>
        <w:p w14:paraId="6FCEA8A5" w14:textId="24C4F6C4"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36" w:history="1">
            <w:r w:rsidRPr="000217D2">
              <w:rPr>
                <w:rStyle w:val="ae"/>
                <w:rFonts w:hint="eastAsia"/>
                <w:noProof/>
              </w:rPr>
              <w:t>Extended Data Fig. 6 The microbial community and functions in the LP-WCFS1-mediated rapid fermentation system are superior to those in the long-term fermentation system</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_Toc216766936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11</w:t>
            </w:r>
            <w:r>
              <w:rPr>
                <w:rFonts w:hint="eastAsia"/>
                <w:noProof/>
                <w:webHidden/>
              </w:rPr>
              <w:fldChar w:fldCharType="end"/>
            </w:r>
          </w:hyperlink>
        </w:p>
        <w:p w14:paraId="6628B361" w14:textId="0ED0E1AC"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37" w:history="1">
            <w:r w:rsidRPr="000217D2">
              <w:rPr>
                <w:rStyle w:val="ae"/>
                <w:rFonts w:hint="eastAsia"/>
                <w:noProof/>
              </w:rPr>
              <w:t>Extended Data Fig. 7 Long-term fermentation mediated by LP-WCFS1 leads to the specific accumulation of metabolites in pathways cinnamic acids and derivatives and coumarins and derivatives in the fermentation liquid</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_Toc216766937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13</w:t>
            </w:r>
            <w:r>
              <w:rPr>
                <w:rFonts w:hint="eastAsia"/>
                <w:noProof/>
                <w:webHidden/>
              </w:rPr>
              <w:fldChar w:fldCharType="end"/>
            </w:r>
          </w:hyperlink>
        </w:p>
        <w:p w14:paraId="427690BE" w14:textId="67D46F4B"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38" w:history="1">
            <w:r w:rsidRPr="000217D2">
              <w:rPr>
                <w:rStyle w:val="ae"/>
                <w:rFonts w:hint="eastAsia"/>
                <w:noProof/>
              </w:rPr>
              <w:t>Extended Data Fig. 8 In both LP-WCFS1-mediated rapid and long-term fermentation systems, LP-WCFS1 correlates with differential metabolites in the fermentation liquid</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_Toc216766938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15</w:t>
            </w:r>
            <w:r>
              <w:rPr>
                <w:rFonts w:hint="eastAsia"/>
                <w:noProof/>
                <w:webHidden/>
              </w:rPr>
              <w:fldChar w:fldCharType="end"/>
            </w:r>
          </w:hyperlink>
        </w:p>
        <w:p w14:paraId="599B9034" w14:textId="34968D0B"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39" w:history="1">
            <w:r w:rsidRPr="000217D2">
              <w:rPr>
                <w:rStyle w:val="ae"/>
                <w:rFonts w:hint="eastAsia"/>
                <w:noProof/>
              </w:rPr>
              <w:t>Extended Data Fig. 9 Foliar application of Lactobacillus plantarum (LP-WCFS1)-mediated rapid fermentation liquid promotes Brassica rapa growth under greenhouse conditions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_Toc216766939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17</w:t>
            </w:r>
            <w:r>
              <w:rPr>
                <w:rFonts w:hint="eastAsia"/>
                <w:noProof/>
                <w:webHidden/>
              </w:rPr>
              <w:fldChar w:fldCharType="end"/>
            </w:r>
          </w:hyperlink>
        </w:p>
        <w:p w14:paraId="3FF80A29" w14:textId="36D59B3B"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40" w:history="1">
            <w:r w:rsidRPr="000217D2">
              <w:rPr>
                <w:rStyle w:val="ae"/>
                <w:rFonts w:hint="eastAsia"/>
                <w:noProof/>
              </w:rPr>
              <w:t xml:space="preserve">Extended Data Fig. 10 D-sorbitol as the effector component of the fermentation liquid from the LP-WCFS1-mediated rapid fermentation system, promotes the growth of </w:t>
            </w:r>
            <w:r w:rsidRPr="000217D2">
              <w:rPr>
                <w:rStyle w:val="ae"/>
                <w:rFonts w:hint="eastAsia"/>
                <w:i/>
                <w:iCs/>
                <w:noProof/>
              </w:rPr>
              <w:t>Brassica rapa</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_Toc216766940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18</w:t>
            </w:r>
            <w:r>
              <w:rPr>
                <w:rFonts w:hint="eastAsia"/>
                <w:noProof/>
                <w:webHidden/>
              </w:rPr>
              <w:fldChar w:fldCharType="end"/>
            </w:r>
          </w:hyperlink>
        </w:p>
        <w:p w14:paraId="29AA969F" w14:textId="0D05F5E7"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41" w:history="1">
            <w:r w:rsidRPr="000217D2">
              <w:rPr>
                <w:rStyle w:val="ae"/>
                <w:rFonts w:hint="eastAsia"/>
                <w:noProof/>
              </w:rPr>
              <w:t xml:space="preserve">Extended Data Fig. 11 Foliar application of D-sorbitol promotes </w:t>
            </w:r>
            <w:r w:rsidRPr="000217D2">
              <w:rPr>
                <w:rStyle w:val="ae"/>
                <w:rFonts w:hint="eastAsia"/>
                <w:i/>
                <w:iCs/>
                <w:noProof/>
              </w:rPr>
              <w:t>Brassica rapa</w:t>
            </w:r>
            <w:r w:rsidRPr="000217D2">
              <w:rPr>
                <w:rStyle w:val="ae"/>
                <w:rFonts w:hint="eastAsia"/>
                <w:noProof/>
              </w:rPr>
              <w:t xml:space="preserve"> growth</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_Toc216766941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20</w:t>
            </w:r>
            <w:r>
              <w:rPr>
                <w:rFonts w:hint="eastAsia"/>
                <w:noProof/>
                <w:webHidden/>
              </w:rPr>
              <w:fldChar w:fldCharType="end"/>
            </w:r>
          </w:hyperlink>
        </w:p>
        <w:p w14:paraId="10610F6E" w14:textId="6D1CF023"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42" w:history="1">
            <w:r w:rsidRPr="000217D2">
              <w:rPr>
                <w:rStyle w:val="ae"/>
                <w:rFonts w:hint="eastAsia"/>
                <w:noProof/>
              </w:rPr>
              <w:t xml:space="preserve">Extended Data Fig. 12 D-sorbitol increases the maximum leaf size of </w:t>
            </w:r>
            <w:r w:rsidRPr="000217D2">
              <w:rPr>
                <w:rStyle w:val="ae"/>
                <w:rFonts w:hint="eastAsia"/>
                <w:i/>
                <w:iCs/>
                <w:noProof/>
              </w:rPr>
              <w:t>Brassica rapa</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_Toc216766942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22</w:t>
            </w:r>
            <w:r>
              <w:rPr>
                <w:rFonts w:hint="eastAsia"/>
                <w:noProof/>
                <w:webHidden/>
              </w:rPr>
              <w:fldChar w:fldCharType="end"/>
            </w:r>
          </w:hyperlink>
        </w:p>
        <w:p w14:paraId="7699B53E" w14:textId="3A2A35F4"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43" w:history="1">
            <w:r w:rsidRPr="000217D2">
              <w:rPr>
                <w:rStyle w:val="ae"/>
                <w:rFonts w:hint="eastAsia"/>
                <w:noProof/>
              </w:rPr>
              <w:t xml:space="preserve">Extended Data Fig. 13 D-sorbitol affects the contents of starch and D-sorbitol without influencing the total sugar content in </w:t>
            </w:r>
            <w:r w:rsidRPr="000217D2">
              <w:rPr>
                <w:rStyle w:val="ae"/>
                <w:rFonts w:hint="eastAsia"/>
                <w:i/>
                <w:iCs/>
                <w:noProof/>
              </w:rPr>
              <w:t>Brassica rapa</w:t>
            </w:r>
            <w:r w:rsidRPr="000217D2">
              <w:rPr>
                <w:rStyle w:val="ae"/>
                <w:rFonts w:hint="eastAsia"/>
                <w:noProof/>
              </w:rPr>
              <w:t xml:space="preserve"> leaves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_Toc216766943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23</w:t>
            </w:r>
            <w:r>
              <w:rPr>
                <w:rFonts w:hint="eastAsia"/>
                <w:noProof/>
                <w:webHidden/>
              </w:rPr>
              <w:fldChar w:fldCharType="end"/>
            </w:r>
          </w:hyperlink>
        </w:p>
        <w:p w14:paraId="01CAF3E7" w14:textId="2F72921C"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44" w:history="1">
            <w:r w:rsidRPr="000217D2">
              <w:rPr>
                <w:rStyle w:val="ae"/>
                <w:rFonts w:hint="eastAsia"/>
                <w:noProof/>
              </w:rPr>
              <w:t xml:space="preserve">Extended Data Fig. 14 D-sorbitol had little effects on mineral element uptake in </w:t>
            </w:r>
            <w:r w:rsidRPr="000217D2">
              <w:rPr>
                <w:rStyle w:val="ae"/>
                <w:rFonts w:hint="eastAsia"/>
                <w:i/>
                <w:iCs/>
                <w:noProof/>
              </w:rPr>
              <w:t>Brassica rapa</w:t>
            </w:r>
            <w:r w:rsidRPr="000217D2">
              <w:rPr>
                <w:rStyle w:val="ae"/>
                <w:rFonts w:hint="eastAsia"/>
                <w:noProof/>
              </w:rPr>
              <w:t xml:space="preserve"> leaves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_Toc216766944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24</w:t>
            </w:r>
            <w:r>
              <w:rPr>
                <w:rFonts w:hint="eastAsia"/>
                <w:noProof/>
                <w:webHidden/>
              </w:rPr>
              <w:fldChar w:fldCharType="end"/>
            </w:r>
          </w:hyperlink>
        </w:p>
        <w:p w14:paraId="61FB9971" w14:textId="3A444DFD"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45" w:history="1">
            <w:r w:rsidRPr="000217D2">
              <w:rPr>
                <w:rStyle w:val="ae"/>
                <w:rFonts w:hint="eastAsia"/>
                <w:noProof/>
              </w:rPr>
              <w:t xml:space="preserve">Extended Data Fig. 15 D-sorbitol had little effects on chlorophyll content in </w:t>
            </w:r>
            <w:r w:rsidRPr="000217D2">
              <w:rPr>
                <w:rStyle w:val="ae"/>
                <w:rFonts w:hint="eastAsia"/>
                <w:i/>
                <w:iCs/>
                <w:noProof/>
              </w:rPr>
              <w:t>Brassica rapa</w:t>
            </w:r>
            <w:r w:rsidRPr="000217D2">
              <w:rPr>
                <w:rStyle w:val="ae"/>
                <w:rFonts w:hint="eastAsia"/>
                <w:noProof/>
              </w:rPr>
              <w:t xml:space="preserve"> leaves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_Toc216766945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25</w:t>
            </w:r>
            <w:r>
              <w:rPr>
                <w:rFonts w:hint="eastAsia"/>
                <w:noProof/>
                <w:webHidden/>
              </w:rPr>
              <w:fldChar w:fldCharType="end"/>
            </w:r>
          </w:hyperlink>
        </w:p>
        <w:p w14:paraId="0C3A6A8F" w14:textId="23FA8F74"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46" w:history="1">
            <w:r w:rsidRPr="000217D2">
              <w:rPr>
                <w:rStyle w:val="ae"/>
                <w:rFonts w:hint="eastAsia"/>
                <w:noProof/>
              </w:rPr>
              <w:t xml:space="preserve">Extended Data Fig. 16 D-sorbitol exerts no stress effect on the photosynthetic system in </w:t>
            </w:r>
            <w:r w:rsidRPr="000217D2">
              <w:rPr>
                <w:rStyle w:val="ae"/>
                <w:rFonts w:hint="eastAsia"/>
                <w:i/>
                <w:iCs/>
                <w:noProof/>
              </w:rPr>
              <w:t>Brassica rapa</w:t>
            </w:r>
            <w:r w:rsidRPr="000217D2">
              <w:rPr>
                <w:rStyle w:val="ae"/>
                <w:rFonts w:hint="eastAsia"/>
                <w:noProof/>
              </w:rPr>
              <w:t xml:space="preserve"> leaves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_Toc216766946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26</w:t>
            </w:r>
            <w:r>
              <w:rPr>
                <w:rFonts w:hint="eastAsia"/>
                <w:noProof/>
                <w:webHidden/>
              </w:rPr>
              <w:fldChar w:fldCharType="end"/>
            </w:r>
          </w:hyperlink>
        </w:p>
        <w:p w14:paraId="3816A6A6" w14:textId="585DC87E"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47" w:history="1">
            <w:r w:rsidRPr="000217D2">
              <w:rPr>
                <w:rStyle w:val="ae"/>
                <w:rFonts w:hint="eastAsia"/>
                <w:noProof/>
              </w:rPr>
              <w:t xml:space="preserve">Extended Data Fig. 17 D-sorbitol does not affect the activity of antioxidant enzymes in </w:t>
            </w:r>
            <w:r w:rsidRPr="000217D2">
              <w:rPr>
                <w:rStyle w:val="ae"/>
                <w:rFonts w:hint="eastAsia"/>
                <w:i/>
                <w:iCs/>
                <w:noProof/>
              </w:rPr>
              <w:t>Brassica rapa</w:t>
            </w:r>
            <w:r w:rsidRPr="000217D2">
              <w:rPr>
                <w:rStyle w:val="ae"/>
                <w:rFonts w:hint="eastAsia"/>
                <w:noProof/>
              </w:rPr>
              <w:t xml:space="preserve"> leaves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_Toc216766947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27</w:t>
            </w:r>
            <w:r>
              <w:rPr>
                <w:rFonts w:hint="eastAsia"/>
                <w:noProof/>
                <w:webHidden/>
              </w:rPr>
              <w:fldChar w:fldCharType="end"/>
            </w:r>
          </w:hyperlink>
        </w:p>
        <w:p w14:paraId="5803F8B5" w14:textId="02B16476"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48" w:history="1">
            <w:r w:rsidRPr="000217D2">
              <w:rPr>
                <w:rStyle w:val="ae"/>
                <w:rFonts w:hint="eastAsia"/>
                <w:noProof/>
              </w:rPr>
              <w:t xml:space="preserve">Extended Data Fig. 18 D-sorbitol regulates gene expression in pathways such as carbohydrate metabolism in </w:t>
            </w:r>
            <w:r w:rsidRPr="000217D2">
              <w:rPr>
                <w:rStyle w:val="ae"/>
                <w:rFonts w:hint="eastAsia"/>
                <w:i/>
                <w:iCs/>
                <w:noProof/>
              </w:rPr>
              <w:t>Brassica rapa</w:t>
            </w:r>
            <w:r w:rsidRPr="000217D2">
              <w:rPr>
                <w:rStyle w:val="ae"/>
                <w:rFonts w:hint="eastAsia"/>
                <w:noProof/>
              </w:rPr>
              <w:t xml:space="preserve"> leaves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_Toc216766948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28</w:t>
            </w:r>
            <w:r>
              <w:rPr>
                <w:rFonts w:hint="eastAsia"/>
                <w:noProof/>
                <w:webHidden/>
              </w:rPr>
              <w:fldChar w:fldCharType="end"/>
            </w:r>
          </w:hyperlink>
        </w:p>
        <w:p w14:paraId="2B691FC2" w14:textId="25BD1750"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49" w:history="1">
            <w:r w:rsidRPr="000217D2">
              <w:rPr>
                <w:rStyle w:val="ae"/>
                <w:rFonts w:hint="eastAsia"/>
                <w:noProof/>
              </w:rPr>
              <w:t xml:space="preserve">Extended Data Fig. 19 D-sorbitol regulates metabolic pathways such as galactose metabolism and ABC transporters in </w:t>
            </w:r>
            <w:r w:rsidRPr="000217D2">
              <w:rPr>
                <w:rStyle w:val="ae"/>
                <w:rFonts w:hint="eastAsia"/>
                <w:i/>
                <w:iCs/>
                <w:noProof/>
              </w:rPr>
              <w:t>Brassica rapa</w:t>
            </w:r>
            <w:r w:rsidRPr="000217D2">
              <w:rPr>
                <w:rStyle w:val="ae"/>
                <w:rFonts w:hint="eastAsia"/>
                <w:noProof/>
              </w:rPr>
              <w:t xml:space="preserve"> leaves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_Toc216766949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29</w:t>
            </w:r>
            <w:r>
              <w:rPr>
                <w:rFonts w:hint="eastAsia"/>
                <w:noProof/>
                <w:webHidden/>
              </w:rPr>
              <w:fldChar w:fldCharType="end"/>
            </w:r>
          </w:hyperlink>
        </w:p>
        <w:p w14:paraId="7AF40D72" w14:textId="0315AE83"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50" w:history="1">
            <w:r w:rsidRPr="000217D2">
              <w:rPr>
                <w:rStyle w:val="ae"/>
                <w:rFonts w:hint="eastAsia"/>
                <w:noProof/>
              </w:rPr>
              <w:t>Extended Data Fig. 20 Foliar application of D-sorbitol has no significant effect on the growth of non-angiosperm plants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_Toc216766950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30</w:t>
            </w:r>
            <w:r>
              <w:rPr>
                <w:rFonts w:hint="eastAsia"/>
                <w:noProof/>
                <w:webHidden/>
              </w:rPr>
              <w:fldChar w:fldCharType="end"/>
            </w:r>
          </w:hyperlink>
        </w:p>
        <w:p w14:paraId="7FB4C28D" w14:textId="0482BEDA"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51" w:history="1">
            <w:r w:rsidRPr="000217D2">
              <w:rPr>
                <w:rStyle w:val="ae"/>
                <w:rFonts w:hint="eastAsia"/>
                <w:noProof/>
              </w:rPr>
              <w:t>Extended Data Fig. 21 Foliar application of D-sorbitol specifically regulates the growth of angiosperms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_Toc216766951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32</w:t>
            </w:r>
            <w:r>
              <w:rPr>
                <w:rFonts w:hint="eastAsia"/>
                <w:noProof/>
                <w:webHidden/>
              </w:rPr>
              <w:fldChar w:fldCharType="end"/>
            </w:r>
          </w:hyperlink>
        </w:p>
        <w:p w14:paraId="54988A0A" w14:textId="079A4225"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52" w:history="1">
            <w:r w:rsidRPr="000217D2">
              <w:rPr>
                <w:rStyle w:val="ae"/>
                <w:rFonts w:hint="eastAsia"/>
                <w:noProof/>
              </w:rPr>
              <w:t>Extended Data Fig. 22 Light intensity and D-sorbitol -induced regulation of growth and energy metabolism across plant species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_Toc216766952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33</w:t>
            </w:r>
            <w:r>
              <w:rPr>
                <w:rFonts w:hint="eastAsia"/>
                <w:noProof/>
                <w:webHidden/>
              </w:rPr>
              <w:fldChar w:fldCharType="end"/>
            </w:r>
          </w:hyperlink>
        </w:p>
        <w:p w14:paraId="7AF49458" w14:textId="404C507D"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53" w:history="1">
            <w:r w:rsidRPr="000217D2">
              <w:rPr>
                <w:rStyle w:val="ae"/>
                <w:rFonts w:hint="eastAsia"/>
                <w:noProof/>
              </w:rPr>
              <w:t>Extended Data Fig. 23 Light intensity and D-sorbitol has no significant effect on the growth of multiple model plants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_Toc216766953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34</w:t>
            </w:r>
            <w:r>
              <w:rPr>
                <w:rFonts w:hint="eastAsia"/>
                <w:noProof/>
                <w:webHidden/>
              </w:rPr>
              <w:fldChar w:fldCharType="end"/>
            </w:r>
          </w:hyperlink>
        </w:p>
        <w:p w14:paraId="13EBF7B2" w14:textId="2A070A25"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54" w:history="1">
            <w:r w:rsidRPr="000217D2">
              <w:rPr>
                <w:rStyle w:val="ae"/>
                <w:rFonts w:hint="eastAsia"/>
                <w:noProof/>
              </w:rPr>
              <w:t xml:space="preserve">Extended Data Fig. 24 Light intensity-sugar specific interaction regulates </w:t>
            </w:r>
            <w:r w:rsidRPr="000217D2">
              <w:rPr>
                <w:rStyle w:val="ae"/>
                <w:rFonts w:hint="eastAsia"/>
                <w:i/>
                <w:iCs/>
                <w:noProof/>
              </w:rPr>
              <w:t>Brassica rapa</w:t>
            </w:r>
            <w:r w:rsidRPr="000217D2">
              <w:rPr>
                <w:rStyle w:val="ae"/>
                <w:rFonts w:hint="eastAsia"/>
                <w:noProof/>
              </w:rPr>
              <w:t xml:space="preserve"> growth</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_Toc216766954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35</w:t>
            </w:r>
            <w:r>
              <w:rPr>
                <w:rFonts w:hint="eastAsia"/>
                <w:noProof/>
                <w:webHidden/>
              </w:rPr>
              <w:fldChar w:fldCharType="end"/>
            </w:r>
          </w:hyperlink>
        </w:p>
        <w:p w14:paraId="5E8A27BA" w14:textId="5300AE96"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55" w:history="1">
            <w:r w:rsidRPr="000217D2">
              <w:rPr>
                <w:rStyle w:val="ae"/>
                <w:rFonts w:hint="eastAsia"/>
                <w:noProof/>
              </w:rPr>
              <w:t xml:space="preserve">Extended Data Fig. 25 Light intensity and D-sorbitol induces the upregulation of canonical D-sorbitol-metabolizing enzymes gene expression in </w:t>
            </w:r>
            <w:r w:rsidRPr="000217D2">
              <w:rPr>
                <w:rStyle w:val="ae"/>
                <w:rFonts w:hint="eastAsia"/>
                <w:i/>
                <w:iCs/>
                <w:noProof/>
              </w:rPr>
              <w:t>Brassica rapa</w:t>
            </w:r>
            <w:r w:rsidRPr="000217D2">
              <w:rPr>
                <w:rStyle w:val="ae"/>
                <w:rFonts w:hint="eastAsia"/>
                <w:noProof/>
              </w:rPr>
              <w:t xml:space="preserve"> and</w:t>
            </w:r>
            <w:r w:rsidRPr="000217D2">
              <w:rPr>
                <w:rStyle w:val="ae"/>
                <w:rFonts w:hint="eastAsia"/>
                <w:i/>
                <w:iCs/>
                <w:noProof/>
              </w:rPr>
              <w:t xml:space="preserve"> Lactuca sativa</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_Toc216766955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36</w:t>
            </w:r>
            <w:r>
              <w:rPr>
                <w:rFonts w:hint="eastAsia"/>
                <w:noProof/>
                <w:webHidden/>
              </w:rPr>
              <w:fldChar w:fldCharType="end"/>
            </w:r>
          </w:hyperlink>
        </w:p>
        <w:p w14:paraId="7522F005" w14:textId="35E99395"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56" w:history="1">
            <w:r w:rsidRPr="000217D2">
              <w:rPr>
                <w:rStyle w:val="ae"/>
                <w:rFonts w:hint="eastAsia"/>
                <w:noProof/>
              </w:rPr>
              <w:t>Extended Data Fig. 26 Sequence alignment and structural analysis of canonical D-sorbitol-metabolizing enzymes and their orthologous proteins in angiosperms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_Toc216766956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37</w:t>
            </w:r>
            <w:r>
              <w:rPr>
                <w:rFonts w:hint="eastAsia"/>
                <w:noProof/>
                <w:webHidden/>
              </w:rPr>
              <w:fldChar w:fldCharType="end"/>
            </w:r>
          </w:hyperlink>
        </w:p>
        <w:p w14:paraId="585EEDC5" w14:textId="222584AF"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57" w:history="1">
            <w:r w:rsidRPr="000217D2">
              <w:rPr>
                <w:rStyle w:val="ae"/>
                <w:rFonts w:hint="eastAsia"/>
                <w:noProof/>
              </w:rPr>
              <w:t>Extended Data Fig. 27 The LP-WCFS1-mediated rapid fermentation system significantly reduces the abundance of metabolites in the cinnamic acids and derivatives pathway in fresh watermelon aerial parts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_Toc216766957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39</w:t>
            </w:r>
            <w:r>
              <w:rPr>
                <w:rFonts w:hint="eastAsia"/>
                <w:noProof/>
                <w:webHidden/>
              </w:rPr>
              <w:fldChar w:fldCharType="end"/>
            </w:r>
          </w:hyperlink>
        </w:p>
        <w:p w14:paraId="4CD48571" w14:textId="3DB0FCBD"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58" w:history="1">
            <w:r w:rsidRPr="000217D2">
              <w:rPr>
                <w:rStyle w:val="ae"/>
                <w:rFonts w:hint="eastAsia"/>
                <w:noProof/>
              </w:rPr>
              <w:t xml:space="preserve">Extended Data Fig. 28 Returning fermentation residues from the LP-WCFS1-mediated rapid fermentation system to the root zone alleviates the growth inhibition of </w:t>
            </w:r>
            <w:r w:rsidRPr="000217D2">
              <w:rPr>
                <w:rStyle w:val="ae"/>
                <w:rFonts w:hint="eastAsia"/>
                <w:i/>
                <w:iCs/>
                <w:noProof/>
              </w:rPr>
              <w:t>Brassica rapa</w:t>
            </w:r>
            <w:r w:rsidRPr="000217D2">
              <w:rPr>
                <w:rStyle w:val="ae"/>
                <w:rFonts w:hint="eastAsia"/>
                <w:noProof/>
              </w:rPr>
              <w:t xml:space="preserve"> compared with returning fresh stems and leaves to the root zone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_Toc216766958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41</w:t>
            </w:r>
            <w:r>
              <w:rPr>
                <w:rFonts w:hint="eastAsia"/>
                <w:noProof/>
                <w:webHidden/>
              </w:rPr>
              <w:fldChar w:fldCharType="end"/>
            </w:r>
          </w:hyperlink>
        </w:p>
        <w:p w14:paraId="101028F4" w14:textId="34511028"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59" w:history="1">
            <w:r w:rsidRPr="000217D2">
              <w:rPr>
                <w:rStyle w:val="ae"/>
                <w:rFonts w:hint="eastAsia"/>
                <w:noProof/>
              </w:rPr>
              <w:t xml:space="preserve">Extended Data Fig. 29 Returning fermentation residues from the LP-WCFS1-mediated rapid fermentation system to the root zone alleviates the inhibition of </w:t>
            </w:r>
            <w:r w:rsidRPr="000217D2">
              <w:rPr>
                <w:rStyle w:val="ae"/>
                <w:rFonts w:hint="eastAsia"/>
                <w:i/>
                <w:iCs/>
                <w:noProof/>
              </w:rPr>
              <w:t>Zea mays</w:t>
            </w:r>
            <w:r w:rsidRPr="000217D2">
              <w:rPr>
                <w:rStyle w:val="ae"/>
                <w:rFonts w:hint="eastAsia"/>
                <w:noProof/>
              </w:rPr>
              <w:t xml:space="preserve"> growth and yield compared with returning fresh stems and leaves to the root zone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_Toc216766959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42</w:t>
            </w:r>
            <w:r>
              <w:rPr>
                <w:rFonts w:hint="eastAsia"/>
                <w:noProof/>
                <w:webHidden/>
              </w:rPr>
              <w:fldChar w:fldCharType="end"/>
            </w:r>
          </w:hyperlink>
        </w:p>
        <w:p w14:paraId="56FFD781" w14:textId="159C42AD"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60" w:history="1">
            <w:r w:rsidRPr="000217D2">
              <w:rPr>
                <w:rStyle w:val="ae"/>
                <w:rFonts w:hint="eastAsia"/>
                <w:noProof/>
              </w:rPr>
              <w:t>Extended Data Fig. 30 Returning fermentation residues from the LP-WCFS1-mediated rapid fermentation system to the root zone changed the rhizosphere microbial community structure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_Toc216766960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43</w:t>
            </w:r>
            <w:r>
              <w:rPr>
                <w:rFonts w:hint="eastAsia"/>
                <w:noProof/>
                <w:webHidden/>
              </w:rPr>
              <w:fldChar w:fldCharType="end"/>
            </w:r>
          </w:hyperlink>
        </w:p>
        <w:p w14:paraId="2FFB58EA" w14:textId="45F4F7B4"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61" w:history="1">
            <w:r w:rsidRPr="000217D2">
              <w:rPr>
                <w:rStyle w:val="ae"/>
                <w:rFonts w:hint="eastAsia"/>
                <w:noProof/>
              </w:rPr>
              <w:t>Extended Data Fig. 31 LP-WCFS1 rapid fermentation residues improve the rhizosphere microbial community structure of Chinese cabbage and reduce rhizosphere microbial fermentation functions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_Toc216766961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45</w:t>
            </w:r>
            <w:r>
              <w:rPr>
                <w:rFonts w:hint="eastAsia"/>
                <w:noProof/>
                <w:webHidden/>
              </w:rPr>
              <w:fldChar w:fldCharType="end"/>
            </w:r>
          </w:hyperlink>
        </w:p>
        <w:p w14:paraId="588ED5CF" w14:textId="73C6B123"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62" w:history="1">
            <w:r w:rsidRPr="000217D2">
              <w:rPr>
                <w:rStyle w:val="ae"/>
                <w:rFonts w:hint="eastAsia"/>
                <w:noProof/>
              </w:rPr>
              <w:t>Extended Data Fig. 32 Metabolite differences between fresh watermelon aerial parts and fermentation residues influence the rhizosphere microbial community</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_Toc216766962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46</w:t>
            </w:r>
            <w:r>
              <w:rPr>
                <w:rFonts w:hint="eastAsia"/>
                <w:noProof/>
                <w:webHidden/>
              </w:rPr>
              <w:fldChar w:fldCharType="end"/>
            </w:r>
          </w:hyperlink>
        </w:p>
        <w:p w14:paraId="7AAD4701" w14:textId="492BF0BA" w:rsidR="00CB0EBE" w:rsidRDefault="00CB0EBE" w:rsidP="00CB0EBE">
          <w:pPr>
            <w:pStyle w:val="TOC1"/>
            <w:tabs>
              <w:tab w:val="right" w:leader="dot" w:pos="8296"/>
            </w:tabs>
            <w:spacing w:line="300" w:lineRule="auto"/>
            <w:ind w:left="420" w:hangingChars="200" w:hanging="420"/>
            <w:rPr>
              <w:rFonts w:asciiTheme="minorHAnsi" w:hAnsiTheme="minorHAnsi" w:cstheme="minorBidi" w:hint="eastAsia"/>
              <w:noProof/>
              <w:sz w:val="22"/>
              <w:szCs w:val="24"/>
              <w14:ligatures w14:val="standardContextual"/>
            </w:rPr>
          </w:pPr>
          <w:hyperlink w:anchor="_Toc216766963" w:history="1">
            <w:r w:rsidRPr="000217D2">
              <w:rPr>
                <w:rStyle w:val="ae"/>
                <w:rFonts w:hint="eastAsia"/>
                <w:noProof/>
              </w:rPr>
              <w:t>Extended Data Fig. 33 Microorganisms in the LP-WCFS1-mediated rapid fermentation system influence the metabolite composition of rapid fermentation residues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_Toc216766963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47</w:t>
            </w:r>
            <w:r>
              <w:rPr>
                <w:rFonts w:hint="eastAsia"/>
                <w:noProof/>
                <w:webHidden/>
              </w:rPr>
              <w:fldChar w:fldCharType="end"/>
            </w:r>
          </w:hyperlink>
        </w:p>
        <w:p w14:paraId="19065F91" w14:textId="6489E547" w:rsidR="00CB0EBE" w:rsidRDefault="00CB0EBE">
          <w:r>
            <w:rPr>
              <w:b/>
              <w:bCs/>
              <w:lang w:val="zh-CN"/>
            </w:rPr>
            <w:fldChar w:fldCharType="end"/>
          </w:r>
        </w:p>
      </w:sdtContent>
    </w:sdt>
    <w:p w14:paraId="069DC58F" w14:textId="77777777" w:rsidR="00CB0EBE" w:rsidRPr="005967CC" w:rsidRDefault="00CB0EBE" w:rsidP="00CB0EBE"/>
    <w:p w14:paraId="6DB0A1CA" w14:textId="77777777" w:rsidR="00CB0EBE" w:rsidRDefault="00CB0EBE" w:rsidP="00CB0EBE">
      <w:pPr>
        <w:rPr>
          <w:sz w:val="23"/>
          <w:szCs w:val="23"/>
        </w:rPr>
      </w:pPr>
    </w:p>
    <w:p w14:paraId="2C3BADFB"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0D7070B8" wp14:editId="2DA0FE1D">
            <wp:extent cx="5265420" cy="3261360"/>
            <wp:effectExtent l="0" t="0" r="0" b="0"/>
            <wp:docPr id="1940818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65420" cy="3261360"/>
                    </a:xfrm>
                    <a:prstGeom prst="rect">
                      <a:avLst/>
                    </a:prstGeom>
                    <a:noFill/>
                    <a:ln>
                      <a:noFill/>
                    </a:ln>
                  </pic:spPr>
                </pic:pic>
              </a:graphicData>
            </a:graphic>
          </wp:inline>
        </w:drawing>
      </w:r>
    </w:p>
    <w:p w14:paraId="088E49BB" w14:textId="77777777" w:rsidR="00CB0EBE" w:rsidRPr="005D6C91" w:rsidRDefault="00CB0EBE" w:rsidP="00CB0EBE">
      <w:pPr>
        <w:pStyle w:val="SMHeading"/>
        <w:spacing w:before="0" w:after="0" w:line="300" w:lineRule="auto"/>
      </w:pPr>
      <w:bookmarkStart w:id="10" w:name="OLE_LINK132"/>
      <w:bookmarkStart w:id="11" w:name="_Toc216766931"/>
      <w:bookmarkStart w:id="12" w:name="OLE_LINK40"/>
      <w:r>
        <w:t>Extended Data Fig.</w:t>
      </w:r>
      <w:r>
        <w:rPr>
          <w:rFonts w:hint="eastAsia"/>
          <w:lang w:eastAsia="zh-CN"/>
        </w:rPr>
        <w:t xml:space="preserve"> </w:t>
      </w:r>
      <w:bookmarkEnd w:id="10"/>
      <w:r w:rsidRPr="005D6C91">
        <w:t>1 Global watermelon cultivation scale and survey site distribution</w:t>
      </w:r>
      <w:bookmarkEnd w:id="11"/>
    </w:p>
    <w:p w14:paraId="55AF52B7" w14:textId="77777777" w:rsidR="00CB0EBE" w:rsidRPr="003B7224" w:rsidRDefault="00CB0EBE" w:rsidP="00CB0EBE">
      <w:pPr>
        <w:spacing w:line="300" w:lineRule="auto"/>
        <w:rPr>
          <w:sz w:val="23"/>
          <w:szCs w:val="23"/>
        </w:rPr>
      </w:pPr>
      <w:r w:rsidRPr="003B7224">
        <w:rPr>
          <w:sz w:val="23"/>
          <w:szCs w:val="23"/>
        </w:rPr>
        <w:t xml:space="preserve">A. Global distribution of watermelon-producing regions (2024). China is the world’s leading producer (&gt;60%); color intensity (blue to red) indicates cultivation area </w:t>
      </w:r>
      <w:r w:rsidRPr="003B7224">
        <w:rPr>
          <w:sz w:val="23"/>
          <w:szCs w:val="23"/>
          <w:vertAlign w:val="superscript"/>
        </w:rPr>
        <w:t>(21)</w:t>
      </w:r>
      <w:r w:rsidRPr="003B7224">
        <w:rPr>
          <w:sz w:val="23"/>
          <w:szCs w:val="23"/>
        </w:rPr>
        <w:t>.</w:t>
      </w:r>
    </w:p>
    <w:p w14:paraId="420510C5" w14:textId="77777777" w:rsidR="00CB0EBE" w:rsidRPr="003B7224" w:rsidRDefault="00CB0EBE" w:rsidP="00CB0EBE">
      <w:pPr>
        <w:spacing w:line="300" w:lineRule="auto"/>
        <w:rPr>
          <w:sz w:val="23"/>
          <w:szCs w:val="23"/>
        </w:rPr>
      </w:pPr>
      <w:r w:rsidRPr="003B7224">
        <w:rPr>
          <w:sz w:val="23"/>
          <w:szCs w:val="23"/>
        </w:rPr>
        <w:t xml:space="preserve">B. Distribution of watermelon-producing regions in China (2024). Henan is a representative major producer; color intensity (blue to red) indicates cultivation area </w:t>
      </w:r>
      <w:r w:rsidRPr="003B7224">
        <w:rPr>
          <w:sz w:val="23"/>
          <w:szCs w:val="23"/>
          <w:vertAlign w:val="superscript"/>
        </w:rPr>
        <w:t>(22)</w:t>
      </w:r>
      <w:r w:rsidRPr="003B7224">
        <w:rPr>
          <w:sz w:val="23"/>
          <w:szCs w:val="23"/>
        </w:rPr>
        <w:t>.</w:t>
      </w:r>
    </w:p>
    <w:p w14:paraId="57612AAF" w14:textId="77777777" w:rsidR="00CB0EBE" w:rsidRPr="003B7224" w:rsidRDefault="00CB0EBE" w:rsidP="00CB0EBE">
      <w:pPr>
        <w:spacing w:line="300" w:lineRule="auto"/>
        <w:rPr>
          <w:sz w:val="23"/>
          <w:szCs w:val="23"/>
        </w:rPr>
      </w:pPr>
      <w:r w:rsidRPr="003B7224">
        <w:rPr>
          <w:sz w:val="23"/>
          <w:szCs w:val="23"/>
        </w:rPr>
        <w:t xml:space="preserve">C. Distribution of watermelon-producing regions in Henan Province (2024). Shangqiu City is a representative major production area </w:t>
      </w:r>
      <w:r w:rsidRPr="003B7224">
        <w:rPr>
          <w:sz w:val="23"/>
          <w:szCs w:val="23"/>
          <w:vertAlign w:val="superscript"/>
        </w:rPr>
        <w:t>(22)</w:t>
      </w:r>
      <w:r w:rsidRPr="003B7224">
        <w:rPr>
          <w:sz w:val="23"/>
          <w:szCs w:val="23"/>
        </w:rPr>
        <w:t>; color intensity (blue to red) indicates cultivation area.</w:t>
      </w:r>
    </w:p>
    <w:p w14:paraId="45AF629A" w14:textId="77777777" w:rsidR="00CB0EBE" w:rsidRPr="003B7224" w:rsidRDefault="00CB0EBE" w:rsidP="00CB0EBE">
      <w:pPr>
        <w:spacing w:line="300" w:lineRule="auto"/>
        <w:rPr>
          <w:color w:val="EE0000"/>
          <w:sz w:val="23"/>
          <w:szCs w:val="23"/>
        </w:rPr>
      </w:pPr>
      <w:r w:rsidRPr="003B7224">
        <w:rPr>
          <w:sz w:val="23"/>
          <w:szCs w:val="23"/>
        </w:rPr>
        <w:t>D. Survey scale and geographical distribution (</w:t>
      </w:r>
      <w:r w:rsidRPr="00626AE6">
        <w:rPr>
          <w:i/>
          <w:iCs/>
          <w:sz w:val="23"/>
          <w:szCs w:val="23"/>
        </w:rPr>
        <w:t>n</w:t>
      </w:r>
      <w:r>
        <w:rPr>
          <w:rFonts w:hint="eastAsia"/>
          <w:sz w:val="23"/>
          <w:szCs w:val="23"/>
        </w:rPr>
        <w:t xml:space="preserve"> </w:t>
      </w:r>
      <w:r w:rsidRPr="003B7224">
        <w:rPr>
          <w:sz w:val="23"/>
          <w:szCs w:val="23"/>
        </w:rPr>
        <w:t>=</w:t>
      </w:r>
      <w:r>
        <w:rPr>
          <w:rFonts w:hint="eastAsia"/>
          <w:sz w:val="23"/>
          <w:szCs w:val="23"/>
        </w:rPr>
        <w:t xml:space="preserve"> </w:t>
      </w:r>
      <w:r w:rsidRPr="003B7224">
        <w:rPr>
          <w:sz w:val="23"/>
          <w:szCs w:val="23"/>
        </w:rPr>
        <w:t xml:space="preserve">406). Primary surveys were conducted in Shangqiu City, Henan Province (&gt;20,000 ha) </w:t>
      </w:r>
      <w:r w:rsidRPr="003B7224">
        <w:rPr>
          <w:sz w:val="23"/>
          <w:szCs w:val="23"/>
          <w:vertAlign w:val="superscript"/>
        </w:rPr>
        <w:t>(</w:t>
      </w:r>
      <w:r w:rsidRPr="003B7224">
        <w:rPr>
          <w:i/>
          <w:iCs/>
          <w:sz w:val="23"/>
          <w:szCs w:val="23"/>
          <w:vertAlign w:val="superscript"/>
        </w:rPr>
        <w:t>22</w:t>
      </w:r>
      <w:r w:rsidRPr="003B7224">
        <w:rPr>
          <w:sz w:val="23"/>
          <w:szCs w:val="23"/>
          <w:vertAlign w:val="superscript"/>
        </w:rPr>
        <w:t>)</w:t>
      </w:r>
      <w:r w:rsidRPr="003B7224">
        <w:rPr>
          <w:sz w:val="23"/>
          <w:szCs w:val="23"/>
        </w:rPr>
        <w:t>, a major watermelon-producing area, yielding &gt;300 responses. Color intensity (blue to red) indicates increasing number of questionnaires.</w:t>
      </w:r>
    </w:p>
    <w:p w14:paraId="74667E6A" w14:textId="77777777" w:rsidR="00CB0EBE" w:rsidRPr="003B7224" w:rsidRDefault="00CB0EBE" w:rsidP="00CB0EBE">
      <w:pPr>
        <w:spacing w:line="300" w:lineRule="auto"/>
        <w:rPr>
          <w:sz w:val="23"/>
          <w:szCs w:val="23"/>
        </w:rPr>
      </w:pPr>
      <w:r w:rsidRPr="003B7224">
        <w:rPr>
          <w:sz w:val="23"/>
          <w:szCs w:val="23"/>
        </w:rPr>
        <w:t xml:space="preserve">E. Topography of Shangqiu City, Henan Province (a major watermelon-producing area &gt;20,000 ha) </w:t>
      </w:r>
      <w:r w:rsidRPr="003B7224">
        <w:rPr>
          <w:sz w:val="23"/>
          <w:szCs w:val="23"/>
          <w:vertAlign w:val="superscript"/>
        </w:rPr>
        <w:t>(</w:t>
      </w:r>
      <w:r w:rsidRPr="003B7224">
        <w:rPr>
          <w:i/>
          <w:iCs/>
          <w:sz w:val="23"/>
          <w:szCs w:val="23"/>
          <w:vertAlign w:val="superscript"/>
        </w:rPr>
        <w:t>22</w:t>
      </w:r>
      <w:r w:rsidRPr="003B7224">
        <w:rPr>
          <w:sz w:val="23"/>
          <w:szCs w:val="23"/>
          <w:vertAlign w:val="superscript"/>
        </w:rPr>
        <w:t>)</w:t>
      </w:r>
      <w:r w:rsidRPr="003B7224">
        <w:rPr>
          <w:sz w:val="23"/>
          <w:szCs w:val="23"/>
        </w:rPr>
        <w:t>, where primary surveys yielded &gt;300 valid responses.</w:t>
      </w:r>
      <w:bookmarkEnd w:id="12"/>
      <w:r w:rsidRPr="003B7224">
        <w:rPr>
          <w:sz w:val="23"/>
          <w:szCs w:val="23"/>
        </w:rPr>
        <w:br w:type="page"/>
      </w:r>
    </w:p>
    <w:p w14:paraId="1B0CABDC"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14416C04" wp14:editId="2CD981E3">
            <wp:extent cx="5265420" cy="5623560"/>
            <wp:effectExtent l="0" t="0" r="0" b="0"/>
            <wp:docPr id="8974975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65420" cy="5623560"/>
                    </a:xfrm>
                    <a:prstGeom prst="rect">
                      <a:avLst/>
                    </a:prstGeom>
                    <a:noFill/>
                    <a:ln>
                      <a:noFill/>
                    </a:ln>
                  </pic:spPr>
                </pic:pic>
              </a:graphicData>
            </a:graphic>
          </wp:inline>
        </w:drawing>
      </w:r>
    </w:p>
    <w:p w14:paraId="5029DA6E" w14:textId="77777777" w:rsidR="00CB0EBE" w:rsidRPr="005D6C91" w:rsidRDefault="00CB0EBE" w:rsidP="00CB0EBE">
      <w:pPr>
        <w:pStyle w:val="SMHeading"/>
        <w:spacing w:before="0" w:after="0" w:line="300" w:lineRule="auto"/>
      </w:pPr>
      <w:bookmarkStart w:id="13" w:name="_Toc216766932"/>
      <w:r>
        <w:t>Extended Data Fig.</w:t>
      </w:r>
      <w:r>
        <w:rPr>
          <w:rFonts w:hint="eastAsia"/>
          <w:lang w:eastAsia="zh-CN"/>
        </w:rPr>
        <w:t xml:space="preserve"> </w:t>
      </w:r>
      <w:r w:rsidRPr="005D6C91">
        <w:t>2 Demographic characteristics and basic cultivation practices in the watermelon industry</w:t>
      </w:r>
      <w:bookmarkEnd w:id="13"/>
    </w:p>
    <w:p w14:paraId="70ADA10C" w14:textId="77777777" w:rsidR="00CB0EBE" w:rsidRPr="003B7224" w:rsidRDefault="00CB0EBE" w:rsidP="00CB0EBE">
      <w:pPr>
        <w:spacing w:line="300" w:lineRule="auto"/>
        <w:rPr>
          <w:sz w:val="23"/>
          <w:szCs w:val="23"/>
        </w:rPr>
      </w:pPr>
      <w:r w:rsidRPr="003B7224">
        <w:rPr>
          <w:sz w:val="23"/>
          <w:szCs w:val="23"/>
        </w:rPr>
        <w:t xml:space="preserve">A. Age distribution of respondents (single-choice question; </w:t>
      </w:r>
      <w:bookmarkStart w:id="14" w:name="OLE_LINK131"/>
      <w:r w:rsidRPr="00626AE6">
        <w:rPr>
          <w:i/>
          <w:iCs/>
          <w:sz w:val="23"/>
          <w:szCs w:val="23"/>
        </w:rPr>
        <w:t>n</w:t>
      </w:r>
      <w:r w:rsidRPr="00626AE6">
        <w:rPr>
          <w:rFonts w:hint="eastAsia"/>
          <w:i/>
          <w:iCs/>
          <w:sz w:val="23"/>
          <w:szCs w:val="23"/>
        </w:rPr>
        <w:t xml:space="preserve"> </w:t>
      </w:r>
      <w:r w:rsidRPr="003B7224">
        <w:rPr>
          <w:sz w:val="23"/>
          <w:szCs w:val="23"/>
        </w:rPr>
        <w:t>=</w:t>
      </w:r>
      <w:r>
        <w:rPr>
          <w:rFonts w:hint="eastAsia"/>
          <w:sz w:val="23"/>
          <w:szCs w:val="23"/>
        </w:rPr>
        <w:t xml:space="preserve"> </w:t>
      </w:r>
      <w:r w:rsidRPr="003B7224">
        <w:rPr>
          <w:sz w:val="23"/>
          <w:szCs w:val="23"/>
        </w:rPr>
        <w:t>406</w:t>
      </w:r>
      <w:bookmarkEnd w:id="14"/>
      <w:r w:rsidRPr="003B7224">
        <w:rPr>
          <w:sz w:val="23"/>
          <w:szCs w:val="23"/>
        </w:rPr>
        <w:t>). Color intensity (blue to red) indicates increasing age. Most respondents were aged 26–60 years.</w:t>
      </w:r>
    </w:p>
    <w:p w14:paraId="50084990" w14:textId="77777777" w:rsidR="00CB0EBE" w:rsidRPr="003B7224" w:rsidRDefault="00CB0EBE" w:rsidP="00CB0EBE">
      <w:pPr>
        <w:spacing w:line="300" w:lineRule="auto"/>
        <w:rPr>
          <w:sz w:val="23"/>
          <w:szCs w:val="23"/>
        </w:rPr>
      </w:pPr>
      <w:r w:rsidRPr="003B7224">
        <w:rPr>
          <w:sz w:val="23"/>
          <w:szCs w:val="23"/>
        </w:rPr>
        <w:t xml:space="preserve">B. Educational background of respondents (single-choice question; </w:t>
      </w:r>
      <w:r w:rsidRPr="00626AE6">
        <w:rPr>
          <w:i/>
          <w:iCs/>
          <w:sz w:val="23"/>
          <w:szCs w:val="23"/>
        </w:rPr>
        <w:t>n</w:t>
      </w:r>
      <w:r w:rsidRPr="00626AE6">
        <w:rPr>
          <w:rFonts w:hint="eastAsia"/>
          <w:i/>
          <w:iCs/>
          <w:sz w:val="23"/>
          <w:szCs w:val="23"/>
        </w:rPr>
        <w:t xml:space="preserve"> </w:t>
      </w:r>
      <w:r w:rsidRPr="003B7224">
        <w:rPr>
          <w:sz w:val="23"/>
          <w:szCs w:val="23"/>
        </w:rPr>
        <w:t>=</w:t>
      </w:r>
      <w:r>
        <w:rPr>
          <w:rFonts w:hint="eastAsia"/>
          <w:sz w:val="23"/>
          <w:szCs w:val="23"/>
        </w:rPr>
        <w:t xml:space="preserve"> </w:t>
      </w:r>
      <w:r w:rsidRPr="003B7224">
        <w:rPr>
          <w:sz w:val="23"/>
          <w:szCs w:val="23"/>
        </w:rPr>
        <w:t>406). Color intensity (blue to red) indicates higher educational attainment. Most respondents lacked higher education.</w:t>
      </w:r>
    </w:p>
    <w:p w14:paraId="68FAEB0F" w14:textId="77777777" w:rsidR="00CB0EBE" w:rsidRPr="003B7224" w:rsidRDefault="00CB0EBE" w:rsidP="00CB0EBE">
      <w:pPr>
        <w:spacing w:line="300" w:lineRule="auto"/>
        <w:rPr>
          <w:sz w:val="23"/>
          <w:szCs w:val="23"/>
        </w:rPr>
      </w:pPr>
      <w:r w:rsidRPr="003B7224">
        <w:rPr>
          <w:sz w:val="23"/>
          <w:szCs w:val="23"/>
        </w:rPr>
        <w:t xml:space="preserve">C. Duration of farming experience. Pie chart showing the proportion of farmers surveyed (single-choice question; </w:t>
      </w:r>
      <w:r w:rsidRPr="00626AE6">
        <w:rPr>
          <w:i/>
          <w:iCs/>
          <w:sz w:val="23"/>
          <w:szCs w:val="23"/>
        </w:rPr>
        <w:t>n</w:t>
      </w:r>
      <w:r w:rsidRPr="00626AE6">
        <w:rPr>
          <w:rFonts w:hint="eastAsia"/>
          <w:i/>
          <w:iCs/>
          <w:sz w:val="23"/>
          <w:szCs w:val="23"/>
        </w:rPr>
        <w:t xml:space="preserve"> </w:t>
      </w:r>
      <w:r w:rsidRPr="003B7224">
        <w:rPr>
          <w:sz w:val="23"/>
          <w:szCs w:val="23"/>
        </w:rPr>
        <w:t>=</w:t>
      </w:r>
      <w:r>
        <w:rPr>
          <w:rFonts w:hint="eastAsia"/>
          <w:sz w:val="23"/>
          <w:szCs w:val="23"/>
        </w:rPr>
        <w:t xml:space="preserve"> </w:t>
      </w:r>
      <w:r w:rsidRPr="003B7224">
        <w:rPr>
          <w:sz w:val="23"/>
          <w:szCs w:val="23"/>
        </w:rPr>
        <w:t>406).</w:t>
      </w:r>
    </w:p>
    <w:p w14:paraId="7D187ECE" w14:textId="77777777" w:rsidR="00CB0EBE" w:rsidRPr="003B7224" w:rsidRDefault="00CB0EBE" w:rsidP="00CB0EBE">
      <w:pPr>
        <w:spacing w:line="300" w:lineRule="auto"/>
        <w:rPr>
          <w:sz w:val="23"/>
          <w:szCs w:val="23"/>
        </w:rPr>
      </w:pPr>
      <w:r w:rsidRPr="003B7224">
        <w:rPr>
          <w:sz w:val="23"/>
          <w:szCs w:val="23"/>
        </w:rPr>
        <w:t xml:space="preserve">D. Cultivation methods. Pie chart showing the distribution of growing locations among farmers (single-choice question; </w:t>
      </w:r>
      <w:r w:rsidRPr="00626AE6">
        <w:rPr>
          <w:i/>
          <w:iCs/>
          <w:sz w:val="23"/>
          <w:szCs w:val="23"/>
        </w:rPr>
        <w:t>n</w:t>
      </w:r>
      <w:r w:rsidRPr="00626AE6">
        <w:rPr>
          <w:rFonts w:hint="eastAsia"/>
          <w:i/>
          <w:iCs/>
          <w:sz w:val="23"/>
          <w:szCs w:val="23"/>
        </w:rPr>
        <w:t xml:space="preserve"> </w:t>
      </w:r>
      <w:r w:rsidRPr="003B7224">
        <w:rPr>
          <w:sz w:val="23"/>
          <w:szCs w:val="23"/>
        </w:rPr>
        <w:t>=</w:t>
      </w:r>
      <w:r>
        <w:rPr>
          <w:rFonts w:hint="eastAsia"/>
          <w:sz w:val="23"/>
          <w:szCs w:val="23"/>
        </w:rPr>
        <w:t xml:space="preserve"> </w:t>
      </w:r>
      <w:r w:rsidRPr="003B7224">
        <w:rPr>
          <w:sz w:val="23"/>
          <w:szCs w:val="23"/>
        </w:rPr>
        <w:t>406).</w:t>
      </w:r>
    </w:p>
    <w:p w14:paraId="2FC5954E" w14:textId="77777777" w:rsidR="00CB0EBE" w:rsidRPr="003B7224" w:rsidRDefault="00CB0EBE" w:rsidP="00CB0EBE">
      <w:pPr>
        <w:spacing w:line="300" w:lineRule="auto"/>
        <w:rPr>
          <w:sz w:val="23"/>
          <w:szCs w:val="23"/>
        </w:rPr>
      </w:pPr>
      <w:r w:rsidRPr="003B7224">
        <w:rPr>
          <w:sz w:val="23"/>
          <w:szCs w:val="23"/>
        </w:rPr>
        <w:t xml:space="preserve">E. Cultivation area. Pie chart showing the proportion of farmers by land area under </w:t>
      </w:r>
      <w:r w:rsidRPr="003B7224">
        <w:rPr>
          <w:sz w:val="23"/>
          <w:szCs w:val="23"/>
        </w:rPr>
        <w:lastRenderedPageBreak/>
        <w:t xml:space="preserve">watermelon cultivation (single-choice question; </w:t>
      </w:r>
      <w:r w:rsidRPr="00626AE6">
        <w:rPr>
          <w:i/>
          <w:iCs/>
          <w:sz w:val="23"/>
          <w:szCs w:val="23"/>
        </w:rPr>
        <w:t>n</w:t>
      </w:r>
      <w:r w:rsidRPr="00626AE6">
        <w:rPr>
          <w:rFonts w:hint="eastAsia"/>
          <w:i/>
          <w:iCs/>
          <w:sz w:val="23"/>
          <w:szCs w:val="23"/>
        </w:rPr>
        <w:t xml:space="preserve"> </w:t>
      </w:r>
      <w:r w:rsidRPr="003B7224">
        <w:rPr>
          <w:sz w:val="23"/>
          <w:szCs w:val="23"/>
        </w:rPr>
        <w:t>=</w:t>
      </w:r>
      <w:r>
        <w:rPr>
          <w:rFonts w:hint="eastAsia"/>
          <w:sz w:val="23"/>
          <w:szCs w:val="23"/>
        </w:rPr>
        <w:t xml:space="preserve"> </w:t>
      </w:r>
      <w:r w:rsidRPr="003B7224">
        <w:rPr>
          <w:sz w:val="23"/>
          <w:szCs w:val="23"/>
        </w:rPr>
        <w:t>406).</w:t>
      </w:r>
    </w:p>
    <w:p w14:paraId="49FD9D8A" w14:textId="77777777" w:rsidR="00CB0EBE" w:rsidRPr="003B7224" w:rsidRDefault="00CB0EBE" w:rsidP="00CB0EBE">
      <w:pPr>
        <w:spacing w:line="300" w:lineRule="auto"/>
        <w:rPr>
          <w:sz w:val="23"/>
          <w:szCs w:val="23"/>
        </w:rPr>
      </w:pPr>
      <w:r w:rsidRPr="003B7224">
        <w:rPr>
          <w:sz w:val="23"/>
          <w:szCs w:val="23"/>
        </w:rPr>
        <w:t xml:space="preserve">F. Planting density. Pie chart showing the proportion of farmers by plants per hectare (single-choice question; </w:t>
      </w:r>
      <w:r w:rsidRPr="00626AE6">
        <w:rPr>
          <w:i/>
          <w:iCs/>
          <w:sz w:val="23"/>
          <w:szCs w:val="23"/>
        </w:rPr>
        <w:t>n</w:t>
      </w:r>
      <w:r w:rsidRPr="00626AE6">
        <w:rPr>
          <w:rFonts w:hint="eastAsia"/>
          <w:i/>
          <w:iCs/>
          <w:sz w:val="23"/>
          <w:szCs w:val="23"/>
        </w:rPr>
        <w:t xml:space="preserve"> </w:t>
      </w:r>
      <w:r w:rsidRPr="003B7224">
        <w:rPr>
          <w:sz w:val="23"/>
          <w:szCs w:val="23"/>
        </w:rPr>
        <w:t>=</w:t>
      </w:r>
      <w:r>
        <w:rPr>
          <w:rFonts w:hint="eastAsia"/>
          <w:sz w:val="23"/>
          <w:szCs w:val="23"/>
        </w:rPr>
        <w:t xml:space="preserve"> </w:t>
      </w:r>
      <w:r w:rsidRPr="003B7224">
        <w:rPr>
          <w:sz w:val="23"/>
          <w:szCs w:val="23"/>
        </w:rPr>
        <w:t>406).</w:t>
      </w:r>
    </w:p>
    <w:p w14:paraId="2191868F" w14:textId="77777777" w:rsidR="00CB0EBE" w:rsidRPr="003B7224" w:rsidRDefault="00CB0EBE" w:rsidP="00CB0EBE">
      <w:pPr>
        <w:spacing w:line="300" w:lineRule="auto"/>
        <w:rPr>
          <w:sz w:val="23"/>
          <w:szCs w:val="23"/>
        </w:rPr>
      </w:pPr>
      <w:r w:rsidRPr="003B7224">
        <w:rPr>
          <w:sz w:val="23"/>
          <w:szCs w:val="23"/>
        </w:rPr>
        <w:t xml:space="preserve">G. Number of cultivars grown. Pie chart showing the proportion of farmers by the number of watermelon cultivars planted (single-choice question; </w:t>
      </w:r>
      <w:r w:rsidRPr="00626AE6">
        <w:rPr>
          <w:i/>
          <w:iCs/>
          <w:sz w:val="23"/>
          <w:szCs w:val="23"/>
        </w:rPr>
        <w:t>n</w:t>
      </w:r>
      <w:r w:rsidRPr="00626AE6">
        <w:rPr>
          <w:rFonts w:hint="eastAsia"/>
          <w:i/>
          <w:iCs/>
          <w:sz w:val="23"/>
          <w:szCs w:val="23"/>
        </w:rPr>
        <w:t xml:space="preserve"> </w:t>
      </w:r>
      <w:r w:rsidRPr="003B7224">
        <w:rPr>
          <w:sz w:val="23"/>
          <w:szCs w:val="23"/>
        </w:rPr>
        <w:t>=</w:t>
      </w:r>
      <w:r>
        <w:rPr>
          <w:rFonts w:hint="eastAsia"/>
          <w:sz w:val="23"/>
          <w:szCs w:val="23"/>
        </w:rPr>
        <w:t xml:space="preserve"> </w:t>
      </w:r>
      <w:r w:rsidRPr="003B7224">
        <w:rPr>
          <w:sz w:val="23"/>
          <w:szCs w:val="23"/>
        </w:rPr>
        <w:t>406).</w:t>
      </w:r>
    </w:p>
    <w:p w14:paraId="66E3E41A" w14:textId="77777777" w:rsidR="00CB0EBE" w:rsidRPr="003B7224" w:rsidRDefault="00CB0EBE" w:rsidP="00CB0EBE">
      <w:pPr>
        <w:spacing w:line="300" w:lineRule="auto"/>
        <w:rPr>
          <w:sz w:val="23"/>
          <w:szCs w:val="23"/>
        </w:rPr>
      </w:pPr>
      <w:r w:rsidRPr="003B7224">
        <w:rPr>
          <w:sz w:val="23"/>
          <w:szCs w:val="23"/>
        </w:rPr>
        <w:t xml:space="preserve">H. Dominant cultivars. Bar chart identifying major cultivars (x-axis: cultivar names; y-axis: proportion of respondents). ‘Meidu’ and ‘8424’ were the most prevalent (multiple-choice question; </w:t>
      </w:r>
      <w:r w:rsidRPr="00626AE6">
        <w:rPr>
          <w:i/>
          <w:iCs/>
          <w:sz w:val="23"/>
          <w:szCs w:val="23"/>
        </w:rPr>
        <w:t>n</w:t>
      </w:r>
      <w:r w:rsidRPr="00626AE6">
        <w:rPr>
          <w:rFonts w:hint="eastAsia"/>
          <w:i/>
          <w:iCs/>
          <w:sz w:val="23"/>
          <w:szCs w:val="23"/>
        </w:rPr>
        <w:t xml:space="preserve"> </w:t>
      </w:r>
      <w:r w:rsidRPr="003B7224">
        <w:rPr>
          <w:sz w:val="23"/>
          <w:szCs w:val="23"/>
        </w:rPr>
        <w:t>=</w:t>
      </w:r>
      <w:r>
        <w:rPr>
          <w:rFonts w:hint="eastAsia"/>
          <w:sz w:val="23"/>
          <w:szCs w:val="23"/>
        </w:rPr>
        <w:t xml:space="preserve"> </w:t>
      </w:r>
      <w:r w:rsidRPr="003B7224">
        <w:rPr>
          <w:sz w:val="23"/>
          <w:szCs w:val="23"/>
        </w:rPr>
        <w:t>406).</w:t>
      </w:r>
    </w:p>
    <w:p w14:paraId="4FB2B693" w14:textId="77777777" w:rsidR="00CB0EBE" w:rsidRPr="003B7224" w:rsidRDefault="00CB0EBE" w:rsidP="00CB0EBE">
      <w:pPr>
        <w:spacing w:line="300" w:lineRule="auto"/>
        <w:rPr>
          <w:sz w:val="23"/>
          <w:szCs w:val="23"/>
        </w:rPr>
      </w:pPr>
      <w:r w:rsidRPr="003B7224">
        <w:rPr>
          <w:sz w:val="23"/>
          <w:szCs w:val="23"/>
        </w:rPr>
        <w:t xml:space="preserve">I. Fertilization frequency. Pie chart showing the proportion of farmers by fertilization events per crop cycle (single-choice question; </w:t>
      </w:r>
      <w:r w:rsidRPr="00626AE6">
        <w:rPr>
          <w:i/>
          <w:iCs/>
          <w:sz w:val="23"/>
          <w:szCs w:val="23"/>
        </w:rPr>
        <w:t>n</w:t>
      </w:r>
      <w:r w:rsidRPr="00626AE6">
        <w:rPr>
          <w:rFonts w:hint="eastAsia"/>
          <w:i/>
          <w:iCs/>
          <w:sz w:val="23"/>
          <w:szCs w:val="23"/>
        </w:rPr>
        <w:t xml:space="preserve"> </w:t>
      </w:r>
      <w:r w:rsidRPr="003B7224">
        <w:rPr>
          <w:sz w:val="23"/>
          <w:szCs w:val="23"/>
        </w:rPr>
        <w:t>=</w:t>
      </w:r>
      <w:r>
        <w:rPr>
          <w:rFonts w:hint="eastAsia"/>
          <w:sz w:val="23"/>
          <w:szCs w:val="23"/>
        </w:rPr>
        <w:t xml:space="preserve"> </w:t>
      </w:r>
      <w:r w:rsidRPr="003B7224">
        <w:rPr>
          <w:sz w:val="23"/>
          <w:szCs w:val="23"/>
        </w:rPr>
        <w:t>406).</w:t>
      </w:r>
    </w:p>
    <w:p w14:paraId="16130C48" w14:textId="77777777" w:rsidR="00CB0EBE" w:rsidRPr="003B7224" w:rsidRDefault="00CB0EBE" w:rsidP="00CB0EBE">
      <w:pPr>
        <w:spacing w:line="300" w:lineRule="auto"/>
        <w:rPr>
          <w:sz w:val="23"/>
          <w:szCs w:val="23"/>
        </w:rPr>
      </w:pPr>
      <w:r w:rsidRPr="003B7224">
        <w:rPr>
          <w:sz w:val="23"/>
          <w:szCs w:val="23"/>
        </w:rPr>
        <w:t xml:space="preserve">G. Types of fertilizers used. Bar chart showing fertilizer categories (x-axis: fertilizer types; y-axis: proportion of farmers using each type) (multiple-choice question; </w:t>
      </w:r>
      <w:r w:rsidRPr="00626AE6">
        <w:rPr>
          <w:i/>
          <w:iCs/>
          <w:sz w:val="23"/>
          <w:szCs w:val="23"/>
        </w:rPr>
        <w:t>n</w:t>
      </w:r>
      <w:r w:rsidRPr="00626AE6">
        <w:rPr>
          <w:rFonts w:hint="eastAsia"/>
          <w:i/>
          <w:iCs/>
          <w:sz w:val="23"/>
          <w:szCs w:val="23"/>
        </w:rPr>
        <w:t xml:space="preserve"> </w:t>
      </w:r>
      <w:r w:rsidRPr="003B7224">
        <w:rPr>
          <w:sz w:val="23"/>
          <w:szCs w:val="23"/>
        </w:rPr>
        <w:t>=</w:t>
      </w:r>
      <w:r>
        <w:rPr>
          <w:rFonts w:hint="eastAsia"/>
          <w:sz w:val="23"/>
          <w:szCs w:val="23"/>
        </w:rPr>
        <w:t xml:space="preserve"> </w:t>
      </w:r>
      <w:r w:rsidRPr="003B7224">
        <w:rPr>
          <w:sz w:val="23"/>
          <w:szCs w:val="23"/>
        </w:rPr>
        <w:t>406).</w:t>
      </w:r>
    </w:p>
    <w:p w14:paraId="73CAE8B1" w14:textId="77777777" w:rsidR="00CB0EBE" w:rsidRPr="003B7224" w:rsidRDefault="00CB0EBE" w:rsidP="00CB0EBE">
      <w:pPr>
        <w:spacing w:line="300" w:lineRule="auto"/>
        <w:rPr>
          <w:sz w:val="23"/>
          <w:szCs w:val="23"/>
        </w:rPr>
      </w:pPr>
      <w:r w:rsidRPr="003B7224">
        <w:rPr>
          <w:sz w:val="23"/>
          <w:szCs w:val="23"/>
        </w:rPr>
        <w:t xml:space="preserve">K. Preference for organic fertilizers. Pie chart showing farmers’ inclination toward organic fertilizer use (single-choice question; </w:t>
      </w:r>
      <w:r w:rsidRPr="00626AE6">
        <w:rPr>
          <w:i/>
          <w:iCs/>
          <w:sz w:val="23"/>
          <w:szCs w:val="23"/>
        </w:rPr>
        <w:t>n</w:t>
      </w:r>
      <w:r w:rsidRPr="00626AE6">
        <w:rPr>
          <w:rFonts w:hint="eastAsia"/>
          <w:i/>
          <w:iCs/>
          <w:sz w:val="23"/>
          <w:szCs w:val="23"/>
        </w:rPr>
        <w:t xml:space="preserve"> </w:t>
      </w:r>
      <w:r w:rsidRPr="003B7224">
        <w:rPr>
          <w:sz w:val="23"/>
          <w:szCs w:val="23"/>
        </w:rPr>
        <w:t>=</w:t>
      </w:r>
      <w:r>
        <w:rPr>
          <w:rFonts w:hint="eastAsia"/>
          <w:sz w:val="23"/>
          <w:szCs w:val="23"/>
        </w:rPr>
        <w:t xml:space="preserve"> </w:t>
      </w:r>
      <w:r w:rsidRPr="003B7224">
        <w:rPr>
          <w:sz w:val="23"/>
          <w:szCs w:val="23"/>
        </w:rPr>
        <w:t>406).</w:t>
      </w:r>
    </w:p>
    <w:p w14:paraId="4A4DB387" w14:textId="77777777" w:rsidR="00CB0EBE" w:rsidRPr="003B7224" w:rsidRDefault="00CB0EBE" w:rsidP="00CB0EBE">
      <w:pPr>
        <w:spacing w:line="300" w:lineRule="auto"/>
        <w:rPr>
          <w:sz w:val="23"/>
          <w:szCs w:val="23"/>
        </w:rPr>
      </w:pPr>
      <w:r w:rsidRPr="003B7224">
        <w:rPr>
          <w:sz w:val="23"/>
          <w:szCs w:val="23"/>
        </w:rPr>
        <w:t xml:space="preserve">L. Fertilizer costs. Pie chart showing the proportion of farmers by fertilizer expenditure (single-choice question; </w:t>
      </w:r>
      <w:r w:rsidRPr="00626AE6">
        <w:rPr>
          <w:i/>
          <w:iCs/>
          <w:sz w:val="23"/>
          <w:szCs w:val="23"/>
        </w:rPr>
        <w:t>n</w:t>
      </w:r>
      <w:r w:rsidRPr="00626AE6">
        <w:rPr>
          <w:rFonts w:hint="eastAsia"/>
          <w:i/>
          <w:iCs/>
          <w:sz w:val="23"/>
          <w:szCs w:val="23"/>
        </w:rPr>
        <w:t xml:space="preserve"> </w:t>
      </w:r>
      <w:r w:rsidRPr="003B7224">
        <w:rPr>
          <w:sz w:val="23"/>
          <w:szCs w:val="23"/>
        </w:rPr>
        <w:t>=</w:t>
      </w:r>
      <w:r>
        <w:rPr>
          <w:rFonts w:hint="eastAsia"/>
          <w:sz w:val="23"/>
          <w:szCs w:val="23"/>
        </w:rPr>
        <w:t xml:space="preserve"> </w:t>
      </w:r>
      <w:r w:rsidRPr="003B7224">
        <w:rPr>
          <w:sz w:val="23"/>
          <w:szCs w:val="23"/>
        </w:rPr>
        <w:t>406).</w:t>
      </w:r>
    </w:p>
    <w:p w14:paraId="21ED2B2B" w14:textId="77777777" w:rsidR="00CB0EBE" w:rsidRPr="003B7224" w:rsidRDefault="00CB0EBE" w:rsidP="00CB0EBE">
      <w:pPr>
        <w:spacing w:line="300" w:lineRule="auto"/>
        <w:rPr>
          <w:sz w:val="23"/>
          <w:szCs w:val="23"/>
        </w:rPr>
      </w:pPr>
      <w:r w:rsidRPr="003B7224">
        <w:rPr>
          <w:sz w:val="23"/>
          <w:szCs w:val="23"/>
        </w:rPr>
        <w:t xml:space="preserve">M. Watermelon yield. Pie chart showing the distribution of yields (tons/ha) among farmers (single-choice question; </w:t>
      </w:r>
      <w:r w:rsidRPr="00626AE6">
        <w:rPr>
          <w:i/>
          <w:iCs/>
          <w:sz w:val="23"/>
          <w:szCs w:val="23"/>
        </w:rPr>
        <w:t>n</w:t>
      </w:r>
      <w:r w:rsidRPr="00626AE6">
        <w:rPr>
          <w:rFonts w:hint="eastAsia"/>
          <w:i/>
          <w:iCs/>
          <w:sz w:val="23"/>
          <w:szCs w:val="23"/>
        </w:rPr>
        <w:t xml:space="preserve"> </w:t>
      </w:r>
      <w:r w:rsidRPr="003B7224">
        <w:rPr>
          <w:sz w:val="23"/>
          <w:szCs w:val="23"/>
        </w:rPr>
        <w:t>=</w:t>
      </w:r>
      <w:r>
        <w:rPr>
          <w:rFonts w:hint="eastAsia"/>
          <w:sz w:val="23"/>
          <w:szCs w:val="23"/>
        </w:rPr>
        <w:t xml:space="preserve"> </w:t>
      </w:r>
      <w:r w:rsidRPr="003B7224">
        <w:rPr>
          <w:sz w:val="23"/>
          <w:szCs w:val="23"/>
        </w:rPr>
        <w:t>406).</w:t>
      </w:r>
    </w:p>
    <w:p w14:paraId="229DE465" w14:textId="77777777" w:rsidR="00CB0EBE" w:rsidRPr="003B7224" w:rsidRDefault="00CB0EBE" w:rsidP="00CB0EBE">
      <w:pPr>
        <w:spacing w:line="300" w:lineRule="auto"/>
        <w:rPr>
          <w:sz w:val="23"/>
          <w:szCs w:val="23"/>
        </w:rPr>
      </w:pPr>
      <w:r w:rsidRPr="003B7224">
        <w:rPr>
          <w:sz w:val="23"/>
          <w:szCs w:val="23"/>
        </w:rPr>
        <w:t xml:space="preserve">N. Net profit. Pie chart showing the distribution of net profits (yuan/ha) from watermelon cultivation (single-choice question; </w:t>
      </w:r>
      <w:r w:rsidRPr="00626AE6">
        <w:rPr>
          <w:i/>
          <w:iCs/>
          <w:sz w:val="23"/>
          <w:szCs w:val="23"/>
        </w:rPr>
        <w:t>n</w:t>
      </w:r>
      <w:r w:rsidRPr="00626AE6">
        <w:rPr>
          <w:rFonts w:hint="eastAsia"/>
          <w:i/>
          <w:iCs/>
          <w:sz w:val="23"/>
          <w:szCs w:val="23"/>
        </w:rPr>
        <w:t xml:space="preserve"> </w:t>
      </w:r>
      <w:r w:rsidRPr="003B7224">
        <w:rPr>
          <w:sz w:val="23"/>
          <w:szCs w:val="23"/>
        </w:rPr>
        <w:t>=</w:t>
      </w:r>
      <w:r>
        <w:rPr>
          <w:rFonts w:hint="eastAsia"/>
          <w:sz w:val="23"/>
          <w:szCs w:val="23"/>
        </w:rPr>
        <w:t xml:space="preserve"> </w:t>
      </w:r>
      <w:r w:rsidRPr="003B7224">
        <w:rPr>
          <w:sz w:val="23"/>
          <w:szCs w:val="23"/>
        </w:rPr>
        <w:t>406).</w:t>
      </w:r>
      <w:r w:rsidRPr="003B7224">
        <w:rPr>
          <w:sz w:val="23"/>
          <w:szCs w:val="23"/>
        </w:rPr>
        <w:br w:type="page"/>
      </w:r>
    </w:p>
    <w:p w14:paraId="1E4FAD04"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2F58B04A" wp14:editId="786FE404">
            <wp:extent cx="5265420" cy="3749040"/>
            <wp:effectExtent l="0" t="0" r="0" b="3810"/>
            <wp:docPr id="18854618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65420" cy="3749040"/>
                    </a:xfrm>
                    <a:prstGeom prst="rect">
                      <a:avLst/>
                    </a:prstGeom>
                    <a:noFill/>
                    <a:ln>
                      <a:noFill/>
                    </a:ln>
                  </pic:spPr>
                </pic:pic>
              </a:graphicData>
            </a:graphic>
          </wp:inline>
        </w:drawing>
      </w:r>
    </w:p>
    <w:p w14:paraId="71AD4060" w14:textId="77777777" w:rsidR="00CB0EBE" w:rsidRPr="005D6C91" w:rsidRDefault="00CB0EBE" w:rsidP="00CB0EBE">
      <w:pPr>
        <w:pStyle w:val="SMHeading"/>
        <w:spacing w:before="0" w:after="0" w:line="300" w:lineRule="auto"/>
      </w:pPr>
      <w:bookmarkStart w:id="15" w:name="_Toc216766933"/>
      <w:r>
        <w:t>Extended Data Fig.</w:t>
      </w:r>
      <w:r>
        <w:rPr>
          <w:rFonts w:hint="eastAsia"/>
          <w:lang w:eastAsia="zh-CN"/>
        </w:rPr>
        <w:t xml:space="preserve"> </w:t>
      </w:r>
      <w:r w:rsidRPr="005D6C91">
        <w:t>3 Survey on continuous cropping obstacles in watermelon cultivation</w:t>
      </w:r>
      <w:bookmarkEnd w:id="15"/>
    </w:p>
    <w:p w14:paraId="1E8B9F7C" w14:textId="77777777" w:rsidR="00CB0EBE" w:rsidRPr="003B7224" w:rsidRDefault="00CB0EBE" w:rsidP="00CB0EBE">
      <w:pPr>
        <w:spacing w:line="300" w:lineRule="auto"/>
        <w:rPr>
          <w:sz w:val="23"/>
          <w:szCs w:val="23"/>
        </w:rPr>
      </w:pPr>
      <w:r w:rsidRPr="003B7224">
        <w:rPr>
          <w:sz w:val="23"/>
          <w:szCs w:val="23"/>
        </w:rPr>
        <w:t xml:space="preserve">A. Subjective assessment of continuous cropping impacts on subsequent crops. Pie chart showing the proportion of farmers’ judgments (single-choice question; </w:t>
      </w:r>
      <w:r w:rsidRPr="00626AE6">
        <w:rPr>
          <w:i/>
          <w:iCs/>
          <w:sz w:val="23"/>
          <w:szCs w:val="23"/>
        </w:rPr>
        <w:t>n</w:t>
      </w:r>
      <w:r>
        <w:rPr>
          <w:rFonts w:hint="eastAsia"/>
          <w:sz w:val="23"/>
          <w:szCs w:val="23"/>
        </w:rPr>
        <w:t xml:space="preserve"> </w:t>
      </w:r>
      <w:r w:rsidRPr="003B7224">
        <w:rPr>
          <w:sz w:val="23"/>
          <w:szCs w:val="23"/>
        </w:rPr>
        <w:t>=</w:t>
      </w:r>
      <w:r>
        <w:rPr>
          <w:rFonts w:hint="eastAsia"/>
          <w:sz w:val="23"/>
          <w:szCs w:val="23"/>
        </w:rPr>
        <w:t xml:space="preserve"> </w:t>
      </w:r>
      <w:r w:rsidRPr="003B7224">
        <w:rPr>
          <w:sz w:val="23"/>
          <w:szCs w:val="23"/>
        </w:rPr>
        <w:t>128).</w:t>
      </w:r>
    </w:p>
    <w:p w14:paraId="6D720E38" w14:textId="77777777" w:rsidR="00CB0EBE" w:rsidRPr="003B7224" w:rsidRDefault="00CB0EBE" w:rsidP="00CB0EBE">
      <w:pPr>
        <w:spacing w:line="300" w:lineRule="auto"/>
        <w:rPr>
          <w:sz w:val="23"/>
          <w:szCs w:val="23"/>
        </w:rPr>
      </w:pPr>
      <w:r w:rsidRPr="003B7224">
        <w:rPr>
          <w:sz w:val="23"/>
          <w:szCs w:val="23"/>
        </w:rPr>
        <w:t xml:space="preserve">B. Level of awareness about continuous cropping obstacles. Pie chart showing the distribution of farmers’ knowledge levels (single-choice question; </w:t>
      </w:r>
      <w:r w:rsidRPr="00626AE6">
        <w:rPr>
          <w:i/>
          <w:iCs/>
          <w:sz w:val="23"/>
          <w:szCs w:val="23"/>
        </w:rPr>
        <w:t>n</w:t>
      </w:r>
      <w:r w:rsidRPr="00626AE6">
        <w:rPr>
          <w:rFonts w:hint="eastAsia"/>
          <w:i/>
          <w:iCs/>
          <w:sz w:val="23"/>
          <w:szCs w:val="23"/>
        </w:rPr>
        <w:t xml:space="preserve"> </w:t>
      </w:r>
      <w:r w:rsidRPr="003B7224">
        <w:rPr>
          <w:sz w:val="23"/>
          <w:szCs w:val="23"/>
        </w:rPr>
        <w:t>=</w:t>
      </w:r>
      <w:r>
        <w:rPr>
          <w:rFonts w:hint="eastAsia"/>
          <w:sz w:val="23"/>
          <w:szCs w:val="23"/>
        </w:rPr>
        <w:t xml:space="preserve"> </w:t>
      </w:r>
      <w:r w:rsidRPr="003B7224">
        <w:rPr>
          <w:sz w:val="23"/>
          <w:szCs w:val="23"/>
        </w:rPr>
        <w:t>406).</w:t>
      </w:r>
    </w:p>
    <w:p w14:paraId="4B9860B2" w14:textId="77777777" w:rsidR="00CB0EBE" w:rsidRPr="003B7224" w:rsidRDefault="00CB0EBE" w:rsidP="00CB0EBE">
      <w:pPr>
        <w:spacing w:line="300" w:lineRule="auto"/>
        <w:rPr>
          <w:sz w:val="23"/>
          <w:szCs w:val="23"/>
        </w:rPr>
      </w:pPr>
      <w:r w:rsidRPr="003B7224">
        <w:rPr>
          <w:sz w:val="23"/>
          <w:szCs w:val="23"/>
        </w:rPr>
        <w:t xml:space="preserve">C. Crop performance under continuous cropping. Bar chart displaying potential impacts of continuous cropping obstacles (x-axis: reported effects; y-axis: proportion of respondents who subjectively identified each effect). Farmers could select multiple outcomes (multiple-choice question; </w:t>
      </w:r>
      <w:r w:rsidRPr="00626AE6">
        <w:rPr>
          <w:i/>
          <w:iCs/>
          <w:sz w:val="23"/>
          <w:szCs w:val="23"/>
        </w:rPr>
        <w:t>n</w:t>
      </w:r>
      <w:r w:rsidRPr="00626AE6">
        <w:rPr>
          <w:rFonts w:hint="eastAsia"/>
          <w:i/>
          <w:iCs/>
          <w:sz w:val="23"/>
          <w:szCs w:val="23"/>
        </w:rPr>
        <w:t xml:space="preserve"> </w:t>
      </w:r>
      <w:r w:rsidRPr="003B7224">
        <w:rPr>
          <w:sz w:val="23"/>
          <w:szCs w:val="23"/>
        </w:rPr>
        <w:t>=</w:t>
      </w:r>
      <w:r>
        <w:rPr>
          <w:rFonts w:hint="eastAsia"/>
          <w:sz w:val="23"/>
          <w:szCs w:val="23"/>
        </w:rPr>
        <w:t xml:space="preserve"> </w:t>
      </w:r>
      <w:r w:rsidRPr="003B7224">
        <w:rPr>
          <w:sz w:val="23"/>
          <w:szCs w:val="23"/>
        </w:rPr>
        <w:t>128).</w:t>
      </w:r>
    </w:p>
    <w:p w14:paraId="2FC26B4D" w14:textId="77777777" w:rsidR="00CB0EBE" w:rsidRPr="003B7224" w:rsidRDefault="00CB0EBE" w:rsidP="00CB0EBE">
      <w:pPr>
        <w:spacing w:line="300" w:lineRule="auto"/>
        <w:rPr>
          <w:sz w:val="23"/>
          <w:szCs w:val="23"/>
        </w:rPr>
      </w:pPr>
      <w:r w:rsidRPr="003B7224">
        <w:rPr>
          <w:sz w:val="23"/>
          <w:szCs w:val="23"/>
        </w:rPr>
        <w:t xml:space="preserve">D. Consequences of continuous cropping obstacles. Bar chart summarizing perceived impacts (x-axis: consequences; y-axis: proportion of respondents aware of each consequence). Farmers could select multiple outcomes (multiple-choice question; </w:t>
      </w:r>
      <w:r w:rsidRPr="00626AE6">
        <w:rPr>
          <w:i/>
          <w:iCs/>
          <w:szCs w:val="21"/>
        </w:rPr>
        <w:t>n</w:t>
      </w:r>
      <w:r w:rsidRPr="00626AE6">
        <w:rPr>
          <w:rFonts w:hint="eastAsia"/>
          <w:i/>
          <w:iCs/>
          <w:szCs w:val="21"/>
        </w:rPr>
        <w:t xml:space="preserve"> </w:t>
      </w:r>
      <w:r w:rsidRPr="003B7224">
        <w:rPr>
          <w:sz w:val="23"/>
          <w:szCs w:val="23"/>
        </w:rPr>
        <w:t>=</w:t>
      </w:r>
      <w:r>
        <w:rPr>
          <w:rFonts w:hint="eastAsia"/>
          <w:sz w:val="23"/>
          <w:szCs w:val="23"/>
        </w:rPr>
        <w:t xml:space="preserve"> </w:t>
      </w:r>
      <w:r w:rsidRPr="003B7224">
        <w:rPr>
          <w:sz w:val="23"/>
          <w:szCs w:val="23"/>
        </w:rPr>
        <w:t>128).</w:t>
      </w:r>
      <w:r w:rsidRPr="003B7224">
        <w:rPr>
          <w:sz w:val="23"/>
          <w:szCs w:val="23"/>
        </w:rPr>
        <w:br w:type="page"/>
      </w:r>
    </w:p>
    <w:p w14:paraId="509B2C42"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778B652F" wp14:editId="39B5C678">
            <wp:extent cx="5265420" cy="2552700"/>
            <wp:effectExtent l="0" t="0" r="0" b="0"/>
            <wp:docPr id="17326465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5420" cy="2552700"/>
                    </a:xfrm>
                    <a:prstGeom prst="rect">
                      <a:avLst/>
                    </a:prstGeom>
                    <a:noFill/>
                    <a:ln>
                      <a:noFill/>
                    </a:ln>
                  </pic:spPr>
                </pic:pic>
              </a:graphicData>
            </a:graphic>
          </wp:inline>
        </w:drawing>
      </w:r>
    </w:p>
    <w:p w14:paraId="6BFDBE29" w14:textId="77777777" w:rsidR="00CB0EBE" w:rsidRPr="005D6C91" w:rsidRDefault="00CB0EBE" w:rsidP="00CB0EBE">
      <w:pPr>
        <w:pStyle w:val="SMHeading"/>
        <w:spacing w:before="0" w:after="0" w:line="300" w:lineRule="auto"/>
      </w:pPr>
      <w:bookmarkStart w:id="16" w:name="_Toc216766934"/>
      <w:bookmarkStart w:id="17" w:name="OLE_LINK41"/>
      <w:r>
        <w:t>Extended Data Fig.</w:t>
      </w:r>
      <w:r>
        <w:rPr>
          <w:rFonts w:hint="eastAsia"/>
          <w:lang w:eastAsia="zh-CN"/>
        </w:rPr>
        <w:t xml:space="preserve"> </w:t>
      </w:r>
      <w:r w:rsidRPr="005D6C91">
        <w:t>4 Survey on watermelon aerial parts disposal practices</w:t>
      </w:r>
      <w:bookmarkEnd w:id="16"/>
    </w:p>
    <w:p w14:paraId="0075111A" w14:textId="77777777" w:rsidR="00CB0EBE" w:rsidRPr="003B7224" w:rsidRDefault="00CB0EBE" w:rsidP="00CB0EBE">
      <w:pPr>
        <w:spacing w:line="300" w:lineRule="auto"/>
        <w:rPr>
          <w:sz w:val="23"/>
          <w:szCs w:val="23"/>
        </w:rPr>
      </w:pPr>
      <w:r w:rsidRPr="003B7224">
        <w:rPr>
          <w:sz w:val="23"/>
          <w:szCs w:val="23"/>
        </w:rPr>
        <w:t xml:space="preserve">A. Willingness to recycle watermelon aerial parts. Pie chart showing the proportion of farmers’ willingness to recycle vines/leaves post-harvest (single-choice question; </w:t>
      </w:r>
      <w:r w:rsidRPr="00626AE6">
        <w:rPr>
          <w:i/>
          <w:iCs/>
          <w:sz w:val="22"/>
        </w:rPr>
        <w:t>n</w:t>
      </w:r>
      <w:r w:rsidRPr="00626AE6">
        <w:rPr>
          <w:rFonts w:hint="eastAsia"/>
          <w:i/>
          <w:iCs/>
          <w:sz w:val="22"/>
        </w:rPr>
        <w:t xml:space="preserve"> </w:t>
      </w:r>
      <w:r w:rsidRPr="003B7224">
        <w:rPr>
          <w:sz w:val="23"/>
          <w:szCs w:val="23"/>
        </w:rPr>
        <w:t>=</w:t>
      </w:r>
      <w:r>
        <w:rPr>
          <w:rFonts w:hint="eastAsia"/>
          <w:sz w:val="23"/>
          <w:szCs w:val="23"/>
        </w:rPr>
        <w:t xml:space="preserve"> </w:t>
      </w:r>
      <w:r w:rsidRPr="003B7224">
        <w:rPr>
          <w:sz w:val="23"/>
          <w:szCs w:val="23"/>
        </w:rPr>
        <w:t>406).</w:t>
      </w:r>
    </w:p>
    <w:p w14:paraId="261DBCA2" w14:textId="77777777" w:rsidR="00CB0EBE" w:rsidRPr="003B7224" w:rsidRDefault="00CB0EBE" w:rsidP="00CB0EBE">
      <w:pPr>
        <w:spacing w:line="300" w:lineRule="auto"/>
        <w:rPr>
          <w:sz w:val="23"/>
          <w:szCs w:val="23"/>
        </w:rPr>
      </w:pPr>
      <w:r w:rsidRPr="003B7224">
        <w:rPr>
          <w:sz w:val="23"/>
          <w:szCs w:val="23"/>
        </w:rPr>
        <w:t xml:space="preserve">B. Challenges in vine/leaf disposal. Bar chart displaying reported disposal challenges (x-axis: identified challenges; y-axis: proportion of respondents who subjectively recognized each challenge). Farmers could select multiple challenges (multiple-choice question; </w:t>
      </w:r>
      <w:r w:rsidRPr="00626AE6">
        <w:rPr>
          <w:i/>
          <w:iCs/>
          <w:sz w:val="23"/>
          <w:szCs w:val="23"/>
        </w:rPr>
        <w:t>n</w:t>
      </w:r>
      <w:r w:rsidRPr="00626AE6">
        <w:rPr>
          <w:rFonts w:hint="eastAsia"/>
          <w:i/>
          <w:iCs/>
          <w:sz w:val="23"/>
          <w:szCs w:val="23"/>
        </w:rPr>
        <w:t xml:space="preserve"> </w:t>
      </w:r>
      <w:r w:rsidRPr="003B7224">
        <w:rPr>
          <w:sz w:val="23"/>
          <w:szCs w:val="23"/>
        </w:rPr>
        <w:t>=</w:t>
      </w:r>
      <w:r>
        <w:rPr>
          <w:rFonts w:hint="eastAsia"/>
          <w:sz w:val="23"/>
          <w:szCs w:val="23"/>
        </w:rPr>
        <w:t xml:space="preserve">  </w:t>
      </w:r>
      <w:r w:rsidRPr="003B7224">
        <w:rPr>
          <w:sz w:val="23"/>
          <w:szCs w:val="23"/>
        </w:rPr>
        <w:t>406).</w:t>
      </w:r>
    </w:p>
    <w:p w14:paraId="5DDA5071" w14:textId="77777777" w:rsidR="00CB0EBE" w:rsidRPr="003B7224" w:rsidRDefault="00CB0EBE" w:rsidP="00CB0EBE">
      <w:pPr>
        <w:spacing w:line="300" w:lineRule="auto"/>
        <w:rPr>
          <w:sz w:val="23"/>
          <w:szCs w:val="23"/>
        </w:rPr>
      </w:pPr>
      <w:r w:rsidRPr="003B7224">
        <w:rPr>
          <w:sz w:val="23"/>
          <w:szCs w:val="23"/>
        </w:rPr>
        <w:t xml:space="preserve">C. Motivations for changing cultivation sites. Bar chart summarizing reasons for relocating watermelon plantings (x-axis: reported reasons; y-axis: proportion of respondents who subjectively cited each reason). Farmers could select multiple reasons (multiple-choice question; </w:t>
      </w:r>
      <w:r w:rsidRPr="00626AE6">
        <w:rPr>
          <w:i/>
          <w:iCs/>
          <w:sz w:val="23"/>
          <w:szCs w:val="23"/>
        </w:rPr>
        <w:t>n</w:t>
      </w:r>
      <w:r>
        <w:rPr>
          <w:rFonts w:hint="eastAsia"/>
          <w:sz w:val="23"/>
          <w:szCs w:val="23"/>
        </w:rPr>
        <w:t xml:space="preserve"> </w:t>
      </w:r>
      <w:r w:rsidRPr="003B7224">
        <w:rPr>
          <w:sz w:val="23"/>
          <w:szCs w:val="23"/>
        </w:rPr>
        <w:t>=</w:t>
      </w:r>
      <w:r>
        <w:rPr>
          <w:rFonts w:hint="eastAsia"/>
          <w:sz w:val="23"/>
          <w:szCs w:val="23"/>
        </w:rPr>
        <w:t xml:space="preserve"> </w:t>
      </w:r>
      <w:r w:rsidRPr="003B7224">
        <w:rPr>
          <w:sz w:val="23"/>
          <w:szCs w:val="23"/>
        </w:rPr>
        <w:t>128).</w:t>
      </w:r>
      <w:bookmarkEnd w:id="17"/>
      <w:r w:rsidRPr="003B7224">
        <w:rPr>
          <w:sz w:val="23"/>
          <w:szCs w:val="23"/>
        </w:rPr>
        <w:br w:type="page"/>
      </w:r>
    </w:p>
    <w:p w14:paraId="1B4CF03C"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0D8BAFF4" wp14:editId="42E9EC9F">
            <wp:extent cx="5265420" cy="6225540"/>
            <wp:effectExtent l="0" t="0" r="0" b="3810"/>
            <wp:docPr id="9873193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65420" cy="6225540"/>
                    </a:xfrm>
                    <a:prstGeom prst="rect">
                      <a:avLst/>
                    </a:prstGeom>
                    <a:noFill/>
                    <a:ln>
                      <a:noFill/>
                    </a:ln>
                  </pic:spPr>
                </pic:pic>
              </a:graphicData>
            </a:graphic>
          </wp:inline>
        </w:drawing>
      </w:r>
    </w:p>
    <w:p w14:paraId="71A8DC40" w14:textId="77777777" w:rsidR="00CB0EBE" w:rsidRPr="009A6078" w:rsidRDefault="00CB0EBE" w:rsidP="00CB0EBE">
      <w:pPr>
        <w:pStyle w:val="SMHeading"/>
        <w:spacing w:before="0" w:after="0" w:line="300" w:lineRule="auto"/>
      </w:pPr>
      <w:bookmarkStart w:id="18" w:name="_Toc216766935"/>
      <w:r>
        <w:t>Extended Data Fig.</w:t>
      </w:r>
      <w:r>
        <w:rPr>
          <w:rFonts w:hint="eastAsia"/>
          <w:lang w:eastAsia="zh-CN"/>
        </w:rPr>
        <w:t xml:space="preserve"> </w:t>
      </w:r>
      <w:r w:rsidRPr="009A6078">
        <w:t>5 LP-WCFS1 is the dominant bacterial group in the LP-WCFS1-mediated rapid fermentation system</w:t>
      </w:r>
      <w:bookmarkEnd w:id="18"/>
    </w:p>
    <w:p w14:paraId="761674C3" w14:textId="77777777" w:rsidR="00CB0EBE" w:rsidRPr="003B7224" w:rsidRDefault="00CB0EBE" w:rsidP="00CB0EBE">
      <w:pPr>
        <w:spacing w:line="300" w:lineRule="auto"/>
        <w:rPr>
          <w:rFonts w:eastAsia="宋体"/>
          <w:sz w:val="23"/>
          <w:szCs w:val="23"/>
        </w:rPr>
      </w:pPr>
      <w:r w:rsidRPr="003B7224">
        <w:rPr>
          <w:rFonts w:eastAsia="宋体"/>
          <w:sz w:val="23"/>
          <w:szCs w:val="23"/>
        </w:rPr>
        <w:t>A. Schematic workflow of the LP-WCFS1-mediated rapid fermentation system. Fresh watermelon aerial parts are mixed with water and sucrose at defined ratios, followed by sealed fermentation for 14 days, yielding two products: a fermented liquid and residual fermented biomass.</w:t>
      </w:r>
    </w:p>
    <w:p w14:paraId="568A643C" w14:textId="77777777" w:rsidR="00CB0EBE" w:rsidRPr="003B7224" w:rsidRDefault="00CB0EBE" w:rsidP="00CB0EBE">
      <w:pPr>
        <w:spacing w:line="300" w:lineRule="auto"/>
        <w:rPr>
          <w:rFonts w:eastAsia="宋体"/>
          <w:sz w:val="23"/>
          <w:szCs w:val="23"/>
        </w:rPr>
      </w:pPr>
      <w:r w:rsidRPr="003B7224">
        <w:rPr>
          <w:rFonts w:eastAsia="宋体"/>
          <w:sz w:val="23"/>
          <w:szCs w:val="23"/>
        </w:rPr>
        <w:t>B. Phenotype of the fermented liquid after rapid fermentation (FL, 14 d). Scale bar, 5 cm.</w:t>
      </w:r>
    </w:p>
    <w:p w14:paraId="16343455" w14:textId="77777777" w:rsidR="00CB0EBE" w:rsidRPr="003B7224" w:rsidRDefault="00CB0EBE" w:rsidP="00CB0EBE">
      <w:pPr>
        <w:spacing w:line="300" w:lineRule="auto"/>
        <w:rPr>
          <w:sz w:val="23"/>
          <w:szCs w:val="23"/>
        </w:rPr>
      </w:pPr>
      <w:r w:rsidRPr="003B7224">
        <w:rPr>
          <w:sz w:val="23"/>
          <w:szCs w:val="23"/>
        </w:rPr>
        <w:t>C. Venn diagram of microbial community structure. Over 80% of microbial taxa are shared among the three biological replicates.</w:t>
      </w:r>
    </w:p>
    <w:p w14:paraId="6BC84EE2" w14:textId="77777777" w:rsidR="00CB0EBE" w:rsidRPr="003B7224" w:rsidRDefault="00CB0EBE" w:rsidP="00CB0EBE">
      <w:pPr>
        <w:spacing w:line="300" w:lineRule="auto"/>
        <w:rPr>
          <w:sz w:val="23"/>
          <w:szCs w:val="23"/>
        </w:rPr>
      </w:pPr>
      <w:r w:rsidRPr="003B7224">
        <w:rPr>
          <w:sz w:val="23"/>
          <w:szCs w:val="23"/>
        </w:rPr>
        <w:t xml:space="preserve">D. Ternary plot. LP-WCFS1 exhibits equivalent proportional distribution across the three </w:t>
      </w:r>
      <w:r w:rsidRPr="003B7224">
        <w:rPr>
          <w:sz w:val="23"/>
          <w:szCs w:val="23"/>
        </w:rPr>
        <w:lastRenderedPageBreak/>
        <w:t>samples, emerging as the absolute dominant taxon.</w:t>
      </w:r>
    </w:p>
    <w:p w14:paraId="7E87222B" w14:textId="77777777" w:rsidR="00CB0EBE" w:rsidRPr="003B7224" w:rsidRDefault="00CB0EBE" w:rsidP="00CB0EBE">
      <w:pPr>
        <w:spacing w:line="300" w:lineRule="auto"/>
        <w:rPr>
          <w:sz w:val="23"/>
          <w:szCs w:val="23"/>
        </w:rPr>
      </w:pPr>
      <w:r w:rsidRPr="003B7224">
        <w:rPr>
          <w:sz w:val="23"/>
          <w:szCs w:val="23"/>
        </w:rPr>
        <w:t>E. Heatmap of top 10 dominant taxa. Color intensity (blue to red) indicates increasing relative abundance; LP-WCFS1 ranks as the most abundant taxon across all three samples.</w:t>
      </w:r>
    </w:p>
    <w:p w14:paraId="2136C562" w14:textId="77777777" w:rsidR="00CB0EBE" w:rsidRDefault="00CB0EBE" w:rsidP="00CB0EBE">
      <w:pPr>
        <w:spacing w:line="300" w:lineRule="auto"/>
        <w:rPr>
          <w:sz w:val="23"/>
          <w:szCs w:val="23"/>
        </w:rPr>
      </w:pPr>
      <w:r w:rsidRPr="003B7224">
        <w:rPr>
          <w:sz w:val="23"/>
          <w:szCs w:val="23"/>
        </w:rPr>
        <w:t>F. Circos plot of species-sample relationships. The three samples show similar patterns in microbial community composition and taxon abundance trends.</w:t>
      </w:r>
    </w:p>
    <w:p w14:paraId="4D3EFA85" w14:textId="77777777" w:rsidR="00CB0EBE" w:rsidRPr="003B7224" w:rsidRDefault="00CB0EBE" w:rsidP="00CB0EBE">
      <w:pPr>
        <w:spacing w:line="300" w:lineRule="auto"/>
        <w:rPr>
          <w:sz w:val="23"/>
          <w:szCs w:val="23"/>
        </w:rPr>
      </w:pPr>
      <w:r w:rsidRPr="003B7224">
        <w:rPr>
          <w:rFonts w:eastAsia="宋体"/>
          <w:sz w:val="23"/>
          <w:szCs w:val="23"/>
        </w:rPr>
        <w:t>FL (</w:t>
      </w:r>
      <w:r w:rsidRPr="003B7224">
        <w:rPr>
          <w:sz w:val="23"/>
          <w:szCs w:val="23"/>
        </w:rPr>
        <w:t xml:space="preserve">rapid fermentation system, </w:t>
      </w:r>
      <w:r w:rsidRPr="003B7224">
        <w:rPr>
          <w:rFonts w:eastAsia="宋体"/>
          <w:sz w:val="23"/>
          <w:szCs w:val="23"/>
        </w:rPr>
        <w:t>14d)</w:t>
      </w:r>
      <w:r w:rsidRPr="003B7224">
        <w:rPr>
          <w:sz w:val="23"/>
          <w:szCs w:val="23"/>
        </w:rPr>
        <w:t xml:space="preserve">. In A-D, </w:t>
      </w:r>
      <w:r w:rsidRPr="00626AE6">
        <w:rPr>
          <w:i/>
          <w:iCs/>
          <w:sz w:val="23"/>
          <w:szCs w:val="23"/>
        </w:rPr>
        <w:t xml:space="preserve">n </w:t>
      </w:r>
      <w:r w:rsidRPr="003B7224">
        <w:rPr>
          <w:sz w:val="23"/>
          <w:szCs w:val="23"/>
        </w:rPr>
        <w:t>= 3 biological replicates.</w:t>
      </w:r>
      <w:r w:rsidRPr="003B7224">
        <w:rPr>
          <w:sz w:val="23"/>
          <w:szCs w:val="23"/>
        </w:rPr>
        <w:br w:type="page"/>
      </w:r>
    </w:p>
    <w:p w14:paraId="041DA9D2"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23276675" wp14:editId="3992500D">
            <wp:extent cx="5265420" cy="7452360"/>
            <wp:effectExtent l="0" t="0" r="0" b="0"/>
            <wp:docPr id="9343527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65420" cy="7452360"/>
                    </a:xfrm>
                    <a:prstGeom prst="rect">
                      <a:avLst/>
                    </a:prstGeom>
                    <a:noFill/>
                    <a:ln>
                      <a:noFill/>
                    </a:ln>
                  </pic:spPr>
                </pic:pic>
              </a:graphicData>
            </a:graphic>
          </wp:inline>
        </w:drawing>
      </w:r>
    </w:p>
    <w:p w14:paraId="0108872E" w14:textId="77777777" w:rsidR="00CB0EBE" w:rsidRPr="009A6078" w:rsidRDefault="00CB0EBE" w:rsidP="00CB0EBE">
      <w:pPr>
        <w:pStyle w:val="SMHeading"/>
        <w:spacing w:before="0" w:after="0" w:line="300" w:lineRule="auto"/>
      </w:pPr>
      <w:bookmarkStart w:id="19" w:name="_Toc216766936"/>
      <w:r>
        <w:t>Extended Data Fig.</w:t>
      </w:r>
      <w:r>
        <w:rPr>
          <w:rFonts w:hint="eastAsia"/>
          <w:lang w:eastAsia="zh-CN"/>
        </w:rPr>
        <w:t xml:space="preserve"> </w:t>
      </w:r>
      <w:r w:rsidRPr="009A6078">
        <w:t>6 The microbial community and functions in the LP-WCFS1-mediated rapid fermentation system are superior to those in the long-term fermentation system</w:t>
      </w:r>
      <w:bookmarkEnd w:id="19"/>
    </w:p>
    <w:p w14:paraId="3F36916E" w14:textId="77777777" w:rsidR="00CB0EBE" w:rsidRPr="003B7224" w:rsidRDefault="00CB0EBE" w:rsidP="00CB0EBE">
      <w:pPr>
        <w:spacing w:line="300" w:lineRule="auto"/>
        <w:rPr>
          <w:sz w:val="23"/>
          <w:szCs w:val="23"/>
        </w:rPr>
      </w:pPr>
      <w:r w:rsidRPr="003B7224">
        <w:rPr>
          <w:sz w:val="23"/>
          <w:szCs w:val="23"/>
        </w:rPr>
        <w:t>A. Venn diagram of microbial community structure. FL and FLY share fewer than 50 overlapping taxa.</w:t>
      </w:r>
      <w:r w:rsidRPr="003B7224">
        <w:rPr>
          <w:rFonts w:eastAsia="宋体"/>
          <w:sz w:val="23"/>
          <w:szCs w:val="23"/>
        </w:rPr>
        <w:t xml:space="preserve"> </w:t>
      </w:r>
    </w:p>
    <w:p w14:paraId="2B75F8C3" w14:textId="77777777" w:rsidR="00CB0EBE" w:rsidRPr="003B7224" w:rsidRDefault="00CB0EBE" w:rsidP="00CB0EBE">
      <w:pPr>
        <w:spacing w:line="300" w:lineRule="auto"/>
        <w:rPr>
          <w:sz w:val="23"/>
          <w:szCs w:val="23"/>
        </w:rPr>
      </w:pPr>
      <w:r w:rsidRPr="003B7224">
        <w:rPr>
          <w:sz w:val="23"/>
          <w:szCs w:val="23"/>
        </w:rPr>
        <w:lastRenderedPageBreak/>
        <w:t>B. Principal Component Analysis. Principal Component Analysis (PCA) plot showing sample distribution. FL and FLY groups are in blue or red, respectively; replicates of the same treatment are encircled.</w:t>
      </w:r>
    </w:p>
    <w:p w14:paraId="67D520F0" w14:textId="77777777" w:rsidR="00CB0EBE" w:rsidRPr="003B7224" w:rsidRDefault="00CB0EBE" w:rsidP="00CB0EBE">
      <w:pPr>
        <w:spacing w:line="300" w:lineRule="auto"/>
        <w:rPr>
          <w:sz w:val="23"/>
          <w:szCs w:val="23"/>
        </w:rPr>
      </w:pPr>
      <w:r w:rsidRPr="003B7224">
        <w:rPr>
          <w:sz w:val="23"/>
          <w:szCs w:val="23"/>
        </w:rPr>
        <w:t>C. Analysis of between-group differences in beta diversity. y-axis: pairwise beta diversity distances within groups. FL and FLY differ significantly in community structure.</w:t>
      </w:r>
    </w:p>
    <w:p w14:paraId="765D77B1" w14:textId="77777777" w:rsidR="00CB0EBE" w:rsidRPr="003B7224" w:rsidRDefault="00CB0EBE" w:rsidP="00CB0EBE">
      <w:pPr>
        <w:spacing w:line="300" w:lineRule="auto"/>
        <w:rPr>
          <w:sz w:val="23"/>
          <w:szCs w:val="23"/>
        </w:rPr>
      </w:pPr>
      <w:r w:rsidRPr="003B7224">
        <w:rPr>
          <w:sz w:val="23"/>
          <w:szCs w:val="23"/>
        </w:rPr>
        <w:t>D. Stacked bar chart of community composition. x-axis: sample names; y-axis: relative abundance of taxa. Among the top 10 most abundant taxa in all FL samples, LP-WCFS1 is the most prevalent, whereas FLY exhibits complex taxonomic composition.</w:t>
      </w:r>
    </w:p>
    <w:p w14:paraId="7AC5BFB4" w14:textId="77777777" w:rsidR="00CB0EBE" w:rsidRPr="003B7224" w:rsidRDefault="00CB0EBE" w:rsidP="00CB0EBE">
      <w:pPr>
        <w:spacing w:line="300" w:lineRule="auto"/>
        <w:rPr>
          <w:sz w:val="23"/>
          <w:szCs w:val="23"/>
        </w:rPr>
      </w:pPr>
      <w:r w:rsidRPr="003B7224">
        <w:rPr>
          <w:sz w:val="23"/>
          <w:szCs w:val="23"/>
        </w:rPr>
        <w:t>E. Significance test of interspecific differences between groups. Compared with FL, the abundance of LP-WCFS1 in FLY is significantly reduced.</w:t>
      </w:r>
    </w:p>
    <w:p w14:paraId="0F5846B8" w14:textId="77777777" w:rsidR="00CB0EBE" w:rsidRPr="003B7224" w:rsidRDefault="00CB0EBE" w:rsidP="00CB0EBE">
      <w:pPr>
        <w:spacing w:line="300" w:lineRule="auto"/>
        <w:rPr>
          <w:sz w:val="23"/>
          <w:szCs w:val="23"/>
        </w:rPr>
      </w:pPr>
      <w:r w:rsidRPr="003B7224">
        <w:rPr>
          <w:sz w:val="23"/>
          <w:szCs w:val="23"/>
        </w:rPr>
        <w:t>F. Single-factor correlation network among taxa. LP-WCFS1 negatively correlates with other taxa.</w:t>
      </w:r>
    </w:p>
    <w:p w14:paraId="489DAABA" w14:textId="77777777" w:rsidR="00CB0EBE" w:rsidRPr="003B7224" w:rsidRDefault="00CB0EBE" w:rsidP="00CB0EBE">
      <w:pPr>
        <w:spacing w:line="300" w:lineRule="auto"/>
        <w:rPr>
          <w:sz w:val="23"/>
          <w:szCs w:val="23"/>
        </w:rPr>
      </w:pPr>
      <w:r w:rsidRPr="003B7224">
        <w:rPr>
          <w:sz w:val="23"/>
          <w:szCs w:val="23"/>
        </w:rPr>
        <w:t>G. Phylogenetic tree of taxa across samples. LP-WCFS1 is phylogenetically most distant from other taxa.</w:t>
      </w:r>
    </w:p>
    <w:p w14:paraId="63AB9003" w14:textId="77777777" w:rsidR="00CB0EBE" w:rsidRPr="003B7224" w:rsidRDefault="00CB0EBE" w:rsidP="00CB0EBE">
      <w:pPr>
        <w:spacing w:line="300" w:lineRule="auto"/>
        <w:rPr>
          <w:sz w:val="23"/>
          <w:szCs w:val="23"/>
        </w:rPr>
      </w:pPr>
      <w:r w:rsidRPr="003B7224">
        <w:rPr>
          <w:sz w:val="23"/>
          <w:szCs w:val="23"/>
        </w:rPr>
        <w:t>H. FAPROTAX functional prediction and between-group difference test. x-axis: functional categories; y-axis: percentage of functional abundance in samples. FLY shows significantly reduced functions such as elemental transformation.</w:t>
      </w:r>
    </w:p>
    <w:p w14:paraId="47C0B940" w14:textId="77777777" w:rsidR="00CB0EBE" w:rsidRPr="003B7224" w:rsidRDefault="00CB0EBE" w:rsidP="00CB0EBE">
      <w:pPr>
        <w:spacing w:line="300" w:lineRule="auto"/>
        <w:rPr>
          <w:sz w:val="23"/>
          <w:szCs w:val="23"/>
        </w:rPr>
      </w:pPr>
      <w:r w:rsidRPr="003B7224">
        <w:rPr>
          <w:rFonts w:eastAsia="宋体"/>
          <w:sz w:val="23"/>
          <w:szCs w:val="23"/>
        </w:rPr>
        <w:t>FL (</w:t>
      </w:r>
      <w:r w:rsidRPr="003B7224">
        <w:rPr>
          <w:sz w:val="23"/>
          <w:szCs w:val="23"/>
        </w:rPr>
        <w:t xml:space="preserve">rapid fermentation system, </w:t>
      </w:r>
      <w:r w:rsidRPr="003B7224">
        <w:rPr>
          <w:rFonts w:eastAsia="宋体"/>
          <w:sz w:val="23"/>
          <w:szCs w:val="23"/>
        </w:rPr>
        <w:t>14d), FLY (</w:t>
      </w:r>
      <w:r w:rsidRPr="003B7224">
        <w:rPr>
          <w:sz w:val="23"/>
          <w:szCs w:val="23"/>
        </w:rPr>
        <w:t xml:space="preserve">long-term fermentation system, </w:t>
      </w:r>
      <w:r w:rsidRPr="003B7224">
        <w:rPr>
          <w:rFonts w:eastAsia="宋体"/>
          <w:sz w:val="23"/>
          <w:szCs w:val="23"/>
        </w:rPr>
        <w:t>365d)</w:t>
      </w:r>
      <w:r w:rsidRPr="003B7224">
        <w:rPr>
          <w:sz w:val="23"/>
          <w:szCs w:val="23"/>
        </w:rPr>
        <w:t>.</w:t>
      </w:r>
      <w:r>
        <w:rPr>
          <w:rFonts w:hint="eastAsia"/>
          <w:sz w:val="23"/>
          <w:szCs w:val="23"/>
        </w:rPr>
        <w:t xml:space="preserve"> </w:t>
      </w:r>
      <w:r w:rsidRPr="003B7224">
        <w:rPr>
          <w:sz w:val="23"/>
          <w:szCs w:val="23"/>
        </w:rPr>
        <w:t xml:space="preserve">In A-H, </w:t>
      </w:r>
      <w:r w:rsidRPr="00626AE6">
        <w:rPr>
          <w:i/>
          <w:iCs/>
          <w:sz w:val="23"/>
          <w:szCs w:val="23"/>
        </w:rPr>
        <w:t xml:space="preserve">n </w:t>
      </w:r>
      <w:r w:rsidRPr="003B7224">
        <w:rPr>
          <w:sz w:val="23"/>
          <w:szCs w:val="23"/>
        </w:rPr>
        <w:t xml:space="preserve">= 3 biological replicates, Two-tailed Student’s t-test was used to determine </w:t>
      </w:r>
      <w:r w:rsidRPr="00626AE6">
        <w:rPr>
          <w:i/>
          <w:iCs/>
          <w:sz w:val="23"/>
          <w:szCs w:val="23"/>
        </w:rPr>
        <w:t>p</w:t>
      </w:r>
      <w:r w:rsidRPr="003B7224">
        <w:rPr>
          <w:sz w:val="23"/>
          <w:szCs w:val="23"/>
        </w:rPr>
        <w:t xml:space="preserve"> values (</w:t>
      </w:r>
      <w:r w:rsidRPr="00626AE6">
        <w:rPr>
          <w:i/>
          <w:iCs/>
          <w:sz w:val="23"/>
          <w:szCs w:val="23"/>
        </w:rPr>
        <w:t>p</w:t>
      </w:r>
      <w:r w:rsidRPr="003B7224">
        <w:rPr>
          <w:sz w:val="23"/>
          <w:szCs w:val="23"/>
        </w:rPr>
        <w:t xml:space="preserve"> &lt; 0.05, </w:t>
      </w:r>
      <w:r w:rsidRPr="00626AE6">
        <w:rPr>
          <w:i/>
          <w:iCs/>
          <w:sz w:val="23"/>
          <w:szCs w:val="23"/>
        </w:rPr>
        <w:t xml:space="preserve">p </w:t>
      </w:r>
      <w:r w:rsidRPr="003B7224">
        <w:rPr>
          <w:sz w:val="23"/>
          <w:szCs w:val="23"/>
        </w:rPr>
        <w:t xml:space="preserve">&lt; 0.01, </w:t>
      </w:r>
      <w:r w:rsidRPr="00626AE6">
        <w:rPr>
          <w:i/>
          <w:iCs/>
          <w:sz w:val="23"/>
          <w:szCs w:val="23"/>
        </w:rPr>
        <w:t>p</w:t>
      </w:r>
      <w:r w:rsidRPr="003B7224">
        <w:rPr>
          <w:sz w:val="23"/>
          <w:szCs w:val="23"/>
        </w:rPr>
        <w:t xml:space="preserve"> &lt; 0.001). Data are presented as mean ± SD. All analyses were performed at the genus level.</w:t>
      </w:r>
      <w:r w:rsidRPr="003B7224">
        <w:rPr>
          <w:sz w:val="23"/>
          <w:szCs w:val="23"/>
        </w:rPr>
        <w:br w:type="page"/>
      </w:r>
    </w:p>
    <w:p w14:paraId="478FB73F" w14:textId="77777777" w:rsidR="00CB0EBE" w:rsidRPr="003B7224" w:rsidRDefault="00CB0EBE" w:rsidP="00CB0EBE">
      <w:pPr>
        <w:widowControl/>
        <w:jc w:val="center"/>
        <w:rPr>
          <w:sz w:val="23"/>
          <w:szCs w:val="23"/>
        </w:rPr>
      </w:pPr>
      <w:r w:rsidRPr="003B7224">
        <w:rPr>
          <w:noProof/>
          <w:sz w:val="23"/>
          <w:szCs w:val="23"/>
        </w:rPr>
        <w:lastRenderedPageBreak/>
        <w:drawing>
          <wp:inline distT="0" distB="0" distL="0" distR="0" wp14:anchorId="3D15C961" wp14:editId="07DB7318">
            <wp:extent cx="5265420" cy="5425440"/>
            <wp:effectExtent l="0" t="0" r="0" b="3810"/>
            <wp:docPr id="18224822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65420" cy="5425440"/>
                    </a:xfrm>
                    <a:prstGeom prst="rect">
                      <a:avLst/>
                    </a:prstGeom>
                    <a:noFill/>
                    <a:ln>
                      <a:noFill/>
                    </a:ln>
                  </pic:spPr>
                </pic:pic>
              </a:graphicData>
            </a:graphic>
          </wp:inline>
        </w:drawing>
      </w:r>
    </w:p>
    <w:p w14:paraId="6F75D469" w14:textId="77777777" w:rsidR="00CB0EBE" w:rsidRPr="009A6078" w:rsidRDefault="00CB0EBE" w:rsidP="00CB0EBE">
      <w:pPr>
        <w:pStyle w:val="SMHeading"/>
        <w:spacing w:before="0" w:after="0" w:line="300" w:lineRule="auto"/>
      </w:pPr>
      <w:bookmarkStart w:id="20" w:name="_Toc216766937"/>
      <w:r>
        <w:t>Extended Data Fig.</w:t>
      </w:r>
      <w:r>
        <w:rPr>
          <w:rFonts w:hint="eastAsia"/>
          <w:lang w:eastAsia="zh-CN"/>
        </w:rPr>
        <w:t xml:space="preserve"> </w:t>
      </w:r>
      <w:r w:rsidRPr="009A6078">
        <w:t>7 Long-term fermentation mediated by LP-WCFS1 leads to the specific accumulation of metabolites in pathways cinnamic acids and derivatives and coumarins and derivatives in the fermentation liquid</w:t>
      </w:r>
      <w:bookmarkEnd w:id="20"/>
    </w:p>
    <w:p w14:paraId="1662A8E6" w14:textId="77777777" w:rsidR="00CB0EBE" w:rsidRPr="003B7224" w:rsidRDefault="00CB0EBE" w:rsidP="00CB0EBE">
      <w:pPr>
        <w:spacing w:line="300" w:lineRule="auto"/>
        <w:rPr>
          <w:sz w:val="23"/>
          <w:szCs w:val="23"/>
        </w:rPr>
      </w:pPr>
      <w:r w:rsidRPr="003B7224">
        <w:rPr>
          <w:sz w:val="23"/>
          <w:szCs w:val="23"/>
        </w:rPr>
        <w:t>A. Principal Component Analysis. Principal Component Analysis (PCA) plot showing sample distribution. FL and FLY groups are in blue or red, respectively; replicates of the same treatment are encircled.</w:t>
      </w:r>
    </w:p>
    <w:p w14:paraId="61F630A2" w14:textId="77777777" w:rsidR="00CB0EBE" w:rsidRPr="003B7224" w:rsidRDefault="00CB0EBE" w:rsidP="00CB0EBE">
      <w:pPr>
        <w:spacing w:line="300" w:lineRule="auto"/>
        <w:rPr>
          <w:sz w:val="23"/>
          <w:szCs w:val="23"/>
        </w:rPr>
      </w:pPr>
      <w:r w:rsidRPr="003B7224">
        <w:rPr>
          <w:sz w:val="23"/>
          <w:szCs w:val="23"/>
        </w:rPr>
        <w:t>B. HMDB compound classification (class level). Color segments in each pie chart represent distinct HMDB classes; segment area indicates the relative proportion of metabolites in each class.</w:t>
      </w:r>
    </w:p>
    <w:p w14:paraId="3CB48FB8" w14:textId="77777777" w:rsidR="00CB0EBE" w:rsidRPr="003B7224" w:rsidRDefault="00CB0EBE" w:rsidP="00CB0EBE">
      <w:pPr>
        <w:spacing w:line="300" w:lineRule="auto"/>
        <w:rPr>
          <w:sz w:val="23"/>
          <w:szCs w:val="23"/>
        </w:rPr>
      </w:pPr>
      <w:r w:rsidRPr="003B7224">
        <w:rPr>
          <w:sz w:val="23"/>
          <w:szCs w:val="23"/>
        </w:rPr>
        <w:t>C. VIP (variable importance in projection) value analysis. Left: VIP bubble plot (y-axis: metabolites; x-axis: VIP values), with metabolites ordered by decreasing VIP values. Among the top 20 VIP metabolites in FLY, 16 exhibit significantly higher abundance than in FL.</w:t>
      </w:r>
    </w:p>
    <w:p w14:paraId="75FA49A7" w14:textId="77777777" w:rsidR="00CB0EBE" w:rsidRPr="003B7224" w:rsidRDefault="00CB0EBE" w:rsidP="00CB0EBE">
      <w:pPr>
        <w:spacing w:line="300" w:lineRule="auto"/>
        <w:rPr>
          <w:sz w:val="23"/>
          <w:szCs w:val="23"/>
        </w:rPr>
      </w:pPr>
      <w:r w:rsidRPr="003B7224">
        <w:rPr>
          <w:sz w:val="23"/>
          <w:szCs w:val="23"/>
        </w:rPr>
        <w:lastRenderedPageBreak/>
        <w:t>D. KEGG pathway enrichment analysis. Bubble size corresponds to the number of compounds enriched in each pathway; color intensity (blue to red) reflects decreasing significance p-values.</w:t>
      </w:r>
    </w:p>
    <w:p w14:paraId="1DE87445" w14:textId="77777777" w:rsidR="00CB0EBE" w:rsidRPr="003B7224" w:rsidRDefault="00CB0EBE" w:rsidP="00CB0EBE">
      <w:pPr>
        <w:spacing w:line="300" w:lineRule="auto"/>
        <w:rPr>
          <w:sz w:val="23"/>
          <w:szCs w:val="23"/>
        </w:rPr>
      </w:pPr>
      <w:r w:rsidRPr="003B7224">
        <w:rPr>
          <w:sz w:val="23"/>
          <w:szCs w:val="23"/>
        </w:rPr>
        <w:t>E. Differential metabolites in benzene and substituted derivatives. FL and FLY differ significantly in the abundance of 15 metabolites, 8 of which are significantly elevated in FLY.</w:t>
      </w:r>
    </w:p>
    <w:p w14:paraId="79C1446B" w14:textId="77777777" w:rsidR="00CB0EBE" w:rsidRPr="003B7224" w:rsidRDefault="00CB0EBE" w:rsidP="00CB0EBE">
      <w:pPr>
        <w:spacing w:line="300" w:lineRule="auto"/>
        <w:rPr>
          <w:sz w:val="23"/>
          <w:szCs w:val="23"/>
        </w:rPr>
      </w:pPr>
      <w:r w:rsidRPr="003B7224">
        <w:rPr>
          <w:sz w:val="23"/>
          <w:szCs w:val="23"/>
        </w:rPr>
        <w:t>F. Differential metabolites in cinnamic acids and derivatives. FL and FLY differ significantly in the abundance of 10 metabolites, 9 of which are significantly elevated in FLY.</w:t>
      </w:r>
    </w:p>
    <w:p w14:paraId="066AB669" w14:textId="77777777" w:rsidR="00CB0EBE" w:rsidRPr="003B7224" w:rsidRDefault="00CB0EBE" w:rsidP="00CB0EBE">
      <w:pPr>
        <w:spacing w:line="300" w:lineRule="auto"/>
        <w:rPr>
          <w:sz w:val="23"/>
          <w:szCs w:val="23"/>
        </w:rPr>
      </w:pPr>
      <w:r w:rsidRPr="003B7224">
        <w:rPr>
          <w:sz w:val="23"/>
          <w:szCs w:val="23"/>
        </w:rPr>
        <w:t>G. Differential metabolites in coumarins and derivatives. Seven metabolites show significantly higher abundance in FLY compared to FL.</w:t>
      </w:r>
    </w:p>
    <w:p w14:paraId="46E47F3C" w14:textId="77777777" w:rsidR="00CB0EBE" w:rsidRPr="003B7224" w:rsidRDefault="00CB0EBE" w:rsidP="00CB0EBE">
      <w:pPr>
        <w:spacing w:line="300" w:lineRule="auto"/>
        <w:rPr>
          <w:sz w:val="23"/>
          <w:szCs w:val="23"/>
        </w:rPr>
      </w:pPr>
      <w:r w:rsidRPr="003B7224">
        <w:rPr>
          <w:rFonts w:eastAsia="宋体"/>
          <w:sz w:val="23"/>
          <w:szCs w:val="23"/>
        </w:rPr>
        <w:t>FL (</w:t>
      </w:r>
      <w:r w:rsidRPr="003B7224">
        <w:rPr>
          <w:sz w:val="23"/>
          <w:szCs w:val="23"/>
        </w:rPr>
        <w:t xml:space="preserve">rapid fermentation system, </w:t>
      </w:r>
      <w:r w:rsidRPr="003B7224">
        <w:rPr>
          <w:rFonts w:eastAsia="宋体"/>
          <w:sz w:val="23"/>
          <w:szCs w:val="23"/>
        </w:rPr>
        <w:t>14d), FLY (</w:t>
      </w:r>
      <w:r w:rsidRPr="003B7224">
        <w:rPr>
          <w:sz w:val="23"/>
          <w:szCs w:val="23"/>
        </w:rPr>
        <w:t xml:space="preserve">long-term fermentation system, </w:t>
      </w:r>
      <w:r w:rsidRPr="003B7224">
        <w:rPr>
          <w:rFonts w:eastAsia="宋体"/>
          <w:sz w:val="23"/>
          <w:szCs w:val="23"/>
        </w:rPr>
        <w:t>365d)</w:t>
      </w:r>
      <w:r w:rsidRPr="003B7224">
        <w:rPr>
          <w:sz w:val="23"/>
          <w:szCs w:val="23"/>
        </w:rPr>
        <w:t>.</w:t>
      </w:r>
      <w:r>
        <w:rPr>
          <w:rFonts w:hint="eastAsia"/>
          <w:sz w:val="23"/>
          <w:szCs w:val="23"/>
        </w:rPr>
        <w:t xml:space="preserve"> </w:t>
      </w:r>
      <w:r w:rsidRPr="003B7224">
        <w:rPr>
          <w:sz w:val="23"/>
          <w:szCs w:val="23"/>
        </w:rPr>
        <w:t xml:space="preserve">In A-G, </w:t>
      </w:r>
      <w:r w:rsidRPr="00626AE6">
        <w:rPr>
          <w:i/>
          <w:iCs/>
          <w:sz w:val="23"/>
          <w:szCs w:val="23"/>
        </w:rPr>
        <w:t>n</w:t>
      </w:r>
      <w:r w:rsidRPr="003B7224">
        <w:rPr>
          <w:sz w:val="23"/>
          <w:szCs w:val="23"/>
        </w:rPr>
        <w:t xml:space="preserve"> = 3 biological replicates, Two-tailed Student’s t-test was used to determine p values (p &lt; 0.05, p &lt; 0.01, p &lt; 0.001). Data are presented as mean ± SD. All differential metabolite analyses were based on FDR (false discovery rate) analysis.</w:t>
      </w:r>
      <w:r w:rsidRPr="003B7224">
        <w:rPr>
          <w:sz w:val="23"/>
          <w:szCs w:val="23"/>
        </w:rPr>
        <w:br w:type="page"/>
      </w:r>
    </w:p>
    <w:p w14:paraId="46F1F744"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08DB25EE" wp14:editId="5A4AD681">
            <wp:extent cx="5265420" cy="6918960"/>
            <wp:effectExtent l="0" t="0" r="0" b="0"/>
            <wp:docPr id="6119036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65420" cy="6918960"/>
                    </a:xfrm>
                    <a:prstGeom prst="rect">
                      <a:avLst/>
                    </a:prstGeom>
                    <a:noFill/>
                    <a:ln>
                      <a:noFill/>
                    </a:ln>
                  </pic:spPr>
                </pic:pic>
              </a:graphicData>
            </a:graphic>
          </wp:inline>
        </w:drawing>
      </w:r>
    </w:p>
    <w:p w14:paraId="4BA7B6B5" w14:textId="77777777" w:rsidR="00CB0EBE" w:rsidRPr="009A6078" w:rsidRDefault="00CB0EBE" w:rsidP="00CB0EBE">
      <w:pPr>
        <w:pStyle w:val="SMHeading"/>
        <w:spacing w:before="0" w:after="0" w:line="300" w:lineRule="auto"/>
      </w:pPr>
      <w:bookmarkStart w:id="21" w:name="_Toc216766938"/>
      <w:r>
        <w:t>Extended Data Fig.</w:t>
      </w:r>
      <w:r>
        <w:rPr>
          <w:rFonts w:hint="eastAsia"/>
          <w:lang w:eastAsia="zh-CN"/>
        </w:rPr>
        <w:t xml:space="preserve"> </w:t>
      </w:r>
      <w:r w:rsidRPr="009A6078">
        <w:t>8 In both LP-WCFS1-mediated rapid and long-term fermentation systems, LP-WCFS1 correlates with differential metabolites in the fermentation liquid</w:t>
      </w:r>
      <w:bookmarkEnd w:id="21"/>
    </w:p>
    <w:p w14:paraId="7C1910C5" w14:textId="77777777" w:rsidR="00CB0EBE" w:rsidRPr="003B7224" w:rsidRDefault="00CB0EBE" w:rsidP="00CB0EBE">
      <w:pPr>
        <w:spacing w:line="300" w:lineRule="auto"/>
        <w:rPr>
          <w:rFonts w:eastAsia="宋体"/>
          <w:sz w:val="23"/>
          <w:szCs w:val="23"/>
        </w:rPr>
      </w:pPr>
      <w:r w:rsidRPr="003B7224">
        <w:rPr>
          <w:rFonts w:eastAsia="宋体"/>
          <w:sz w:val="23"/>
          <w:szCs w:val="23"/>
        </w:rPr>
        <w:t>A–C. Procrustes analyses showing correlations between microbial communities and global metabolite profiles in FL1 (A), FL2 (B), and FL3 (C), revealing consistent community–metabolite coupling across batches.</w:t>
      </w:r>
    </w:p>
    <w:p w14:paraId="68A55FA8" w14:textId="77777777" w:rsidR="00CB0EBE" w:rsidRPr="003B7224" w:rsidRDefault="00CB0EBE" w:rsidP="00CB0EBE">
      <w:pPr>
        <w:spacing w:line="300" w:lineRule="auto"/>
        <w:rPr>
          <w:rFonts w:eastAsia="宋体"/>
          <w:sz w:val="23"/>
          <w:szCs w:val="23"/>
        </w:rPr>
      </w:pPr>
      <w:r w:rsidRPr="003B7224">
        <w:rPr>
          <w:rFonts w:eastAsia="宋体"/>
          <w:sz w:val="23"/>
          <w:szCs w:val="23"/>
        </w:rPr>
        <w:t xml:space="preserve">D–F. Mantel-test network heatmaps for FL1 (D), FL2 (E), and FL3 (F), indicating </w:t>
      </w:r>
      <w:r w:rsidRPr="003B7224">
        <w:rPr>
          <w:rFonts w:eastAsia="宋体"/>
          <w:sz w:val="23"/>
          <w:szCs w:val="23"/>
        </w:rPr>
        <w:lastRenderedPageBreak/>
        <w:t>significant positive correlations between major microbial taxa and metabolites.</w:t>
      </w:r>
    </w:p>
    <w:p w14:paraId="2B53A73E" w14:textId="77777777" w:rsidR="00CB0EBE" w:rsidRPr="003B7224" w:rsidRDefault="00CB0EBE" w:rsidP="00CB0EBE">
      <w:pPr>
        <w:spacing w:line="300" w:lineRule="auto"/>
        <w:rPr>
          <w:rFonts w:eastAsia="宋体"/>
          <w:sz w:val="23"/>
          <w:szCs w:val="23"/>
        </w:rPr>
      </w:pPr>
    </w:p>
    <w:p w14:paraId="4343CEFD" w14:textId="77777777" w:rsidR="00CB0EBE" w:rsidRPr="003B7224" w:rsidRDefault="00CB0EBE" w:rsidP="00CB0EBE">
      <w:pPr>
        <w:spacing w:line="300" w:lineRule="auto"/>
        <w:rPr>
          <w:rFonts w:eastAsia="宋体"/>
          <w:sz w:val="23"/>
          <w:szCs w:val="23"/>
        </w:rPr>
      </w:pPr>
      <w:r w:rsidRPr="003B7224">
        <w:rPr>
          <w:rFonts w:eastAsia="宋体"/>
          <w:sz w:val="23"/>
          <w:szCs w:val="23"/>
        </w:rPr>
        <w:t>G–M. Linear regressions between LP-WCFS1 abundance and individual metabolites—including coumarin (G), protocatechuic acid (H), vanillic acid (I), syringic acid (J), ferulic acid (K), caffeic acid (L), and D-sorbitol (M)—across FL1, FL2, and FL3.</w:t>
      </w:r>
    </w:p>
    <w:p w14:paraId="1B68951B" w14:textId="77777777" w:rsidR="00CB0EBE" w:rsidRPr="003B7224" w:rsidRDefault="00CB0EBE" w:rsidP="00CB0EBE">
      <w:pPr>
        <w:spacing w:line="300" w:lineRule="auto"/>
        <w:rPr>
          <w:sz w:val="23"/>
          <w:szCs w:val="23"/>
        </w:rPr>
      </w:pPr>
      <w:r w:rsidRPr="009A6078">
        <w:rPr>
          <w:rFonts w:eastAsia="宋体"/>
          <w:sz w:val="23"/>
          <w:szCs w:val="23"/>
        </w:rPr>
        <w:t>FL (rapid fermentation system, 14d), FLY (long-term fermentation system, 365d).</w:t>
      </w:r>
      <w:r>
        <w:rPr>
          <w:rFonts w:eastAsia="宋体" w:hint="eastAsia"/>
          <w:sz w:val="23"/>
          <w:szCs w:val="23"/>
        </w:rPr>
        <w:t xml:space="preserve"> </w:t>
      </w:r>
      <w:r w:rsidRPr="003B7224">
        <w:rPr>
          <w:rFonts w:eastAsia="宋体"/>
          <w:sz w:val="23"/>
          <w:szCs w:val="23"/>
        </w:rPr>
        <w:t xml:space="preserve">In G-M, </w:t>
      </w:r>
      <w:r w:rsidRPr="003B7224">
        <w:rPr>
          <w:sz w:val="23"/>
          <w:szCs w:val="23"/>
        </w:rPr>
        <w:t>LP-WCFS1</w:t>
      </w:r>
      <w:r w:rsidRPr="003B7224">
        <w:rPr>
          <w:rFonts w:eastAsia="宋体"/>
          <w:sz w:val="23"/>
          <w:szCs w:val="23"/>
        </w:rPr>
        <w:t xml:space="preserve"> exhibits significant positive correlations with the respective metabolites.</w:t>
      </w:r>
      <w:r>
        <w:rPr>
          <w:rFonts w:eastAsia="宋体" w:hint="eastAsia"/>
          <w:sz w:val="23"/>
          <w:szCs w:val="23"/>
        </w:rPr>
        <w:t xml:space="preserve"> </w:t>
      </w:r>
      <w:r w:rsidRPr="003B7224">
        <w:rPr>
          <w:sz w:val="23"/>
          <w:szCs w:val="23"/>
        </w:rPr>
        <w:t xml:space="preserve">In A-M, </w:t>
      </w:r>
      <w:r w:rsidRPr="00626AE6">
        <w:rPr>
          <w:i/>
          <w:iCs/>
          <w:sz w:val="23"/>
          <w:szCs w:val="23"/>
        </w:rPr>
        <w:t>n</w:t>
      </w:r>
      <w:r w:rsidRPr="003B7224">
        <w:rPr>
          <w:sz w:val="23"/>
          <w:szCs w:val="23"/>
        </w:rPr>
        <w:t xml:space="preserve"> = 3 biological replicates, A two-tailed Student’s t-test was used to determine </w:t>
      </w:r>
      <w:r w:rsidRPr="003B7224">
        <w:rPr>
          <w:i/>
          <w:iCs/>
          <w:sz w:val="23"/>
          <w:szCs w:val="23"/>
        </w:rPr>
        <w:t>p</w:t>
      </w:r>
      <w:r w:rsidRPr="003B7224">
        <w:rPr>
          <w:sz w:val="23"/>
          <w:szCs w:val="23"/>
        </w:rPr>
        <w:t xml:space="preserve"> values. * </w:t>
      </w:r>
      <w:r w:rsidRPr="003B7224">
        <w:rPr>
          <w:i/>
          <w:iCs/>
          <w:sz w:val="23"/>
          <w:szCs w:val="23"/>
        </w:rPr>
        <w:t>p</w:t>
      </w:r>
      <w:r w:rsidRPr="003B7224">
        <w:rPr>
          <w:sz w:val="23"/>
          <w:szCs w:val="23"/>
        </w:rPr>
        <w:t xml:space="preserve"> &lt; 0.05, ** </w:t>
      </w:r>
      <w:r w:rsidRPr="003B7224">
        <w:rPr>
          <w:i/>
          <w:iCs/>
          <w:sz w:val="23"/>
          <w:szCs w:val="23"/>
        </w:rPr>
        <w:t>p</w:t>
      </w:r>
      <w:r w:rsidRPr="003B7224">
        <w:rPr>
          <w:sz w:val="23"/>
          <w:szCs w:val="23"/>
        </w:rPr>
        <w:t xml:space="preserve"> &lt; 0.01, ***</w:t>
      </w:r>
      <w:r w:rsidRPr="003B7224">
        <w:rPr>
          <w:i/>
          <w:iCs/>
          <w:sz w:val="23"/>
          <w:szCs w:val="23"/>
        </w:rPr>
        <w:t>p</w:t>
      </w:r>
      <w:r w:rsidRPr="003B7224">
        <w:rPr>
          <w:sz w:val="23"/>
          <w:szCs w:val="23"/>
        </w:rPr>
        <w:t xml:space="preserve"> &lt; 0.001. </w:t>
      </w:r>
      <w:r w:rsidRPr="003B7224">
        <w:rPr>
          <w:rFonts w:eastAsia="宋体"/>
          <w:sz w:val="23"/>
          <w:szCs w:val="23"/>
        </w:rPr>
        <w:t xml:space="preserve">Values are presented as the mean ± SD. </w:t>
      </w:r>
      <w:r w:rsidRPr="003B7224">
        <w:rPr>
          <w:sz w:val="23"/>
          <w:szCs w:val="23"/>
        </w:rPr>
        <w:br w:type="page"/>
      </w:r>
    </w:p>
    <w:p w14:paraId="162CF471"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0413F1CD" wp14:editId="0C2FFE46">
            <wp:extent cx="5265420" cy="2971800"/>
            <wp:effectExtent l="0" t="0" r="0" b="0"/>
            <wp:docPr id="116380597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65420" cy="2971800"/>
                    </a:xfrm>
                    <a:prstGeom prst="rect">
                      <a:avLst/>
                    </a:prstGeom>
                    <a:noFill/>
                    <a:ln>
                      <a:noFill/>
                    </a:ln>
                  </pic:spPr>
                </pic:pic>
              </a:graphicData>
            </a:graphic>
          </wp:inline>
        </w:drawing>
      </w:r>
    </w:p>
    <w:p w14:paraId="55AA5F67" w14:textId="77777777" w:rsidR="00CB0EBE" w:rsidRPr="000F2EA3" w:rsidRDefault="00CB0EBE" w:rsidP="00CB0EBE">
      <w:pPr>
        <w:pStyle w:val="SMHeading"/>
        <w:spacing w:before="0" w:after="0" w:line="300" w:lineRule="auto"/>
      </w:pPr>
      <w:bookmarkStart w:id="22" w:name="_Toc216766939"/>
      <w:r>
        <w:t>Extended Data Fig.</w:t>
      </w:r>
      <w:r>
        <w:rPr>
          <w:rFonts w:hint="eastAsia"/>
          <w:lang w:eastAsia="zh-CN"/>
        </w:rPr>
        <w:t xml:space="preserve"> </w:t>
      </w:r>
      <w:r w:rsidRPr="000F2EA3">
        <w:t>9 Foliar application of Lactobacillus plantarum (LP-WCFS1)-mediated rapid fermentation liquid promotes Brassica rapa growth under greenhouse conditions</w:t>
      </w:r>
      <w:bookmarkEnd w:id="22"/>
    </w:p>
    <w:p w14:paraId="041ACFC8" w14:textId="77777777" w:rsidR="00CB0EBE" w:rsidRPr="003B7224" w:rsidRDefault="00CB0EBE" w:rsidP="00CB0EBE">
      <w:pPr>
        <w:spacing w:line="300" w:lineRule="auto"/>
        <w:rPr>
          <w:sz w:val="23"/>
          <w:szCs w:val="23"/>
        </w:rPr>
      </w:pPr>
      <w:r w:rsidRPr="003B7224">
        <w:rPr>
          <w:sz w:val="23"/>
          <w:szCs w:val="23"/>
        </w:rPr>
        <w:t xml:space="preserve">A. Phenotypic comparison of </w:t>
      </w:r>
      <w:r w:rsidRPr="003B7224">
        <w:rPr>
          <w:i/>
          <w:iCs/>
          <w:sz w:val="23"/>
          <w:szCs w:val="23"/>
        </w:rPr>
        <w:t>Brassica rapa</w:t>
      </w:r>
      <w:r w:rsidRPr="003B7224">
        <w:rPr>
          <w:sz w:val="23"/>
          <w:szCs w:val="23"/>
        </w:rPr>
        <w:t xml:space="preserve"> plants treated with foliar sprays of FL at different concentrations.</w:t>
      </w:r>
    </w:p>
    <w:p w14:paraId="13A1EB93" w14:textId="77777777" w:rsidR="00CB0EBE" w:rsidRPr="003B7224" w:rsidRDefault="00CB0EBE" w:rsidP="00CB0EBE">
      <w:pPr>
        <w:spacing w:line="300" w:lineRule="auto"/>
        <w:rPr>
          <w:sz w:val="23"/>
          <w:szCs w:val="23"/>
        </w:rPr>
      </w:pPr>
      <w:r w:rsidRPr="003B7224">
        <w:rPr>
          <w:sz w:val="23"/>
          <w:szCs w:val="23"/>
        </w:rPr>
        <w:t>B, F. Shoot fresh weight in the Zhangjiakou (2023) and Beijing (2024) greenhouse trials, respectively.</w:t>
      </w:r>
    </w:p>
    <w:p w14:paraId="45D7178E" w14:textId="77777777" w:rsidR="00CB0EBE" w:rsidRPr="003B7224" w:rsidRDefault="00CB0EBE" w:rsidP="00CB0EBE">
      <w:pPr>
        <w:spacing w:line="300" w:lineRule="auto"/>
        <w:rPr>
          <w:sz w:val="23"/>
          <w:szCs w:val="23"/>
        </w:rPr>
      </w:pPr>
      <w:r w:rsidRPr="003B7224">
        <w:rPr>
          <w:sz w:val="23"/>
          <w:szCs w:val="23"/>
        </w:rPr>
        <w:t>C, G. Shoot dry weight in the Zhangjiakou (2023) and Beijing (2024) greenhouse trials, respectively.</w:t>
      </w:r>
    </w:p>
    <w:p w14:paraId="67AF826B" w14:textId="77777777" w:rsidR="00CB0EBE" w:rsidRPr="003B7224" w:rsidRDefault="00CB0EBE" w:rsidP="00CB0EBE">
      <w:pPr>
        <w:spacing w:line="300" w:lineRule="auto"/>
        <w:rPr>
          <w:sz w:val="23"/>
          <w:szCs w:val="23"/>
        </w:rPr>
      </w:pPr>
      <w:r w:rsidRPr="003B7224">
        <w:rPr>
          <w:sz w:val="23"/>
          <w:szCs w:val="23"/>
        </w:rPr>
        <w:t>D, H. Root fresh weight in the Zhangjiakou (2023) and Beijing (2024) greenhouse trials, respectively.</w:t>
      </w:r>
    </w:p>
    <w:p w14:paraId="532B28EC" w14:textId="77777777" w:rsidR="00CB0EBE" w:rsidRPr="003B7224" w:rsidRDefault="00CB0EBE" w:rsidP="00CB0EBE">
      <w:pPr>
        <w:spacing w:line="300" w:lineRule="auto"/>
        <w:rPr>
          <w:sz w:val="23"/>
          <w:szCs w:val="23"/>
        </w:rPr>
      </w:pPr>
      <w:r w:rsidRPr="003B7224">
        <w:rPr>
          <w:sz w:val="23"/>
          <w:szCs w:val="23"/>
        </w:rPr>
        <w:t>E, I. Root dry weight in the Zhangjiakou (2023) and Beijing (2024) greenhouse trials, respectively.</w:t>
      </w:r>
    </w:p>
    <w:p w14:paraId="39CDCEB6" w14:textId="77777777" w:rsidR="00CB0EBE" w:rsidRPr="003B7224" w:rsidRDefault="00CB0EBE" w:rsidP="00CB0EBE">
      <w:pPr>
        <w:spacing w:line="300" w:lineRule="auto"/>
        <w:rPr>
          <w:sz w:val="23"/>
          <w:szCs w:val="23"/>
        </w:rPr>
      </w:pPr>
      <w:r w:rsidRPr="003B7224">
        <w:rPr>
          <w:sz w:val="23"/>
          <w:szCs w:val="23"/>
        </w:rPr>
        <w:t>FL (rapid fermentation liquid). Treatment groups: CK (0 mL/L FL), FL2.5 (2.5 mL/L FL), FL5 (5 mL/L FL), FL10 (10 mL/L FL).</w:t>
      </w:r>
      <w:r>
        <w:rPr>
          <w:rFonts w:hint="eastAsia"/>
          <w:sz w:val="23"/>
          <w:szCs w:val="23"/>
        </w:rPr>
        <w:t xml:space="preserve"> </w:t>
      </w:r>
      <w:r w:rsidRPr="003B7224">
        <w:rPr>
          <w:sz w:val="23"/>
          <w:szCs w:val="23"/>
        </w:rPr>
        <w:t xml:space="preserve">In B-I, </w:t>
      </w:r>
      <w:r w:rsidRPr="00626AE6">
        <w:rPr>
          <w:i/>
          <w:iCs/>
          <w:sz w:val="23"/>
          <w:szCs w:val="23"/>
        </w:rPr>
        <w:t>n</w:t>
      </w:r>
      <w:r w:rsidRPr="003B7224">
        <w:rPr>
          <w:sz w:val="23"/>
          <w:szCs w:val="23"/>
        </w:rPr>
        <w:t xml:space="preserve"> = 18 biological replicates, one-way analysis of variance (ANOVA) followed by Tukey’s multiple comparison test was used to determine the </w:t>
      </w:r>
      <w:r w:rsidRPr="003B7224">
        <w:rPr>
          <w:i/>
          <w:iCs/>
          <w:sz w:val="23"/>
          <w:szCs w:val="23"/>
        </w:rPr>
        <w:t>p</w:t>
      </w:r>
      <w:r w:rsidRPr="003B7224">
        <w:rPr>
          <w:sz w:val="23"/>
          <w:szCs w:val="23"/>
        </w:rPr>
        <w:t xml:space="preserve"> values. * </w:t>
      </w:r>
      <w:r w:rsidRPr="003B7224">
        <w:rPr>
          <w:i/>
          <w:iCs/>
          <w:sz w:val="23"/>
          <w:szCs w:val="23"/>
        </w:rPr>
        <w:t>p</w:t>
      </w:r>
      <w:r w:rsidRPr="003B7224">
        <w:rPr>
          <w:sz w:val="23"/>
          <w:szCs w:val="23"/>
        </w:rPr>
        <w:t xml:space="preserve"> &lt; 0.05, ** </w:t>
      </w:r>
      <w:r w:rsidRPr="003B7224">
        <w:rPr>
          <w:i/>
          <w:iCs/>
          <w:sz w:val="23"/>
          <w:szCs w:val="23"/>
        </w:rPr>
        <w:t>p</w:t>
      </w:r>
      <w:r w:rsidRPr="003B7224">
        <w:rPr>
          <w:sz w:val="23"/>
          <w:szCs w:val="23"/>
        </w:rPr>
        <w:t xml:space="preserve"> &lt; 0.01, ***</w:t>
      </w:r>
      <w:r w:rsidRPr="003B7224">
        <w:rPr>
          <w:i/>
          <w:iCs/>
          <w:sz w:val="23"/>
          <w:szCs w:val="23"/>
        </w:rPr>
        <w:t>p</w:t>
      </w:r>
      <w:r w:rsidRPr="003B7224">
        <w:rPr>
          <w:sz w:val="23"/>
          <w:szCs w:val="23"/>
        </w:rPr>
        <w:t xml:space="preserve"> &lt; 0.001. </w:t>
      </w:r>
      <w:r w:rsidRPr="003B7224">
        <w:rPr>
          <w:rFonts w:eastAsia="宋体"/>
          <w:sz w:val="23"/>
          <w:szCs w:val="23"/>
        </w:rPr>
        <w:t>Values are presented as the mean ± SD.</w:t>
      </w:r>
      <w:r w:rsidRPr="003B7224">
        <w:rPr>
          <w:sz w:val="23"/>
          <w:szCs w:val="23"/>
        </w:rPr>
        <w:br w:type="page"/>
      </w:r>
    </w:p>
    <w:p w14:paraId="277FE1F4"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283A6AC5" wp14:editId="641EC8E7">
            <wp:extent cx="5265420" cy="7452360"/>
            <wp:effectExtent l="0" t="0" r="0" b="0"/>
            <wp:docPr id="17649938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65420" cy="7452360"/>
                    </a:xfrm>
                    <a:prstGeom prst="rect">
                      <a:avLst/>
                    </a:prstGeom>
                    <a:noFill/>
                    <a:ln>
                      <a:noFill/>
                    </a:ln>
                  </pic:spPr>
                </pic:pic>
              </a:graphicData>
            </a:graphic>
          </wp:inline>
        </w:drawing>
      </w:r>
    </w:p>
    <w:p w14:paraId="700C0C34" w14:textId="77777777" w:rsidR="00CB0EBE" w:rsidRPr="000F2EA3" w:rsidRDefault="00CB0EBE" w:rsidP="00CB0EBE">
      <w:pPr>
        <w:pStyle w:val="SMHeading"/>
        <w:spacing w:before="0" w:after="0" w:line="300" w:lineRule="auto"/>
      </w:pPr>
      <w:bookmarkStart w:id="23" w:name="_Toc216766940"/>
      <w:r>
        <w:t>Extended Data Fig.</w:t>
      </w:r>
      <w:r>
        <w:rPr>
          <w:rFonts w:hint="eastAsia"/>
          <w:lang w:eastAsia="zh-CN"/>
        </w:rPr>
        <w:t xml:space="preserve"> </w:t>
      </w:r>
      <w:r w:rsidRPr="000F2EA3">
        <w:t xml:space="preserve">10 D-sorbitol as the effector component of the fermentation liquid from the LP-WCFS1-mediated rapid fermentation system, promotes the growth of </w:t>
      </w:r>
      <w:r w:rsidRPr="00FC25BC">
        <w:rPr>
          <w:i/>
          <w:iCs/>
        </w:rPr>
        <w:t>Brassica rapa</w:t>
      </w:r>
      <w:bookmarkEnd w:id="23"/>
    </w:p>
    <w:p w14:paraId="193D1A6F" w14:textId="77777777" w:rsidR="00CB0EBE" w:rsidRPr="003B7224" w:rsidRDefault="00CB0EBE" w:rsidP="00CB0EBE">
      <w:pPr>
        <w:spacing w:line="300" w:lineRule="auto"/>
        <w:rPr>
          <w:sz w:val="23"/>
          <w:szCs w:val="23"/>
        </w:rPr>
      </w:pPr>
      <w:r w:rsidRPr="003B7224">
        <w:rPr>
          <w:sz w:val="23"/>
          <w:szCs w:val="23"/>
        </w:rPr>
        <w:t xml:space="preserve">A, B. Top 10 metabolites by abundance in rapid fermentation liquids from rapid fermentation systems: FL (rapid fermentation liquids, Beijing, 2023; A) and FLV (repeated </w:t>
      </w:r>
      <w:r w:rsidRPr="003B7224">
        <w:rPr>
          <w:sz w:val="23"/>
          <w:szCs w:val="23"/>
        </w:rPr>
        <w:lastRenderedPageBreak/>
        <w:t>validation of rapid fermentation liquids, Zhangjiakou, 2024; B). Both FL and FLV include D-sorbitol and phenylalanine among their most abundant metabolites; these were therefore selected as primary components for functional validation (</w:t>
      </w:r>
      <w:r w:rsidRPr="00626AE6">
        <w:rPr>
          <w:i/>
          <w:iCs/>
          <w:sz w:val="23"/>
          <w:szCs w:val="23"/>
        </w:rPr>
        <w:t>n</w:t>
      </w:r>
      <w:r w:rsidRPr="003B7224">
        <w:rPr>
          <w:sz w:val="23"/>
          <w:szCs w:val="23"/>
        </w:rPr>
        <w:t xml:space="preserve"> = 3 biological replicates).</w:t>
      </w:r>
    </w:p>
    <w:p w14:paraId="582BCB65" w14:textId="77777777" w:rsidR="00CB0EBE" w:rsidRPr="003B7224" w:rsidRDefault="00CB0EBE" w:rsidP="00CB0EBE">
      <w:pPr>
        <w:spacing w:line="300" w:lineRule="auto"/>
        <w:rPr>
          <w:sz w:val="23"/>
          <w:szCs w:val="23"/>
        </w:rPr>
      </w:pPr>
      <w:r w:rsidRPr="003B7224">
        <w:rPr>
          <w:sz w:val="23"/>
          <w:szCs w:val="23"/>
        </w:rPr>
        <w:t xml:space="preserve">C–E. </w:t>
      </w:r>
      <w:r w:rsidRPr="003B7224">
        <w:rPr>
          <w:i/>
          <w:iCs/>
          <w:sz w:val="23"/>
          <w:szCs w:val="23"/>
        </w:rPr>
        <w:t>Brassica rapa</w:t>
      </w:r>
      <w:r w:rsidRPr="003B7224">
        <w:rPr>
          <w:sz w:val="23"/>
          <w:szCs w:val="23"/>
        </w:rPr>
        <w:t xml:space="preserve"> biomass under effector component treatments: shoot dry weight (C), root fresh weight (D), and root dry weight (E).</w:t>
      </w:r>
    </w:p>
    <w:p w14:paraId="2326CEF0" w14:textId="77777777" w:rsidR="00CB0EBE" w:rsidRPr="003B7224" w:rsidRDefault="00CB0EBE" w:rsidP="00CB0EBE">
      <w:pPr>
        <w:spacing w:line="300" w:lineRule="auto"/>
        <w:rPr>
          <w:sz w:val="23"/>
          <w:szCs w:val="23"/>
        </w:rPr>
      </w:pPr>
      <w:r w:rsidRPr="003B7224">
        <w:rPr>
          <w:sz w:val="23"/>
          <w:szCs w:val="23"/>
        </w:rPr>
        <w:t>F–H. Leaf gas-exchange parameters under effector component treatments: intercellular CO₂ concentration (Ci; F), stomatal conductance (Gs; G), and transpiration rate (Tr; H).</w:t>
      </w:r>
    </w:p>
    <w:p w14:paraId="22DDA096" w14:textId="77777777" w:rsidR="00CB0EBE" w:rsidRPr="003B7224" w:rsidRDefault="00CB0EBE" w:rsidP="00CB0EBE">
      <w:pPr>
        <w:spacing w:line="300" w:lineRule="auto"/>
        <w:rPr>
          <w:sz w:val="23"/>
          <w:szCs w:val="23"/>
        </w:rPr>
      </w:pPr>
      <w:r w:rsidRPr="003B7224">
        <w:rPr>
          <w:sz w:val="23"/>
          <w:szCs w:val="23"/>
        </w:rPr>
        <w:t xml:space="preserve">I–M. </w:t>
      </w:r>
      <w:r w:rsidRPr="003B7224">
        <w:rPr>
          <w:i/>
          <w:iCs/>
          <w:sz w:val="23"/>
          <w:szCs w:val="23"/>
        </w:rPr>
        <w:t>Brassica rapa</w:t>
      </w:r>
      <w:r w:rsidRPr="003B7224">
        <w:rPr>
          <w:sz w:val="23"/>
          <w:szCs w:val="23"/>
        </w:rPr>
        <w:t xml:space="preserve"> biomass under FL and effector component treatments: shoot fresh weight (Beijing, 2024; I; general results in J), shoot dry weight (K), root fresh weight (L), and root dry weight (M).</w:t>
      </w:r>
    </w:p>
    <w:p w14:paraId="2B665457" w14:textId="77777777" w:rsidR="00CB0EBE" w:rsidRPr="003B7224" w:rsidRDefault="00CB0EBE" w:rsidP="00CB0EBE">
      <w:pPr>
        <w:spacing w:line="300" w:lineRule="auto"/>
        <w:rPr>
          <w:sz w:val="23"/>
          <w:szCs w:val="23"/>
        </w:rPr>
      </w:pPr>
      <w:r w:rsidRPr="003B7224">
        <w:rPr>
          <w:sz w:val="23"/>
          <w:szCs w:val="23"/>
        </w:rPr>
        <w:t>N–Q. Leaf photosynthetic parameters under effector component treatments: net photosynthetic rate (Pn; N), intercellular CO₂ concentration (Ci; O), stomatal conductance (Gs; P), and transpiration rate (Tr; Q).</w:t>
      </w:r>
    </w:p>
    <w:p w14:paraId="0FBE49C7" w14:textId="77777777" w:rsidR="00CB0EBE" w:rsidRPr="003B7224" w:rsidRDefault="00CB0EBE" w:rsidP="00CB0EBE">
      <w:pPr>
        <w:spacing w:line="300" w:lineRule="auto"/>
        <w:rPr>
          <w:sz w:val="23"/>
          <w:szCs w:val="23"/>
        </w:rPr>
      </w:pPr>
      <w:r w:rsidRPr="003B7224">
        <w:rPr>
          <w:sz w:val="23"/>
          <w:szCs w:val="23"/>
        </w:rPr>
        <w:t>Treatment groups: CK (water), FL2.5 (2.5 ml/L FL), FL5 (5 ml/L FL), FL10 (10 ml/L FL), DS2 (2g/L D-sorbitol), AA (0.2g/L Phenylalanine), DA (2g/L D-sorbitol + 0.2g/L Phenylalanine).</w:t>
      </w:r>
      <w:r>
        <w:rPr>
          <w:rFonts w:hint="eastAsia"/>
          <w:sz w:val="23"/>
          <w:szCs w:val="23"/>
        </w:rPr>
        <w:t xml:space="preserve"> </w:t>
      </w:r>
      <w:r w:rsidRPr="003B7224">
        <w:rPr>
          <w:sz w:val="23"/>
          <w:szCs w:val="23"/>
        </w:rPr>
        <w:t xml:space="preserve">In C-H, Conducted in Zhangjiakou greenhouse trial (2024). I, Conducted in Beijing greenhouse trial (2024). In J-Q, Conducted in Hangzhou growth chamber conditions (2024). In C-E, I-M, </w:t>
      </w:r>
      <w:r w:rsidRPr="00626AE6">
        <w:rPr>
          <w:i/>
          <w:iCs/>
          <w:sz w:val="23"/>
          <w:szCs w:val="23"/>
        </w:rPr>
        <w:t xml:space="preserve">n </w:t>
      </w:r>
      <w:r w:rsidRPr="003B7224">
        <w:rPr>
          <w:sz w:val="23"/>
          <w:szCs w:val="23"/>
        </w:rPr>
        <w:t xml:space="preserve">= 18 biological replicates. In F-H, </w:t>
      </w:r>
      <w:r w:rsidRPr="00626AE6">
        <w:rPr>
          <w:i/>
          <w:iCs/>
          <w:sz w:val="23"/>
          <w:szCs w:val="23"/>
        </w:rPr>
        <w:t xml:space="preserve">n </w:t>
      </w:r>
      <w:r w:rsidRPr="003B7224">
        <w:rPr>
          <w:sz w:val="23"/>
          <w:szCs w:val="23"/>
        </w:rPr>
        <w:t xml:space="preserve">= 6 biological replicates. In N-Q, </w:t>
      </w:r>
      <w:r w:rsidRPr="00626AE6">
        <w:rPr>
          <w:i/>
          <w:iCs/>
          <w:sz w:val="23"/>
          <w:szCs w:val="23"/>
        </w:rPr>
        <w:t xml:space="preserve">n </w:t>
      </w:r>
      <w:r w:rsidRPr="003B7224">
        <w:rPr>
          <w:sz w:val="23"/>
          <w:szCs w:val="23"/>
        </w:rPr>
        <w:t>= 5 biological replicates. In C-Q, one-way analysis of variance (ANOVA) followed by Tukey’s multiple comparison test was used to determine the</w:t>
      </w:r>
      <w:r w:rsidRPr="003B7224">
        <w:rPr>
          <w:i/>
          <w:iCs/>
          <w:sz w:val="23"/>
          <w:szCs w:val="23"/>
        </w:rPr>
        <w:t xml:space="preserve"> p</w:t>
      </w:r>
      <w:r w:rsidRPr="003B7224">
        <w:rPr>
          <w:sz w:val="23"/>
          <w:szCs w:val="23"/>
        </w:rPr>
        <w:t xml:space="preserve"> values. * </w:t>
      </w:r>
      <w:r w:rsidRPr="003B7224">
        <w:rPr>
          <w:i/>
          <w:iCs/>
          <w:sz w:val="23"/>
          <w:szCs w:val="23"/>
        </w:rPr>
        <w:t>p</w:t>
      </w:r>
      <w:r w:rsidRPr="003B7224">
        <w:rPr>
          <w:sz w:val="23"/>
          <w:szCs w:val="23"/>
        </w:rPr>
        <w:t xml:space="preserve"> &lt; 0.05, ** </w:t>
      </w:r>
      <w:r w:rsidRPr="003B7224">
        <w:rPr>
          <w:i/>
          <w:iCs/>
          <w:sz w:val="23"/>
          <w:szCs w:val="23"/>
        </w:rPr>
        <w:t>p</w:t>
      </w:r>
      <w:r w:rsidRPr="003B7224">
        <w:rPr>
          <w:sz w:val="23"/>
          <w:szCs w:val="23"/>
        </w:rPr>
        <w:t xml:space="preserve"> &lt; 0.01, ***</w:t>
      </w:r>
      <w:r w:rsidRPr="003B7224">
        <w:rPr>
          <w:i/>
          <w:iCs/>
          <w:sz w:val="23"/>
          <w:szCs w:val="23"/>
        </w:rPr>
        <w:t>p</w:t>
      </w:r>
      <w:r w:rsidRPr="003B7224">
        <w:rPr>
          <w:sz w:val="23"/>
          <w:szCs w:val="23"/>
        </w:rPr>
        <w:t xml:space="preserve"> &lt; 0.001. </w:t>
      </w:r>
      <w:r w:rsidRPr="003B7224">
        <w:rPr>
          <w:rFonts w:eastAsia="宋体"/>
          <w:sz w:val="23"/>
          <w:szCs w:val="23"/>
        </w:rPr>
        <w:t>Values are presented as the mean ± SD.</w:t>
      </w:r>
      <w:r w:rsidRPr="003B7224">
        <w:rPr>
          <w:sz w:val="23"/>
          <w:szCs w:val="23"/>
        </w:rPr>
        <w:br w:type="page"/>
      </w:r>
    </w:p>
    <w:p w14:paraId="1221054D"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0C0E2EBF" wp14:editId="17240D49">
            <wp:extent cx="5265420" cy="7452360"/>
            <wp:effectExtent l="0" t="0" r="1270" b="0"/>
            <wp:docPr id="4759146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65420" cy="7452360"/>
                    </a:xfrm>
                    <a:prstGeom prst="rect">
                      <a:avLst/>
                    </a:prstGeom>
                    <a:noFill/>
                    <a:ln>
                      <a:noFill/>
                    </a:ln>
                  </pic:spPr>
                </pic:pic>
              </a:graphicData>
            </a:graphic>
          </wp:inline>
        </w:drawing>
      </w:r>
    </w:p>
    <w:p w14:paraId="17D522AF" w14:textId="77777777" w:rsidR="00CB0EBE" w:rsidRPr="00FC25BC" w:rsidRDefault="00CB0EBE" w:rsidP="00CB0EBE">
      <w:pPr>
        <w:pStyle w:val="SMHeading"/>
        <w:spacing w:before="0" w:after="0" w:line="300" w:lineRule="auto"/>
      </w:pPr>
      <w:bookmarkStart w:id="24" w:name="_Toc216766941"/>
      <w:r>
        <w:t>Extended Data Fig.</w:t>
      </w:r>
      <w:r>
        <w:rPr>
          <w:rFonts w:hint="eastAsia"/>
          <w:lang w:eastAsia="zh-CN"/>
        </w:rPr>
        <w:t xml:space="preserve"> </w:t>
      </w:r>
      <w:r w:rsidRPr="00FC25BC">
        <w:t xml:space="preserve">11 Foliar application of D-sorbitol promotes </w:t>
      </w:r>
      <w:r w:rsidRPr="00FC25BC">
        <w:rPr>
          <w:i/>
          <w:iCs/>
        </w:rPr>
        <w:t>Brassica rapa</w:t>
      </w:r>
      <w:r w:rsidRPr="00FC25BC">
        <w:t xml:space="preserve"> growth</w:t>
      </w:r>
      <w:bookmarkEnd w:id="24"/>
    </w:p>
    <w:p w14:paraId="66A04087" w14:textId="77777777" w:rsidR="00CB0EBE" w:rsidRPr="003B7224" w:rsidRDefault="00CB0EBE" w:rsidP="00CB0EBE">
      <w:pPr>
        <w:spacing w:line="300" w:lineRule="auto"/>
        <w:rPr>
          <w:sz w:val="23"/>
          <w:szCs w:val="23"/>
        </w:rPr>
      </w:pPr>
      <w:r w:rsidRPr="003B7224">
        <w:rPr>
          <w:sz w:val="23"/>
          <w:szCs w:val="23"/>
        </w:rPr>
        <w:t xml:space="preserve">A. Growth phenotype of </w:t>
      </w:r>
      <w:r w:rsidRPr="003B7224">
        <w:rPr>
          <w:i/>
          <w:iCs/>
          <w:sz w:val="23"/>
          <w:szCs w:val="23"/>
        </w:rPr>
        <w:t>Brassica rapa</w:t>
      </w:r>
      <w:r w:rsidRPr="003B7224">
        <w:rPr>
          <w:sz w:val="23"/>
          <w:szCs w:val="23"/>
        </w:rPr>
        <w:t xml:space="preserve"> under </w:t>
      </w:r>
      <w:r w:rsidRPr="003B7224">
        <w:rPr>
          <w:rFonts w:eastAsia="宋体"/>
          <w:sz w:val="23"/>
          <w:szCs w:val="23"/>
        </w:rPr>
        <w:t>D-sorbitol</w:t>
      </w:r>
      <w:r w:rsidRPr="003B7224">
        <w:rPr>
          <w:sz w:val="23"/>
          <w:szCs w:val="23"/>
        </w:rPr>
        <w:t xml:space="preserve"> treatment.</w:t>
      </w:r>
    </w:p>
    <w:p w14:paraId="2CD87AA6" w14:textId="77777777" w:rsidR="00CB0EBE" w:rsidRPr="003B7224" w:rsidRDefault="00CB0EBE" w:rsidP="00CB0EBE">
      <w:pPr>
        <w:spacing w:line="300" w:lineRule="auto"/>
        <w:rPr>
          <w:sz w:val="23"/>
          <w:szCs w:val="23"/>
        </w:rPr>
      </w:pPr>
      <w:r w:rsidRPr="003B7224">
        <w:rPr>
          <w:sz w:val="23"/>
          <w:szCs w:val="23"/>
        </w:rPr>
        <w:t xml:space="preserve">B–G. Zhangjiakou greenhouse trial, 2024. B–D. </w:t>
      </w:r>
      <w:r w:rsidRPr="003B7224">
        <w:rPr>
          <w:i/>
          <w:iCs/>
          <w:sz w:val="23"/>
          <w:szCs w:val="23"/>
        </w:rPr>
        <w:t>Brassica rapa</w:t>
      </w:r>
      <w:r w:rsidRPr="003B7224">
        <w:rPr>
          <w:sz w:val="23"/>
          <w:szCs w:val="23"/>
        </w:rPr>
        <w:t xml:space="preserve"> biomass (</w:t>
      </w:r>
      <w:r w:rsidRPr="00626AE6">
        <w:rPr>
          <w:i/>
          <w:iCs/>
          <w:sz w:val="23"/>
          <w:szCs w:val="23"/>
        </w:rPr>
        <w:t>n</w:t>
      </w:r>
      <w:r w:rsidRPr="003B7224">
        <w:rPr>
          <w:sz w:val="23"/>
          <w:szCs w:val="23"/>
        </w:rPr>
        <w:t xml:space="preserve"> = 18): shoot dry weight (B), root fresh weight (C), root dry weight (D). E–G. Leaf gas-exchange parameters </w:t>
      </w:r>
      <w:r w:rsidRPr="003B7224">
        <w:rPr>
          <w:sz w:val="23"/>
          <w:szCs w:val="23"/>
        </w:rPr>
        <w:lastRenderedPageBreak/>
        <w:t>(</w:t>
      </w:r>
      <w:r w:rsidRPr="00626AE6">
        <w:rPr>
          <w:i/>
          <w:iCs/>
          <w:sz w:val="23"/>
          <w:szCs w:val="23"/>
        </w:rPr>
        <w:t>n</w:t>
      </w:r>
      <w:r w:rsidRPr="003B7224">
        <w:rPr>
          <w:sz w:val="23"/>
          <w:szCs w:val="23"/>
        </w:rPr>
        <w:t xml:space="preserve"> = 9): intercellular CO₂ concentration (Ci, E), stomatal conductance (Gs, F), transpiration rate (Tr, G).</w:t>
      </w:r>
    </w:p>
    <w:p w14:paraId="07E5F299" w14:textId="77777777" w:rsidR="00CB0EBE" w:rsidRPr="003B7224" w:rsidRDefault="00CB0EBE" w:rsidP="00CB0EBE">
      <w:pPr>
        <w:spacing w:line="300" w:lineRule="auto"/>
        <w:rPr>
          <w:sz w:val="23"/>
          <w:szCs w:val="23"/>
        </w:rPr>
      </w:pPr>
      <w:r w:rsidRPr="003B7224">
        <w:rPr>
          <w:sz w:val="23"/>
          <w:szCs w:val="23"/>
        </w:rPr>
        <w:t xml:space="preserve">H–O. Beijing greenhouse trial, 2024. H–K, L–O. </w:t>
      </w:r>
      <w:r w:rsidRPr="003B7224">
        <w:rPr>
          <w:i/>
          <w:iCs/>
          <w:sz w:val="23"/>
          <w:szCs w:val="23"/>
        </w:rPr>
        <w:t>Brassica rapa</w:t>
      </w:r>
      <w:r w:rsidRPr="003B7224">
        <w:rPr>
          <w:sz w:val="23"/>
          <w:szCs w:val="23"/>
        </w:rPr>
        <w:t xml:space="preserve"> biomass (</w:t>
      </w:r>
      <w:r w:rsidRPr="00626AE6">
        <w:rPr>
          <w:i/>
          <w:iCs/>
          <w:sz w:val="23"/>
          <w:szCs w:val="23"/>
        </w:rPr>
        <w:t>n</w:t>
      </w:r>
      <w:r w:rsidRPr="003B7224">
        <w:rPr>
          <w:sz w:val="23"/>
          <w:szCs w:val="23"/>
        </w:rPr>
        <w:t xml:space="preserve"> = 18): shoot fresh weight (H, L), shoot dry weight (I, M), root fresh weight (J, N), root dry weight (K, O).</w:t>
      </w:r>
    </w:p>
    <w:p w14:paraId="1B988537" w14:textId="77777777" w:rsidR="00CB0EBE" w:rsidRPr="003B7224" w:rsidRDefault="00CB0EBE" w:rsidP="00CB0EBE">
      <w:pPr>
        <w:spacing w:line="300" w:lineRule="auto"/>
        <w:rPr>
          <w:sz w:val="23"/>
          <w:szCs w:val="23"/>
        </w:rPr>
      </w:pPr>
      <w:r w:rsidRPr="003B7224">
        <w:rPr>
          <w:sz w:val="23"/>
          <w:szCs w:val="23"/>
        </w:rPr>
        <w:t>P–S. Beijing greenhouse trial, 2024. Leaf gas-exchange parameters (</w:t>
      </w:r>
      <w:r w:rsidRPr="00626AE6">
        <w:rPr>
          <w:i/>
          <w:iCs/>
          <w:sz w:val="23"/>
          <w:szCs w:val="23"/>
        </w:rPr>
        <w:t>n</w:t>
      </w:r>
      <w:r w:rsidRPr="003B7224">
        <w:rPr>
          <w:sz w:val="23"/>
          <w:szCs w:val="23"/>
        </w:rPr>
        <w:t xml:space="preserve"> = 5): net photosynthetic rate (Pn, P), transpiration rate (Tr, Q), stomatal conductance (Gs, R), intercellular CO₂ concentration (Ci, S).</w:t>
      </w:r>
    </w:p>
    <w:p w14:paraId="453B5A35" w14:textId="77777777" w:rsidR="00CB0EBE" w:rsidRPr="003B7224" w:rsidRDefault="00CB0EBE" w:rsidP="00CB0EBE">
      <w:pPr>
        <w:spacing w:line="300" w:lineRule="auto"/>
        <w:rPr>
          <w:sz w:val="23"/>
          <w:szCs w:val="23"/>
        </w:rPr>
      </w:pPr>
      <w:r w:rsidRPr="003B7224">
        <w:rPr>
          <w:sz w:val="23"/>
          <w:szCs w:val="23"/>
        </w:rPr>
        <w:t xml:space="preserve">T–W. Zhangjiakou growth chamber conditions, 2024–2025. T–U. </w:t>
      </w:r>
      <w:r w:rsidRPr="003B7224">
        <w:rPr>
          <w:i/>
          <w:iCs/>
          <w:sz w:val="23"/>
          <w:szCs w:val="23"/>
        </w:rPr>
        <w:t>Brassica rapa</w:t>
      </w:r>
      <w:r w:rsidRPr="003B7224">
        <w:rPr>
          <w:sz w:val="23"/>
          <w:szCs w:val="23"/>
        </w:rPr>
        <w:t xml:space="preserve"> shoot fresh weight (</w:t>
      </w:r>
      <w:r w:rsidRPr="00626AE6">
        <w:rPr>
          <w:i/>
          <w:iCs/>
          <w:sz w:val="23"/>
          <w:szCs w:val="23"/>
        </w:rPr>
        <w:t xml:space="preserve">n </w:t>
      </w:r>
      <w:r w:rsidRPr="003B7224">
        <w:rPr>
          <w:sz w:val="23"/>
          <w:szCs w:val="23"/>
        </w:rPr>
        <w:t xml:space="preserve">= 18, T; </w:t>
      </w:r>
      <w:r w:rsidRPr="00626AE6">
        <w:rPr>
          <w:i/>
          <w:iCs/>
          <w:sz w:val="23"/>
          <w:szCs w:val="23"/>
        </w:rPr>
        <w:t>n</w:t>
      </w:r>
      <w:r w:rsidRPr="003B7224">
        <w:rPr>
          <w:sz w:val="23"/>
          <w:szCs w:val="23"/>
        </w:rPr>
        <w:t xml:space="preserve"> = 18, U). V. Shoot fresh weight (</w:t>
      </w:r>
      <w:r w:rsidRPr="00626AE6">
        <w:rPr>
          <w:i/>
          <w:iCs/>
          <w:sz w:val="23"/>
          <w:szCs w:val="23"/>
        </w:rPr>
        <w:t>n</w:t>
      </w:r>
      <w:r w:rsidRPr="003B7224">
        <w:rPr>
          <w:sz w:val="23"/>
          <w:szCs w:val="23"/>
        </w:rPr>
        <w:t xml:space="preserve"> = 300). W. Shoot fresh weight across experimental blocks (</w:t>
      </w:r>
      <w:r w:rsidRPr="00626AE6">
        <w:rPr>
          <w:i/>
          <w:iCs/>
          <w:sz w:val="23"/>
          <w:szCs w:val="23"/>
        </w:rPr>
        <w:t>n</w:t>
      </w:r>
      <w:r w:rsidRPr="003B7224">
        <w:rPr>
          <w:sz w:val="23"/>
          <w:szCs w:val="23"/>
        </w:rPr>
        <w:t xml:space="preserve"> = 3 plots, 100 plants per plot).</w:t>
      </w:r>
    </w:p>
    <w:p w14:paraId="11008B2F" w14:textId="77777777" w:rsidR="00CB0EBE" w:rsidRPr="003B7224" w:rsidRDefault="00CB0EBE" w:rsidP="00CB0EBE">
      <w:pPr>
        <w:spacing w:line="300" w:lineRule="auto"/>
        <w:rPr>
          <w:sz w:val="23"/>
          <w:szCs w:val="23"/>
        </w:rPr>
      </w:pPr>
      <w:r w:rsidRPr="003B7224">
        <w:rPr>
          <w:rFonts w:eastAsia="宋体"/>
          <w:sz w:val="23"/>
          <w:szCs w:val="23"/>
        </w:rPr>
        <w:t>CK: 0g/L D-sorbitol, DS1: 1g/L D-sorbitol, DS2: 2g/L D-sorbitol.</w:t>
      </w:r>
      <w:r>
        <w:rPr>
          <w:rFonts w:eastAsia="宋体" w:hint="eastAsia"/>
          <w:sz w:val="23"/>
          <w:szCs w:val="23"/>
        </w:rPr>
        <w:t xml:space="preserve"> </w:t>
      </w:r>
      <w:r w:rsidRPr="003B7224">
        <w:rPr>
          <w:sz w:val="23"/>
          <w:szCs w:val="23"/>
        </w:rPr>
        <w:t>In B-W, one-way analysis of variance (ANOVA) followed by Tukey’s multiple comparison test was used to determine the</w:t>
      </w:r>
      <w:r w:rsidRPr="003B7224">
        <w:rPr>
          <w:i/>
          <w:iCs/>
          <w:sz w:val="23"/>
          <w:szCs w:val="23"/>
        </w:rPr>
        <w:t xml:space="preserve"> p</w:t>
      </w:r>
      <w:r w:rsidRPr="003B7224">
        <w:rPr>
          <w:sz w:val="23"/>
          <w:szCs w:val="23"/>
        </w:rPr>
        <w:t xml:space="preserve"> values. * </w:t>
      </w:r>
      <w:r w:rsidRPr="003B7224">
        <w:rPr>
          <w:i/>
          <w:iCs/>
          <w:sz w:val="23"/>
          <w:szCs w:val="23"/>
        </w:rPr>
        <w:t>p</w:t>
      </w:r>
      <w:r w:rsidRPr="003B7224">
        <w:rPr>
          <w:sz w:val="23"/>
          <w:szCs w:val="23"/>
        </w:rPr>
        <w:t xml:space="preserve"> &lt; 0.05, ** </w:t>
      </w:r>
      <w:r w:rsidRPr="003B7224">
        <w:rPr>
          <w:i/>
          <w:iCs/>
          <w:sz w:val="23"/>
          <w:szCs w:val="23"/>
        </w:rPr>
        <w:t>p</w:t>
      </w:r>
      <w:r w:rsidRPr="003B7224">
        <w:rPr>
          <w:sz w:val="23"/>
          <w:szCs w:val="23"/>
        </w:rPr>
        <w:t xml:space="preserve"> &lt; 0.01, ***</w:t>
      </w:r>
      <w:r w:rsidRPr="003B7224">
        <w:rPr>
          <w:i/>
          <w:iCs/>
          <w:sz w:val="23"/>
          <w:szCs w:val="23"/>
        </w:rPr>
        <w:t>p</w:t>
      </w:r>
      <w:r w:rsidRPr="003B7224">
        <w:rPr>
          <w:sz w:val="23"/>
          <w:szCs w:val="23"/>
        </w:rPr>
        <w:t xml:space="preserve"> &lt; 0.001. </w:t>
      </w:r>
      <w:r w:rsidRPr="003B7224">
        <w:rPr>
          <w:rFonts w:eastAsia="宋体"/>
          <w:sz w:val="23"/>
          <w:szCs w:val="23"/>
        </w:rPr>
        <w:t>Values are presented as the mean ± SD.</w:t>
      </w:r>
      <w:r w:rsidRPr="003B7224">
        <w:rPr>
          <w:sz w:val="23"/>
          <w:szCs w:val="23"/>
        </w:rPr>
        <w:br w:type="page"/>
      </w:r>
    </w:p>
    <w:p w14:paraId="5CE83B13"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5D1E7053" wp14:editId="73C812F1">
            <wp:extent cx="4135951" cy="3411711"/>
            <wp:effectExtent l="0" t="0" r="0" b="0"/>
            <wp:docPr id="13848356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42583" cy="3417182"/>
                    </a:xfrm>
                    <a:prstGeom prst="rect">
                      <a:avLst/>
                    </a:prstGeom>
                    <a:noFill/>
                    <a:ln>
                      <a:noFill/>
                    </a:ln>
                  </pic:spPr>
                </pic:pic>
              </a:graphicData>
            </a:graphic>
          </wp:inline>
        </w:drawing>
      </w:r>
    </w:p>
    <w:p w14:paraId="542F4029" w14:textId="77777777" w:rsidR="00CB0EBE" w:rsidRPr="00FC25BC" w:rsidRDefault="00CB0EBE" w:rsidP="00CB0EBE">
      <w:pPr>
        <w:pStyle w:val="SMHeading"/>
        <w:spacing w:before="0" w:after="0" w:line="300" w:lineRule="auto"/>
      </w:pPr>
      <w:bookmarkStart w:id="25" w:name="_Toc216766942"/>
      <w:r>
        <w:t>Extended Data Fig.</w:t>
      </w:r>
      <w:r>
        <w:rPr>
          <w:rFonts w:hint="eastAsia"/>
          <w:lang w:eastAsia="zh-CN"/>
        </w:rPr>
        <w:t xml:space="preserve"> </w:t>
      </w:r>
      <w:r w:rsidRPr="00FC25BC">
        <w:t xml:space="preserve">12 D-sorbitol increases the maximum leaf size of </w:t>
      </w:r>
      <w:r w:rsidRPr="00FC25BC">
        <w:rPr>
          <w:i/>
          <w:iCs/>
        </w:rPr>
        <w:t>Brassica rapa</w:t>
      </w:r>
      <w:bookmarkEnd w:id="25"/>
    </w:p>
    <w:p w14:paraId="33BD5331" w14:textId="77777777" w:rsidR="00CB0EBE" w:rsidRPr="003B7224" w:rsidRDefault="00CB0EBE" w:rsidP="00CB0EBE">
      <w:pPr>
        <w:spacing w:line="300" w:lineRule="auto"/>
        <w:rPr>
          <w:rFonts w:eastAsia="宋体"/>
          <w:sz w:val="23"/>
          <w:szCs w:val="23"/>
        </w:rPr>
      </w:pPr>
      <w:r w:rsidRPr="003B7224">
        <w:rPr>
          <w:rFonts w:eastAsia="宋体"/>
          <w:sz w:val="23"/>
          <w:szCs w:val="23"/>
        </w:rPr>
        <w:t xml:space="preserve">A, B. Maximum leaf length (A) and width (B) of </w:t>
      </w:r>
      <w:r w:rsidRPr="003B7224">
        <w:rPr>
          <w:rFonts w:eastAsia="宋体"/>
          <w:i/>
          <w:iCs/>
          <w:sz w:val="23"/>
          <w:szCs w:val="23"/>
        </w:rPr>
        <w:t>Brassica rapa</w:t>
      </w:r>
      <w:r w:rsidRPr="003B7224">
        <w:rPr>
          <w:rFonts w:eastAsia="宋体"/>
          <w:sz w:val="23"/>
          <w:szCs w:val="23"/>
        </w:rPr>
        <w:t xml:space="preserve"> in the Beijing greenhouse trial, 2024 (</w:t>
      </w:r>
      <w:r w:rsidRPr="00626AE6">
        <w:rPr>
          <w:rFonts w:eastAsia="宋体"/>
          <w:i/>
          <w:iCs/>
          <w:sz w:val="23"/>
          <w:szCs w:val="23"/>
        </w:rPr>
        <w:t>n</w:t>
      </w:r>
      <w:r w:rsidRPr="003B7224">
        <w:rPr>
          <w:rFonts w:eastAsia="宋体"/>
          <w:sz w:val="23"/>
          <w:szCs w:val="23"/>
        </w:rPr>
        <w:t xml:space="preserve"> = 18).</w:t>
      </w:r>
    </w:p>
    <w:p w14:paraId="012D40AB" w14:textId="77777777" w:rsidR="00CB0EBE" w:rsidRPr="003B7224" w:rsidRDefault="00CB0EBE" w:rsidP="00CB0EBE">
      <w:pPr>
        <w:spacing w:line="300" w:lineRule="auto"/>
        <w:rPr>
          <w:rFonts w:eastAsia="宋体"/>
          <w:sz w:val="23"/>
          <w:szCs w:val="23"/>
        </w:rPr>
      </w:pPr>
      <w:r w:rsidRPr="003B7224">
        <w:rPr>
          <w:rFonts w:eastAsia="宋体"/>
          <w:sz w:val="23"/>
          <w:szCs w:val="23"/>
        </w:rPr>
        <w:t xml:space="preserve">C, D. Maximum leaf length (C) and width (D) of </w:t>
      </w:r>
      <w:r w:rsidRPr="003B7224">
        <w:rPr>
          <w:rFonts w:eastAsia="宋体"/>
          <w:i/>
          <w:iCs/>
          <w:sz w:val="23"/>
          <w:szCs w:val="23"/>
        </w:rPr>
        <w:t>Brassica rapa</w:t>
      </w:r>
      <w:r w:rsidRPr="003B7224">
        <w:rPr>
          <w:rFonts w:eastAsia="宋体"/>
          <w:sz w:val="23"/>
          <w:szCs w:val="23"/>
        </w:rPr>
        <w:t xml:space="preserve"> under Zhangjiakou growth chamber conditions, 2024 (</w:t>
      </w:r>
      <w:r w:rsidRPr="00626AE6">
        <w:rPr>
          <w:rFonts w:eastAsia="宋体"/>
          <w:i/>
          <w:iCs/>
          <w:sz w:val="23"/>
          <w:szCs w:val="23"/>
        </w:rPr>
        <w:t xml:space="preserve">n </w:t>
      </w:r>
      <w:r w:rsidRPr="003B7224">
        <w:rPr>
          <w:rFonts w:eastAsia="宋体"/>
          <w:sz w:val="23"/>
          <w:szCs w:val="23"/>
        </w:rPr>
        <w:t>= 18).</w:t>
      </w:r>
    </w:p>
    <w:p w14:paraId="401686A2" w14:textId="77777777" w:rsidR="00CB0EBE" w:rsidRPr="003B7224" w:rsidRDefault="00CB0EBE" w:rsidP="00CB0EBE">
      <w:pPr>
        <w:spacing w:line="300" w:lineRule="auto"/>
        <w:rPr>
          <w:sz w:val="23"/>
          <w:szCs w:val="23"/>
        </w:rPr>
      </w:pPr>
      <w:r w:rsidRPr="003B7224">
        <w:rPr>
          <w:rFonts w:eastAsia="宋体"/>
          <w:sz w:val="23"/>
          <w:szCs w:val="23"/>
        </w:rPr>
        <w:t>CK: 0g/L D-sorbitol, DS1: 1g/L D-sorbitol, DS2: 2g/L D-sorbitol.</w:t>
      </w:r>
      <w:r>
        <w:rPr>
          <w:rFonts w:eastAsia="宋体" w:hint="eastAsia"/>
          <w:sz w:val="23"/>
          <w:szCs w:val="23"/>
        </w:rPr>
        <w:t xml:space="preserve"> </w:t>
      </w:r>
      <w:r w:rsidRPr="003B7224">
        <w:rPr>
          <w:rFonts w:eastAsia="宋体"/>
          <w:sz w:val="23"/>
          <w:szCs w:val="23"/>
        </w:rPr>
        <w:t>Data are presented as mean ± SD. *p* values were determined by one‑way ANOVA followed by Tukey’s multiple comparison test (*</w:t>
      </w:r>
      <w:r w:rsidRPr="00626AE6">
        <w:rPr>
          <w:rFonts w:eastAsia="宋体"/>
          <w:i/>
          <w:iCs/>
          <w:sz w:val="23"/>
          <w:szCs w:val="23"/>
        </w:rPr>
        <w:t>p</w:t>
      </w:r>
      <w:r w:rsidRPr="003B7224">
        <w:rPr>
          <w:rFonts w:eastAsia="宋体"/>
          <w:sz w:val="23"/>
          <w:szCs w:val="23"/>
        </w:rPr>
        <w:t xml:space="preserve"> &lt; 0.05, **</w:t>
      </w:r>
      <w:r w:rsidRPr="00626AE6">
        <w:rPr>
          <w:rFonts w:eastAsia="宋体"/>
          <w:i/>
          <w:iCs/>
          <w:sz w:val="23"/>
          <w:szCs w:val="23"/>
        </w:rPr>
        <w:t>p</w:t>
      </w:r>
      <w:r w:rsidRPr="003B7224">
        <w:rPr>
          <w:rFonts w:eastAsia="宋体"/>
          <w:sz w:val="23"/>
          <w:szCs w:val="23"/>
        </w:rPr>
        <w:t xml:space="preserve"> &lt; 0.01, ***</w:t>
      </w:r>
      <w:r w:rsidRPr="00626AE6">
        <w:rPr>
          <w:rFonts w:eastAsia="宋体"/>
          <w:i/>
          <w:iCs/>
          <w:sz w:val="23"/>
          <w:szCs w:val="23"/>
        </w:rPr>
        <w:t>p</w:t>
      </w:r>
      <w:r w:rsidRPr="003B7224">
        <w:rPr>
          <w:rFonts w:eastAsia="宋体"/>
          <w:sz w:val="23"/>
          <w:szCs w:val="23"/>
        </w:rPr>
        <w:t xml:space="preserve"> &lt; 0.001).</w:t>
      </w:r>
      <w:r w:rsidRPr="003B7224">
        <w:rPr>
          <w:sz w:val="23"/>
          <w:szCs w:val="23"/>
        </w:rPr>
        <w:br w:type="page"/>
      </w:r>
    </w:p>
    <w:p w14:paraId="3B37DCA1"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5D8B8BE1" wp14:editId="4D8218F8">
            <wp:extent cx="5463348" cy="3265359"/>
            <wp:effectExtent l="0" t="0" r="4445" b="0"/>
            <wp:docPr id="18463440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67505" cy="3267844"/>
                    </a:xfrm>
                    <a:prstGeom prst="rect">
                      <a:avLst/>
                    </a:prstGeom>
                    <a:noFill/>
                    <a:ln>
                      <a:noFill/>
                    </a:ln>
                  </pic:spPr>
                </pic:pic>
              </a:graphicData>
            </a:graphic>
          </wp:inline>
        </w:drawing>
      </w:r>
    </w:p>
    <w:p w14:paraId="6917E161" w14:textId="77777777" w:rsidR="00CB0EBE" w:rsidRPr="00EE2267" w:rsidRDefault="00CB0EBE" w:rsidP="00CB0EBE">
      <w:pPr>
        <w:pStyle w:val="SMHeading"/>
        <w:spacing w:before="0" w:after="0" w:line="300" w:lineRule="auto"/>
      </w:pPr>
      <w:bookmarkStart w:id="26" w:name="_Toc216766943"/>
      <w:r>
        <w:t>Extended Data Fig.</w:t>
      </w:r>
      <w:r>
        <w:rPr>
          <w:rFonts w:hint="eastAsia"/>
          <w:lang w:eastAsia="zh-CN"/>
        </w:rPr>
        <w:t xml:space="preserve"> </w:t>
      </w:r>
      <w:r w:rsidRPr="00EE2267">
        <w:t xml:space="preserve">13 D-sorbitol affects the contents of starch and D-sorbitol without influencing the total sugar content in </w:t>
      </w:r>
      <w:r w:rsidRPr="00EE2267">
        <w:rPr>
          <w:i/>
          <w:iCs/>
        </w:rPr>
        <w:t>Brassica rapa</w:t>
      </w:r>
      <w:r w:rsidRPr="00EE2267">
        <w:t xml:space="preserve"> leaves</w:t>
      </w:r>
      <w:bookmarkEnd w:id="26"/>
    </w:p>
    <w:p w14:paraId="542E3EB9" w14:textId="77777777" w:rsidR="00CB0EBE" w:rsidRPr="003B7224" w:rsidRDefault="00CB0EBE" w:rsidP="00CB0EBE">
      <w:pPr>
        <w:spacing w:line="300" w:lineRule="auto"/>
        <w:rPr>
          <w:sz w:val="23"/>
          <w:szCs w:val="23"/>
        </w:rPr>
      </w:pPr>
      <w:r w:rsidRPr="003B7224">
        <w:rPr>
          <w:sz w:val="23"/>
          <w:szCs w:val="23"/>
        </w:rPr>
        <w:t xml:space="preserve">A, B, D. </w:t>
      </w:r>
      <w:r w:rsidRPr="003B7224">
        <w:rPr>
          <w:i/>
          <w:iCs/>
          <w:sz w:val="23"/>
          <w:szCs w:val="23"/>
        </w:rPr>
        <w:t>Brassica rapa</w:t>
      </w:r>
      <w:r w:rsidRPr="003B7224">
        <w:rPr>
          <w:sz w:val="23"/>
          <w:szCs w:val="23"/>
        </w:rPr>
        <w:t xml:space="preserve"> leaf content under Beijing growth chamber conditions, 2024: D-sorbitol (A), total starch (B), and total sugar (D).</w:t>
      </w:r>
    </w:p>
    <w:p w14:paraId="0D291C0C" w14:textId="77777777" w:rsidR="00CB0EBE" w:rsidRPr="003B7224" w:rsidRDefault="00CB0EBE" w:rsidP="00CB0EBE">
      <w:pPr>
        <w:spacing w:line="300" w:lineRule="auto"/>
        <w:rPr>
          <w:sz w:val="23"/>
          <w:szCs w:val="23"/>
        </w:rPr>
      </w:pPr>
      <w:r w:rsidRPr="003B7224">
        <w:rPr>
          <w:sz w:val="23"/>
          <w:szCs w:val="23"/>
        </w:rPr>
        <w:t xml:space="preserve">C. Total sugar content in </w:t>
      </w:r>
      <w:r w:rsidRPr="003B7224">
        <w:rPr>
          <w:i/>
          <w:iCs/>
          <w:sz w:val="23"/>
          <w:szCs w:val="23"/>
        </w:rPr>
        <w:t>Brassica rapa</w:t>
      </w:r>
      <w:r w:rsidRPr="003B7224">
        <w:rPr>
          <w:sz w:val="23"/>
          <w:szCs w:val="23"/>
        </w:rPr>
        <w:t xml:space="preserve"> leaves under Zhangjiakou growth chamber conditions, 2025.</w:t>
      </w:r>
    </w:p>
    <w:p w14:paraId="7D25ADDB" w14:textId="77777777" w:rsidR="00CB0EBE" w:rsidRPr="003B7224" w:rsidRDefault="00CB0EBE" w:rsidP="00CB0EBE">
      <w:pPr>
        <w:spacing w:line="300" w:lineRule="auto"/>
        <w:rPr>
          <w:sz w:val="23"/>
          <w:szCs w:val="23"/>
        </w:rPr>
      </w:pPr>
      <w:r w:rsidRPr="003B7224">
        <w:rPr>
          <w:sz w:val="23"/>
          <w:szCs w:val="23"/>
        </w:rPr>
        <w:t>CK: 0g/L D-sorbitol, DS1: 1g/L D-sorbitol, DS2: 2g/L D-sorbitol.</w:t>
      </w:r>
      <w:r>
        <w:rPr>
          <w:rFonts w:hint="eastAsia"/>
          <w:sz w:val="23"/>
          <w:szCs w:val="23"/>
        </w:rPr>
        <w:t xml:space="preserve"> </w:t>
      </w:r>
      <w:r w:rsidRPr="003B7224">
        <w:rPr>
          <w:sz w:val="23"/>
          <w:szCs w:val="23"/>
        </w:rPr>
        <w:t xml:space="preserve">In A-D, </w:t>
      </w:r>
      <w:r w:rsidRPr="00626AE6">
        <w:rPr>
          <w:i/>
          <w:iCs/>
          <w:sz w:val="23"/>
          <w:szCs w:val="23"/>
        </w:rPr>
        <w:t>n</w:t>
      </w:r>
      <w:r w:rsidRPr="003B7224">
        <w:rPr>
          <w:sz w:val="23"/>
          <w:szCs w:val="23"/>
        </w:rPr>
        <w:t xml:space="preserve"> = 3 biological replicates, one-way analysis of variance (ANOVA) followed by Tukey’s multiple comparison test was used to determine the</w:t>
      </w:r>
      <w:r w:rsidRPr="003B7224">
        <w:rPr>
          <w:i/>
          <w:iCs/>
          <w:sz w:val="23"/>
          <w:szCs w:val="23"/>
        </w:rPr>
        <w:t xml:space="preserve"> p</w:t>
      </w:r>
      <w:r w:rsidRPr="003B7224">
        <w:rPr>
          <w:sz w:val="23"/>
          <w:szCs w:val="23"/>
        </w:rPr>
        <w:t xml:space="preserve"> values. * </w:t>
      </w:r>
      <w:r w:rsidRPr="003B7224">
        <w:rPr>
          <w:i/>
          <w:iCs/>
          <w:sz w:val="23"/>
          <w:szCs w:val="23"/>
        </w:rPr>
        <w:t>p</w:t>
      </w:r>
      <w:r w:rsidRPr="003B7224">
        <w:rPr>
          <w:sz w:val="23"/>
          <w:szCs w:val="23"/>
        </w:rPr>
        <w:t xml:space="preserve"> &lt; 0.05, ** </w:t>
      </w:r>
      <w:r w:rsidRPr="003B7224">
        <w:rPr>
          <w:i/>
          <w:iCs/>
          <w:sz w:val="23"/>
          <w:szCs w:val="23"/>
        </w:rPr>
        <w:t>p</w:t>
      </w:r>
      <w:r w:rsidRPr="003B7224">
        <w:rPr>
          <w:sz w:val="23"/>
          <w:szCs w:val="23"/>
        </w:rPr>
        <w:t xml:space="preserve"> &lt; 0.01, ***</w:t>
      </w:r>
      <w:r w:rsidRPr="003B7224">
        <w:rPr>
          <w:i/>
          <w:iCs/>
          <w:sz w:val="23"/>
          <w:szCs w:val="23"/>
        </w:rPr>
        <w:t>p</w:t>
      </w:r>
      <w:r w:rsidRPr="003B7224">
        <w:rPr>
          <w:sz w:val="23"/>
          <w:szCs w:val="23"/>
        </w:rPr>
        <w:t xml:space="preserve"> &lt; 0.001. </w:t>
      </w:r>
      <w:r w:rsidRPr="003B7224">
        <w:rPr>
          <w:rFonts w:eastAsia="宋体"/>
          <w:sz w:val="23"/>
          <w:szCs w:val="23"/>
        </w:rPr>
        <w:t>Values are presented as the mean ± SD.</w:t>
      </w:r>
      <w:r w:rsidRPr="003B7224">
        <w:rPr>
          <w:sz w:val="23"/>
          <w:szCs w:val="23"/>
        </w:rPr>
        <w:br w:type="page"/>
      </w:r>
    </w:p>
    <w:p w14:paraId="298B9EED"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1304C0F5" wp14:editId="386B28D5">
            <wp:extent cx="5265420" cy="2293620"/>
            <wp:effectExtent l="0" t="0" r="0" b="0"/>
            <wp:docPr id="14656093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65420" cy="2293620"/>
                    </a:xfrm>
                    <a:prstGeom prst="rect">
                      <a:avLst/>
                    </a:prstGeom>
                    <a:noFill/>
                    <a:ln>
                      <a:noFill/>
                    </a:ln>
                  </pic:spPr>
                </pic:pic>
              </a:graphicData>
            </a:graphic>
          </wp:inline>
        </w:drawing>
      </w:r>
    </w:p>
    <w:p w14:paraId="6C5CA105" w14:textId="77777777" w:rsidR="00CB0EBE" w:rsidRPr="000C64A9" w:rsidRDefault="00CB0EBE" w:rsidP="00CB0EBE">
      <w:pPr>
        <w:pStyle w:val="SMHeading"/>
        <w:spacing w:before="0" w:after="0" w:line="300" w:lineRule="auto"/>
      </w:pPr>
      <w:bookmarkStart w:id="27" w:name="_Toc216766944"/>
      <w:r>
        <w:t>Extended Data Fig.</w:t>
      </w:r>
      <w:r>
        <w:rPr>
          <w:rFonts w:hint="eastAsia"/>
          <w:lang w:eastAsia="zh-CN"/>
        </w:rPr>
        <w:t xml:space="preserve"> </w:t>
      </w:r>
      <w:r w:rsidRPr="000C64A9">
        <w:t xml:space="preserve">14 D-sorbitol had little effects on mineral element uptake in </w:t>
      </w:r>
      <w:r w:rsidRPr="000C64A9">
        <w:rPr>
          <w:i/>
          <w:iCs/>
        </w:rPr>
        <w:t>Brassica rapa</w:t>
      </w:r>
      <w:r w:rsidRPr="000C64A9">
        <w:t xml:space="preserve"> leaves</w:t>
      </w:r>
      <w:bookmarkEnd w:id="27"/>
    </w:p>
    <w:p w14:paraId="389A1C20" w14:textId="77777777" w:rsidR="00CB0EBE" w:rsidRPr="003B7224" w:rsidRDefault="00CB0EBE" w:rsidP="00CB0EBE">
      <w:pPr>
        <w:spacing w:line="300" w:lineRule="auto"/>
        <w:rPr>
          <w:sz w:val="23"/>
          <w:szCs w:val="23"/>
        </w:rPr>
      </w:pPr>
      <w:r w:rsidRPr="003B7224">
        <w:rPr>
          <w:sz w:val="23"/>
          <w:szCs w:val="23"/>
        </w:rPr>
        <w:t>A–C. Mineral content in the Zhangjiakou greenhouse trial, 2024: Ca (A), K (B), and Mg (C).</w:t>
      </w:r>
    </w:p>
    <w:p w14:paraId="0B35D344" w14:textId="77777777" w:rsidR="00CB0EBE" w:rsidRPr="003B7224" w:rsidRDefault="00CB0EBE" w:rsidP="00CB0EBE">
      <w:pPr>
        <w:spacing w:line="300" w:lineRule="auto"/>
        <w:rPr>
          <w:sz w:val="23"/>
          <w:szCs w:val="23"/>
        </w:rPr>
      </w:pPr>
      <w:r w:rsidRPr="003B7224">
        <w:rPr>
          <w:sz w:val="23"/>
          <w:szCs w:val="23"/>
        </w:rPr>
        <w:t>D–F. Mineral content in the Beijing greenhouse trial, 2024: Ca (D), K (E), and Mg (F).</w:t>
      </w:r>
    </w:p>
    <w:p w14:paraId="2AF690CD" w14:textId="77777777" w:rsidR="00CB0EBE" w:rsidRPr="003B7224" w:rsidRDefault="00CB0EBE" w:rsidP="00CB0EBE">
      <w:pPr>
        <w:spacing w:line="300" w:lineRule="auto"/>
        <w:rPr>
          <w:sz w:val="23"/>
          <w:szCs w:val="23"/>
        </w:rPr>
      </w:pPr>
      <w:r w:rsidRPr="003B7224">
        <w:rPr>
          <w:rFonts w:eastAsia="宋体"/>
          <w:sz w:val="23"/>
          <w:szCs w:val="23"/>
        </w:rPr>
        <w:t>CK:</w:t>
      </w:r>
      <w:r w:rsidRPr="003B7224">
        <w:rPr>
          <w:sz w:val="23"/>
          <w:szCs w:val="23"/>
        </w:rPr>
        <w:t xml:space="preserve"> </w:t>
      </w:r>
      <w:r w:rsidRPr="003B7224">
        <w:rPr>
          <w:rFonts w:eastAsia="宋体"/>
          <w:sz w:val="23"/>
          <w:szCs w:val="23"/>
        </w:rPr>
        <w:t>0g/L D-sorbitol, DS2: 2g/L D-sorbitol.</w:t>
      </w:r>
      <w:r>
        <w:rPr>
          <w:rFonts w:hint="eastAsia"/>
          <w:sz w:val="23"/>
          <w:szCs w:val="23"/>
        </w:rPr>
        <w:t xml:space="preserve"> </w:t>
      </w:r>
      <w:r w:rsidRPr="003B7224">
        <w:rPr>
          <w:rFonts w:eastAsia="宋体"/>
          <w:sz w:val="23"/>
          <w:szCs w:val="23"/>
        </w:rPr>
        <w:t xml:space="preserve">In A-F, </w:t>
      </w:r>
      <w:r w:rsidRPr="00626AE6">
        <w:rPr>
          <w:i/>
          <w:iCs/>
          <w:sz w:val="23"/>
          <w:szCs w:val="23"/>
        </w:rPr>
        <w:t xml:space="preserve">n </w:t>
      </w:r>
      <w:r w:rsidRPr="003B7224">
        <w:rPr>
          <w:sz w:val="23"/>
          <w:szCs w:val="23"/>
        </w:rPr>
        <w:t xml:space="preserve">= 3 biological replicates, </w:t>
      </w:r>
      <w:r w:rsidRPr="003B7224">
        <w:rPr>
          <w:rFonts w:eastAsia="宋体"/>
          <w:sz w:val="23"/>
          <w:szCs w:val="23"/>
        </w:rPr>
        <w:t xml:space="preserve">a two-tailed Student’s t-test was used to determine </w:t>
      </w:r>
      <w:r w:rsidRPr="003B7224">
        <w:rPr>
          <w:rFonts w:eastAsia="宋体"/>
          <w:i/>
          <w:iCs/>
          <w:sz w:val="23"/>
          <w:szCs w:val="23"/>
        </w:rPr>
        <w:t>p</w:t>
      </w:r>
      <w:r w:rsidRPr="003B7224">
        <w:rPr>
          <w:rFonts w:eastAsia="宋体"/>
          <w:sz w:val="23"/>
          <w:szCs w:val="23"/>
        </w:rPr>
        <w:t xml:space="preserve"> values. *</w:t>
      </w:r>
      <w:r w:rsidRPr="003B7224">
        <w:rPr>
          <w:rFonts w:eastAsia="宋体"/>
          <w:i/>
          <w:iCs/>
          <w:sz w:val="23"/>
          <w:szCs w:val="23"/>
        </w:rPr>
        <w:t xml:space="preserve"> p</w:t>
      </w:r>
      <w:r w:rsidRPr="003B7224">
        <w:rPr>
          <w:rFonts w:eastAsia="宋体"/>
          <w:sz w:val="23"/>
          <w:szCs w:val="23"/>
        </w:rPr>
        <w:t xml:space="preserve"> &lt; 0.05, **</w:t>
      </w:r>
      <w:r w:rsidRPr="003B7224">
        <w:rPr>
          <w:rFonts w:eastAsia="宋体"/>
          <w:i/>
          <w:iCs/>
          <w:sz w:val="23"/>
          <w:szCs w:val="23"/>
        </w:rPr>
        <w:t xml:space="preserve"> p</w:t>
      </w:r>
      <w:r w:rsidRPr="003B7224">
        <w:rPr>
          <w:rFonts w:eastAsia="宋体"/>
          <w:sz w:val="23"/>
          <w:szCs w:val="23"/>
        </w:rPr>
        <w:t xml:space="preserve"> &lt; 0.01, ***</w:t>
      </w:r>
      <w:r w:rsidRPr="003B7224">
        <w:rPr>
          <w:rFonts w:eastAsia="宋体"/>
          <w:i/>
          <w:iCs/>
          <w:sz w:val="23"/>
          <w:szCs w:val="23"/>
        </w:rPr>
        <w:t>p</w:t>
      </w:r>
      <w:r w:rsidRPr="003B7224">
        <w:rPr>
          <w:rFonts w:eastAsia="宋体"/>
          <w:sz w:val="23"/>
          <w:szCs w:val="23"/>
        </w:rPr>
        <w:t xml:space="preserve"> &lt; 0.001. Values are presented as the mean ± SD.</w:t>
      </w:r>
      <w:r w:rsidRPr="003B7224">
        <w:rPr>
          <w:sz w:val="23"/>
          <w:szCs w:val="23"/>
        </w:rPr>
        <w:br w:type="page"/>
      </w:r>
    </w:p>
    <w:p w14:paraId="501DCBAF"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020A4534" wp14:editId="5F0D9CDA">
            <wp:extent cx="5265420" cy="1950720"/>
            <wp:effectExtent l="0" t="0" r="0" b="0"/>
            <wp:docPr id="97308103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65420" cy="1950720"/>
                    </a:xfrm>
                    <a:prstGeom prst="rect">
                      <a:avLst/>
                    </a:prstGeom>
                    <a:noFill/>
                    <a:ln>
                      <a:noFill/>
                    </a:ln>
                  </pic:spPr>
                </pic:pic>
              </a:graphicData>
            </a:graphic>
          </wp:inline>
        </w:drawing>
      </w:r>
    </w:p>
    <w:p w14:paraId="221BCFCB" w14:textId="77777777" w:rsidR="00CB0EBE" w:rsidRPr="000C64A9" w:rsidRDefault="00CB0EBE" w:rsidP="00CB0EBE">
      <w:pPr>
        <w:pStyle w:val="SMHeading"/>
        <w:spacing w:before="0" w:after="0" w:line="300" w:lineRule="auto"/>
      </w:pPr>
      <w:bookmarkStart w:id="28" w:name="_Toc216766945"/>
      <w:r>
        <w:t>Extended Data Fig.</w:t>
      </w:r>
      <w:r>
        <w:rPr>
          <w:rFonts w:hint="eastAsia"/>
          <w:lang w:eastAsia="zh-CN"/>
        </w:rPr>
        <w:t xml:space="preserve"> </w:t>
      </w:r>
      <w:r w:rsidRPr="000C64A9">
        <w:t xml:space="preserve">15 D-sorbitol had little effects on chlorophyll content in </w:t>
      </w:r>
      <w:r w:rsidRPr="000C64A9">
        <w:rPr>
          <w:i/>
          <w:iCs/>
        </w:rPr>
        <w:t>Brassica rapa</w:t>
      </w:r>
      <w:r w:rsidRPr="000C64A9">
        <w:t xml:space="preserve"> leaves</w:t>
      </w:r>
      <w:bookmarkEnd w:id="28"/>
    </w:p>
    <w:p w14:paraId="1FFF62B5" w14:textId="77777777" w:rsidR="00CB0EBE" w:rsidRPr="003B7224" w:rsidRDefault="00CB0EBE" w:rsidP="00CB0EBE">
      <w:pPr>
        <w:spacing w:line="300" w:lineRule="auto"/>
        <w:rPr>
          <w:rFonts w:eastAsia="宋体"/>
          <w:sz w:val="23"/>
          <w:szCs w:val="23"/>
        </w:rPr>
      </w:pPr>
      <w:r w:rsidRPr="003B7224">
        <w:rPr>
          <w:rFonts w:eastAsia="宋体"/>
          <w:sz w:val="23"/>
          <w:szCs w:val="23"/>
        </w:rPr>
        <w:t>A–D. Photosynthetic pigment contents in the Beijing greenhouse trial, 2023: chlorophyll a (A), chlorophyll b (B), total chlorophyll (C), and carotenoids (D).</w:t>
      </w:r>
    </w:p>
    <w:p w14:paraId="237A89EE" w14:textId="77777777" w:rsidR="00CB0EBE" w:rsidRPr="003B7224" w:rsidRDefault="00CB0EBE" w:rsidP="00CB0EBE">
      <w:pPr>
        <w:spacing w:line="300" w:lineRule="auto"/>
        <w:rPr>
          <w:rFonts w:eastAsia="宋体"/>
          <w:sz w:val="23"/>
          <w:szCs w:val="23"/>
        </w:rPr>
      </w:pPr>
      <w:r w:rsidRPr="003B7224">
        <w:rPr>
          <w:rFonts w:eastAsia="宋体"/>
          <w:sz w:val="23"/>
          <w:szCs w:val="23"/>
        </w:rPr>
        <w:t>E–H. Photosynthetic pigment contents in the Zhangjiakou greenhouse trial, 2024: chlorophyll a (E), chlorophyll b (F), total chlorophyll (G), and carotenoids (H).</w:t>
      </w:r>
    </w:p>
    <w:p w14:paraId="2F0A3093" w14:textId="77777777" w:rsidR="00CB0EBE" w:rsidRPr="003B7224" w:rsidRDefault="00CB0EBE" w:rsidP="00CB0EBE">
      <w:pPr>
        <w:spacing w:line="300" w:lineRule="auto"/>
        <w:rPr>
          <w:sz w:val="23"/>
          <w:szCs w:val="23"/>
        </w:rPr>
      </w:pPr>
      <w:r w:rsidRPr="003B7224">
        <w:rPr>
          <w:rFonts w:eastAsia="宋体"/>
          <w:sz w:val="23"/>
          <w:szCs w:val="23"/>
        </w:rPr>
        <w:t>CK:</w:t>
      </w:r>
      <w:r w:rsidRPr="003B7224">
        <w:rPr>
          <w:sz w:val="23"/>
          <w:szCs w:val="23"/>
        </w:rPr>
        <w:t xml:space="preserve"> </w:t>
      </w:r>
      <w:r w:rsidRPr="003B7224">
        <w:rPr>
          <w:rFonts w:eastAsia="宋体"/>
          <w:sz w:val="23"/>
          <w:szCs w:val="23"/>
        </w:rPr>
        <w:t>0g/L D-sorbitol, DS1: 1g/L D-sorbitol, DS2: 2g/L D-sorbitol.</w:t>
      </w:r>
      <w:r>
        <w:rPr>
          <w:rFonts w:eastAsia="宋体" w:hint="eastAsia"/>
          <w:sz w:val="23"/>
          <w:szCs w:val="23"/>
        </w:rPr>
        <w:t xml:space="preserve"> </w:t>
      </w:r>
      <w:r w:rsidRPr="003B7224">
        <w:rPr>
          <w:rFonts w:eastAsia="宋体"/>
          <w:sz w:val="23"/>
          <w:szCs w:val="23"/>
        </w:rPr>
        <w:t>In A-H,</w:t>
      </w:r>
      <w:r w:rsidRPr="003B7224">
        <w:rPr>
          <w:sz w:val="23"/>
          <w:szCs w:val="23"/>
        </w:rPr>
        <w:t xml:space="preserve"> </w:t>
      </w:r>
      <w:r w:rsidRPr="00626AE6">
        <w:rPr>
          <w:rFonts w:eastAsia="宋体"/>
          <w:i/>
          <w:iCs/>
          <w:sz w:val="23"/>
          <w:szCs w:val="23"/>
        </w:rPr>
        <w:t xml:space="preserve">n </w:t>
      </w:r>
      <w:r w:rsidRPr="003B7224">
        <w:rPr>
          <w:rFonts w:eastAsia="宋体"/>
          <w:sz w:val="23"/>
          <w:szCs w:val="23"/>
        </w:rPr>
        <w:t xml:space="preserve">= 3 biological replicates, </w:t>
      </w:r>
      <w:r w:rsidRPr="003B7224">
        <w:rPr>
          <w:sz w:val="23"/>
          <w:szCs w:val="23"/>
        </w:rPr>
        <w:t>one-way analysis of variance (ANOVA) followed by Tukey’s multiple comparison test was used to determine the</w:t>
      </w:r>
      <w:r w:rsidRPr="003B7224">
        <w:rPr>
          <w:i/>
          <w:iCs/>
          <w:sz w:val="23"/>
          <w:szCs w:val="23"/>
        </w:rPr>
        <w:t xml:space="preserve"> p</w:t>
      </w:r>
      <w:r w:rsidRPr="003B7224">
        <w:rPr>
          <w:sz w:val="23"/>
          <w:szCs w:val="23"/>
        </w:rPr>
        <w:t xml:space="preserve"> values. * </w:t>
      </w:r>
      <w:r w:rsidRPr="003B7224">
        <w:rPr>
          <w:i/>
          <w:iCs/>
          <w:sz w:val="23"/>
          <w:szCs w:val="23"/>
        </w:rPr>
        <w:t>p</w:t>
      </w:r>
      <w:r w:rsidRPr="003B7224">
        <w:rPr>
          <w:sz w:val="23"/>
          <w:szCs w:val="23"/>
        </w:rPr>
        <w:t xml:space="preserve"> &lt; 0.05, ** </w:t>
      </w:r>
      <w:r w:rsidRPr="003B7224">
        <w:rPr>
          <w:i/>
          <w:iCs/>
          <w:sz w:val="23"/>
          <w:szCs w:val="23"/>
        </w:rPr>
        <w:t>p</w:t>
      </w:r>
      <w:r w:rsidRPr="003B7224">
        <w:rPr>
          <w:sz w:val="23"/>
          <w:szCs w:val="23"/>
        </w:rPr>
        <w:t xml:space="preserve"> &lt; 0.01, ***</w:t>
      </w:r>
      <w:r w:rsidRPr="003B7224">
        <w:rPr>
          <w:i/>
          <w:iCs/>
          <w:sz w:val="23"/>
          <w:szCs w:val="23"/>
        </w:rPr>
        <w:t>p</w:t>
      </w:r>
      <w:r w:rsidRPr="003B7224">
        <w:rPr>
          <w:sz w:val="23"/>
          <w:szCs w:val="23"/>
        </w:rPr>
        <w:t xml:space="preserve"> &lt; 0.001. </w:t>
      </w:r>
      <w:r w:rsidRPr="003B7224">
        <w:rPr>
          <w:rFonts w:eastAsia="宋体"/>
          <w:sz w:val="23"/>
          <w:szCs w:val="23"/>
        </w:rPr>
        <w:t>Values are presented as the mean ± SD.</w:t>
      </w:r>
      <w:r w:rsidRPr="003B7224">
        <w:rPr>
          <w:sz w:val="23"/>
          <w:szCs w:val="23"/>
        </w:rPr>
        <w:br w:type="page"/>
      </w:r>
    </w:p>
    <w:p w14:paraId="34F64B53"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2847438C" wp14:editId="50F70F00">
            <wp:extent cx="4284335" cy="5604976"/>
            <wp:effectExtent l="0" t="0" r="2540" b="0"/>
            <wp:docPr id="54394431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02352" cy="5628546"/>
                    </a:xfrm>
                    <a:prstGeom prst="rect">
                      <a:avLst/>
                    </a:prstGeom>
                    <a:noFill/>
                    <a:ln>
                      <a:noFill/>
                    </a:ln>
                  </pic:spPr>
                </pic:pic>
              </a:graphicData>
            </a:graphic>
          </wp:inline>
        </w:drawing>
      </w:r>
    </w:p>
    <w:p w14:paraId="67B47369" w14:textId="77777777" w:rsidR="00CB0EBE" w:rsidRPr="004A6141" w:rsidRDefault="00CB0EBE" w:rsidP="00CB0EBE">
      <w:pPr>
        <w:pStyle w:val="SMHeading"/>
        <w:spacing w:before="0" w:after="0" w:line="300" w:lineRule="auto"/>
      </w:pPr>
      <w:bookmarkStart w:id="29" w:name="_Toc216766946"/>
      <w:r>
        <w:t>Extended Data Fig.</w:t>
      </w:r>
      <w:r>
        <w:rPr>
          <w:rFonts w:hint="eastAsia"/>
          <w:lang w:eastAsia="zh-CN"/>
        </w:rPr>
        <w:t xml:space="preserve"> </w:t>
      </w:r>
      <w:r w:rsidRPr="004A6141">
        <w:t xml:space="preserve">16 D-sorbitol exerts no stress effect on the photosynthetic system in </w:t>
      </w:r>
      <w:r w:rsidRPr="004A6141">
        <w:rPr>
          <w:i/>
          <w:iCs/>
        </w:rPr>
        <w:t>Brassica rapa</w:t>
      </w:r>
      <w:r w:rsidRPr="004A6141">
        <w:t xml:space="preserve"> leaves</w:t>
      </w:r>
      <w:bookmarkEnd w:id="29"/>
    </w:p>
    <w:p w14:paraId="10BC6F32" w14:textId="77777777" w:rsidR="00CB0EBE" w:rsidRPr="003B7224" w:rsidRDefault="00CB0EBE" w:rsidP="00CB0EBE">
      <w:pPr>
        <w:spacing w:line="300" w:lineRule="auto"/>
        <w:rPr>
          <w:sz w:val="23"/>
          <w:szCs w:val="23"/>
        </w:rPr>
      </w:pPr>
      <w:r w:rsidRPr="003B7224">
        <w:rPr>
          <w:sz w:val="23"/>
          <w:szCs w:val="23"/>
        </w:rPr>
        <w:t>A–D. Chlorophyll fluorescence parameters measured under Beijing growth chamber conditions, 2024: maximum fluorescence (Fm, A), minimal fluorescence (Fo, B), variable fluorescence (Fv, C), and maximum quantum efficiency of PSII (Fv/Fm, D).</w:t>
      </w:r>
    </w:p>
    <w:p w14:paraId="280281CB" w14:textId="77777777" w:rsidR="00CB0EBE" w:rsidRPr="003B7224" w:rsidRDefault="00CB0EBE" w:rsidP="00CB0EBE">
      <w:pPr>
        <w:spacing w:line="300" w:lineRule="auto"/>
        <w:rPr>
          <w:sz w:val="23"/>
          <w:szCs w:val="23"/>
        </w:rPr>
      </w:pPr>
      <w:r w:rsidRPr="003B7224">
        <w:rPr>
          <w:sz w:val="23"/>
          <w:szCs w:val="23"/>
        </w:rPr>
        <w:t>E, F. Additional photosynthetic parameters: NIR (E) and non‑photochemical quenching (NPQ, F).</w:t>
      </w:r>
    </w:p>
    <w:p w14:paraId="033A1E2B" w14:textId="77777777" w:rsidR="00CB0EBE" w:rsidRPr="003B7224" w:rsidRDefault="00CB0EBE" w:rsidP="00CB0EBE">
      <w:pPr>
        <w:spacing w:line="300" w:lineRule="auto"/>
        <w:rPr>
          <w:sz w:val="23"/>
          <w:szCs w:val="23"/>
        </w:rPr>
      </w:pPr>
      <w:r w:rsidRPr="003B7224">
        <w:rPr>
          <w:sz w:val="23"/>
          <w:szCs w:val="23"/>
        </w:rPr>
        <w:t>G–J. Corresponding phenotypes: Fm (G), Fv/Fm (H), Fo (I), and NIR (J).</w:t>
      </w:r>
    </w:p>
    <w:p w14:paraId="67A40DCB" w14:textId="77777777" w:rsidR="00CB0EBE" w:rsidRPr="003B7224" w:rsidRDefault="00CB0EBE" w:rsidP="00CB0EBE">
      <w:pPr>
        <w:spacing w:line="300" w:lineRule="auto"/>
        <w:rPr>
          <w:sz w:val="23"/>
          <w:szCs w:val="23"/>
        </w:rPr>
      </w:pPr>
      <w:r w:rsidRPr="003B7224">
        <w:rPr>
          <w:rFonts w:eastAsia="宋体"/>
          <w:sz w:val="23"/>
          <w:szCs w:val="23"/>
        </w:rPr>
        <w:t>CK:</w:t>
      </w:r>
      <w:r w:rsidRPr="003B7224">
        <w:rPr>
          <w:sz w:val="23"/>
          <w:szCs w:val="23"/>
        </w:rPr>
        <w:t xml:space="preserve"> </w:t>
      </w:r>
      <w:r w:rsidRPr="003B7224">
        <w:rPr>
          <w:rFonts w:eastAsia="宋体"/>
          <w:sz w:val="23"/>
          <w:szCs w:val="23"/>
        </w:rPr>
        <w:t>0g/L D-sorbitol, DS1: 1g/L D-sorbitol, DS2: 2g/L D-sorbitol.</w:t>
      </w:r>
      <w:r>
        <w:rPr>
          <w:rFonts w:hint="eastAsia"/>
          <w:sz w:val="23"/>
          <w:szCs w:val="23"/>
        </w:rPr>
        <w:t xml:space="preserve"> </w:t>
      </w:r>
      <w:r w:rsidRPr="003B7224">
        <w:rPr>
          <w:rFonts w:eastAsia="宋体"/>
          <w:sz w:val="23"/>
          <w:szCs w:val="23"/>
        </w:rPr>
        <w:t xml:space="preserve">In A-H, </w:t>
      </w:r>
      <w:r w:rsidRPr="00626AE6">
        <w:rPr>
          <w:rFonts w:eastAsia="宋体"/>
          <w:i/>
          <w:iCs/>
          <w:sz w:val="23"/>
          <w:szCs w:val="23"/>
        </w:rPr>
        <w:t xml:space="preserve">n </w:t>
      </w:r>
      <w:r w:rsidRPr="003B7224">
        <w:rPr>
          <w:rFonts w:eastAsia="宋体"/>
          <w:sz w:val="23"/>
          <w:szCs w:val="23"/>
        </w:rPr>
        <w:t xml:space="preserve">= 9 biological replicates, </w:t>
      </w:r>
      <w:r w:rsidRPr="003B7224">
        <w:rPr>
          <w:sz w:val="23"/>
          <w:szCs w:val="23"/>
        </w:rPr>
        <w:t>one-way analysis of variance (ANOVA) followed by Tukey’s multiple comparison test was used to determine the</w:t>
      </w:r>
      <w:r w:rsidRPr="003B7224">
        <w:rPr>
          <w:i/>
          <w:iCs/>
          <w:sz w:val="23"/>
          <w:szCs w:val="23"/>
        </w:rPr>
        <w:t xml:space="preserve"> p</w:t>
      </w:r>
      <w:r w:rsidRPr="003B7224">
        <w:rPr>
          <w:sz w:val="23"/>
          <w:szCs w:val="23"/>
        </w:rPr>
        <w:t xml:space="preserve"> values. * </w:t>
      </w:r>
      <w:r w:rsidRPr="003B7224">
        <w:rPr>
          <w:i/>
          <w:iCs/>
          <w:sz w:val="23"/>
          <w:szCs w:val="23"/>
        </w:rPr>
        <w:t>p</w:t>
      </w:r>
      <w:r w:rsidRPr="003B7224">
        <w:rPr>
          <w:sz w:val="23"/>
          <w:szCs w:val="23"/>
        </w:rPr>
        <w:t xml:space="preserve"> &lt; 0.05, ** </w:t>
      </w:r>
      <w:r w:rsidRPr="003B7224">
        <w:rPr>
          <w:i/>
          <w:iCs/>
          <w:sz w:val="23"/>
          <w:szCs w:val="23"/>
        </w:rPr>
        <w:t>p</w:t>
      </w:r>
      <w:r w:rsidRPr="003B7224">
        <w:rPr>
          <w:sz w:val="23"/>
          <w:szCs w:val="23"/>
        </w:rPr>
        <w:t xml:space="preserve"> &lt; 0.01, ***</w:t>
      </w:r>
      <w:r w:rsidRPr="003B7224">
        <w:rPr>
          <w:i/>
          <w:iCs/>
          <w:sz w:val="23"/>
          <w:szCs w:val="23"/>
        </w:rPr>
        <w:t>p</w:t>
      </w:r>
      <w:r w:rsidRPr="003B7224">
        <w:rPr>
          <w:sz w:val="23"/>
          <w:szCs w:val="23"/>
        </w:rPr>
        <w:t xml:space="preserve"> &lt; 0.001. </w:t>
      </w:r>
      <w:r w:rsidRPr="003B7224">
        <w:rPr>
          <w:rFonts w:eastAsia="宋体"/>
          <w:sz w:val="23"/>
          <w:szCs w:val="23"/>
        </w:rPr>
        <w:t>Values are presented as the mean ± SD.</w:t>
      </w:r>
      <w:r w:rsidRPr="003B7224">
        <w:rPr>
          <w:sz w:val="23"/>
          <w:szCs w:val="23"/>
        </w:rPr>
        <w:br w:type="page"/>
      </w:r>
    </w:p>
    <w:p w14:paraId="1BB20B1A"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3107553B" wp14:editId="015D974C">
            <wp:extent cx="5265420" cy="2583180"/>
            <wp:effectExtent l="0" t="0" r="0" b="7620"/>
            <wp:docPr id="175247759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65420" cy="2583180"/>
                    </a:xfrm>
                    <a:prstGeom prst="rect">
                      <a:avLst/>
                    </a:prstGeom>
                    <a:noFill/>
                    <a:ln>
                      <a:noFill/>
                    </a:ln>
                  </pic:spPr>
                </pic:pic>
              </a:graphicData>
            </a:graphic>
          </wp:inline>
        </w:drawing>
      </w:r>
    </w:p>
    <w:p w14:paraId="1860B393" w14:textId="77777777" w:rsidR="00CB0EBE" w:rsidRPr="0026117A" w:rsidRDefault="00CB0EBE" w:rsidP="00CB0EBE">
      <w:pPr>
        <w:pStyle w:val="SMHeading"/>
        <w:spacing w:before="0" w:after="0" w:line="300" w:lineRule="auto"/>
      </w:pPr>
      <w:bookmarkStart w:id="30" w:name="_Toc216766947"/>
      <w:r>
        <w:t>Extended Data Fig.</w:t>
      </w:r>
      <w:r>
        <w:rPr>
          <w:rFonts w:hint="eastAsia"/>
          <w:lang w:eastAsia="zh-CN"/>
        </w:rPr>
        <w:t xml:space="preserve"> </w:t>
      </w:r>
      <w:r w:rsidRPr="0026117A">
        <w:t xml:space="preserve">17 D-sorbitol does not affect the activity of antioxidant enzymes in </w:t>
      </w:r>
      <w:r w:rsidRPr="009542DB">
        <w:rPr>
          <w:i/>
          <w:iCs/>
        </w:rPr>
        <w:t>Brassica rapa</w:t>
      </w:r>
      <w:r w:rsidRPr="0026117A">
        <w:t xml:space="preserve"> leaves</w:t>
      </w:r>
      <w:bookmarkEnd w:id="30"/>
    </w:p>
    <w:p w14:paraId="50D5BAAF" w14:textId="77777777" w:rsidR="00CB0EBE" w:rsidRPr="003B7224" w:rsidRDefault="00CB0EBE" w:rsidP="00CB0EBE">
      <w:pPr>
        <w:spacing w:line="300" w:lineRule="auto"/>
        <w:rPr>
          <w:rFonts w:eastAsia="宋体"/>
          <w:sz w:val="23"/>
          <w:szCs w:val="23"/>
        </w:rPr>
      </w:pPr>
      <w:r w:rsidRPr="003B7224">
        <w:rPr>
          <w:rFonts w:eastAsia="宋体"/>
          <w:sz w:val="23"/>
          <w:szCs w:val="23"/>
        </w:rPr>
        <w:t>A–C. Antioxidant enzyme activities in the Beijing greenhouse trial, 2024: peroxidase (POD, A), superoxide dismutase (SOD, B), and catalase (CAT, C).</w:t>
      </w:r>
    </w:p>
    <w:p w14:paraId="3267B2D4" w14:textId="77777777" w:rsidR="00CB0EBE" w:rsidRPr="003B7224" w:rsidRDefault="00CB0EBE" w:rsidP="00CB0EBE">
      <w:pPr>
        <w:spacing w:line="300" w:lineRule="auto"/>
        <w:rPr>
          <w:rFonts w:eastAsia="宋体"/>
          <w:sz w:val="23"/>
          <w:szCs w:val="23"/>
        </w:rPr>
      </w:pPr>
      <w:r w:rsidRPr="003B7224">
        <w:rPr>
          <w:rFonts w:eastAsia="宋体"/>
          <w:sz w:val="23"/>
          <w:szCs w:val="23"/>
        </w:rPr>
        <w:t>D–F. Antioxidant enzyme activities under Zhangjiakou growth chamber conditions, 2024: POD (D), SOD (E), and CAT (F).</w:t>
      </w:r>
    </w:p>
    <w:p w14:paraId="4F442E08" w14:textId="77777777" w:rsidR="00CB0EBE" w:rsidRPr="003B7224" w:rsidRDefault="00CB0EBE" w:rsidP="00CB0EBE">
      <w:pPr>
        <w:spacing w:line="300" w:lineRule="auto"/>
        <w:rPr>
          <w:sz w:val="23"/>
          <w:szCs w:val="23"/>
        </w:rPr>
      </w:pPr>
      <w:r w:rsidRPr="003B7224">
        <w:rPr>
          <w:rFonts w:eastAsia="宋体"/>
          <w:sz w:val="23"/>
          <w:szCs w:val="23"/>
        </w:rPr>
        <w:t>CK:</w:t>
      </w:r>
      <w:r w:rsidRPr="003B7224">
        <w:rPr>
          <w:sz w:val="23"/>
          <w:szCs w:val="23"/>
        </w:rPr>
        <w:t xml:space="preserve"> </w:t>
      </w:r>
      <w:r w:rsidRPr="003B7224">
        <w:rPr>
          <w:rFonts w:eastAsia="宋体"/>
          <w:sz w:val="23"/>
          <w:szCs w:val="23"/>
        </w:rPr>
        <w:t>0g/L D-sorbitol, DS1: 1g/L D-sorbitol, DS2: 2g/L D-sorbitol.</w:t>
      </w:r>
      <w:r>
        <w:rPr>
          <w:rFonts w:eastAsia="宋体" w:hint="eastAsia"/>
          <w:sz w:val="23"/>
          <w:szCs w:val="23"/>
        </w:rPr>
        <w:t xml:space="preserve"> </w:t>
      </w:r>
      <w:r w:rsidRPr="003B7224">
        <w:rPr>
          <w:rFonts w:eastAsia="宋体"/>
          <w:sz w:val="23"/>
          <w:szCs w:val="23"/>
        </w:rPr>
        <w:t xml:space="preserve">In A-F, </w:t>
      </w:r>
      <w:r w:rsidRPr="00626AE6">
        <w:rPr>
          <w:rFonts w:eastAsia="宋体"/>
          <w:i/>
          <w:iCs/>
          <w:sz w:val="23"/>
          <w:szCs w:val="23"/>
        </w:rPr>
        <w:t xml:space="preserve">n </w:t>
      </w:r>
      <w:r w:rsidRPr="003B7224">
        <w:rPr>
          <w:rFonts w:eastAsia="宋体"/>
          <w:sz w:val="23"/>
          <w:szCs w:val="23"/>
        </w:rPr>
        <w:t xml:space="preserve">= 3 biological replicates, </w:t>
      </w:r>
      <w:r w:rsidRPr="003B7224">
        <w:rPr>
          <w:sz w:val="23"/>
          <w:szCs w:val="23"/>
        </w:rPr>
        <w:t>one-way analysis of variance (ANOVA) followed by Tukey’s multiple comparison test was used to determine the</w:t>
      </w:r>
      <w:r w:rsidRPr="003B7224">
        <w:rPr>
          <w:i/>
          <w:iCs/>
          <w:sz w:val="23"/>
          <w:szCs w:val="23"/>
        </w:rPr>
        <w:t xml:space="preserve"> p</w:t>
      </w:r>
      <w:r w:rsidRPr="003B7224">
        <w:rPr>
          <w:sz w:val="23"/>
          <w:szCs w:val="23"/>
        </w:rPr>
        <w:t xml:space="preserve"> values. * </w:t>
      </w:r>
      <w:r w:rsidRPr="003B7224">
        <w:rPr>
          <w:i/>
          <w:iCs/>
          <w:sz w:val="23"/>
          <w:szCs w:val="23"/>
        </w:rPr>
        <w:t>p</w:t>
      </w:r>
      <w:r w:rsidRPr="003B7224">
        <w:rPr>
          <w:sz w:val="23"/>
          <w:szCs w:val="23"/>
        </w:rPr>
        <w:t xml:space="preserve"> &lt; 0.05, ** </w:t>
      </w:r>
      <w:r w:rsidRPr="003B7224">
        <w:rPr>
          <w:i/>
          <w:iCs/>
          <w:sz w:val="23"/>
          <w:szCs w:val="23"/>
        </w:rPr>
        <w:t>p</w:t>
      </w:r>
      <w:r w:rsidRPr="003B7224">
        <w:rPr>
          <w:sz w:val="23"/>
          <w:szCs w:val="23"/>
        </w:rPr>
        <w:t xml:space="preserve"> &lt; 0.01, ***</w:t>
      </w:r>
      <w:r w:rsidRPr="003B7224">
        <w:rPr>
          <w:i/>
          <w:iCs/>
          <w:sz w:val="23"/>
          <w:szCs w:val="23"/>
        </w:rPr>
        <w:t>p</w:t>
      </w:r>
      <w:r w:rsidRPr="003B7224">
        <w:rPr>
          <w:sz w:val="23"/>
          <w:szCs w:val="23"/>
        </w:rPr>
        <w:t xml:space="preserve"> &lt; 0.001. </w:t>
      </w:r>
      <w:r w:rsidRPr="003B7224">
        <w:rPr>
          <w:rFonts w:eastAsia="宋体"/>
          <w:sz w:val="23"/>
          <w:szCs w:val="23"/>
        </w:rPr>
        <w:t>Values are presented as the mean ± SD.</w:t>
      </w:r>
      <w:r w:rsidRPr="003B7224">
        <w:rPr>
          <w:sz w:val="23"/>
          <w:szCs w:val="23"/>
        </w:rPr>
        <w:br w:type="page"/>
      </w:r>
    </w:p>
    <w:p w14:paraId="05A6B988"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7E81F06F" wp14:editId="59F1CA82">
            <wp:extent cx="5265420" cy="4107180"/>
            <wp:effectExtent l="0" t="0" r="0" b="7620"/>
            <wp:docPr id="56160265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65420" cy="4107180"/>
                    </a:xfrm>
                    <a:prstGeom prst="rect">
                      <a:avLst/>
                    </a:prstGeom>
                    <a:noFill/>
                    <a:ln>
                      <a:noFill/>
                    </a:ln>
                  </pic:spPr>
                </pic:pic>
              </a:graphicData>
            </a:graphic>
          </wp:inline>
        </w:drawing>
      </w:r>
    </w:p>
    <w:p w14:paraId="68285AF7" w14:textId="77777777" w:rsidR="00CB0EBE" w:rsidRPr="0026117A" w:rsidRDefault="00CB0EBE" w:rsidP="00CB0EBE">
      <w:pPr>
        <w:pStyle w:val="SMHeading"/>
        <w:spacing w:before="0" w:after="0" w:line="300" w:lineRule="auto"/>
      </w:pPr>
      <w:bookmarkStart w:id="31" w:name="_Toc216766948"/>
      <w:r>
        <w:t>Extended Data Fig.</w:t>
      </w:r>
      <w:r>
        <w:rPr>
          <w:rFonts w:hint="eastAsia"/>
          <w:lang w:eastAsia="zh-CN"/>
        </w:rPr>
        <w:t xml:space="preserve"> </w:t>
      </w:r>
      <w:r w:rsidRPr="0026117A">
        <w:t xml:space="preserve">18 D-sorbitol regulates gene expression in pathways such as carbohydrate metabolism in </w:t>
      </w:r>
      <w:r w:rsidRPr="009542DB">
        <w:rPr>
          <w:i/>
          <w:iCs/>
        </w:rPr>
        <w:t>Brassica rapa</w:t>
      </w:r>
      <w:r w:rsidRPr="0026117A">
        <w:t xml:space="preserve"> leaves</w:t>
      </w:r>
      <w:bookmarkEnd w:id="31"/>
    </w:p>
    <w:p w14:paraId="6F369749" w14:textId="77777777" w:rsidR="00CB0EBE" w:rsidRPr="003B7224" w:rsidRDefault="00CB0EBE" w:rsidP="00CB0EBE">
      <w:pPr>
        <w:widowControl/>
        <w:spacing w:line="300" w:lineRule="auto"/>
        <w:rPr>
          <w:sz w:val="23"/>
          <w:szCs w:val="23"/>
        </w:rPr>
      </w:pPr>
      <w:r w:rsidRPr="003B7224">
        <w:rPr>
          <w:sz w:val="23"/>
          <w:szCs w:val="23"/>
        </w:rPr>
        <w:t xml:space="preserve">A. Principal component analysis (PCA) of samples from CK, DS1, and DS2 groups (blue, red, and encircled by treatment; </w:t>
      </w:r>
      <w:r w:rsidRPr="00626AE6">
        <w:rPr>
          <w:i/>
          <w:iCs/>
          <w:sz w:val="23"/>
          <w:szCs w:val="23"/>
        </w:rPr>
        <w:t xml:space="preserve">n </w:t>
      </w:r>
      <w:r w:rsidRPr="003B7224">
        <w:rPr>
          <w:sz w:val="23"/>
          <w:szCs w:val="23"/>
        </w:rPr>
        <w:t>= 3).</w:t>
      </w:r>
    </w:p>
    <w:p w14:paraId="1C56B865" w14:textId="77777777" w:rsidR="00CB0EBE" w:rsidRPr="003B7224" w:rsidRDefault="00CB0EBE" w:rsidP="00CB0EBE">
      <w:pPr>
        <w:widowControl/>
        <w:spacing w:line="300" w:lineRule="auto"/>
        <w:rPr>
          <w:sz w:val="23"/>
          <w:szCs w:val="23"/>
        </w:rPr>
      </w:pPr>
      <w:r w:rsidRPr="003B7224">
        <w:rPr>
          <w:sz w:val="23"/>
          <w:szCs w:val="23"/>
        </w:rPr>
        <w:t>B. Venn diagram of differentially expressed genes (DEGs) across comparisons.</w:t>
      </w:r>
    </w:p>
    <w:p w14:paraId="45ECAB52" w14:textId="77777777" w:rsidR="00CB0EBE" w:rsidRPr="003B7224" w:rsidRDefault="00CB0EBE" w:rsidP="00CB0EBE">
      <w:pPr>
        <w:widowControl/>
        <w:spacing w:line="300" w:lineRule="auto"/>
        <w:rPr>
          <w:sz w:val="23"/>
          <w:szCs w:val="23"/>
        </w:rPr>
      </w:pPr>
      <w:r w:rsidRPr="003B7224">
        <w:rPr>
          <w:sz w:val="23"/>
          <w:szCs w:val="23"/>
        </w:rPr>
        <w:t>C–E. Volcano plots of DEGs for CK/DS1 (C), CK/DS2 (D), and DS1/DS2 (E). Gray: non‑significant; blue: down‑regulated; red: up‑regulated (FDR &lt; 0.05).</w:t>
      </w:r>
    </w:p>
    <w:p w14:paraId="23753E36" w14:textId="77777777" w:rsidR="00CB0EBE" w:rsidRPr="003B7224" w:rsidRDefault="00CB0EBE" w:rsidP="00CB0EBE">
      <w:pPr>
        <w:widowControl/>
        <w:spacing w:line="300" w:lineRule="auto"/>
        <w:rPr>
          <w:sz w:val="23"/>
          <w:szCs w:val="23"/>
        </w:rPr>
      </w:pPr>
      <w:r w:rsidRPr="003B7224">
        <w:rPr>
          <w:sz w:val="23"/>
          <w:szCs w:val="23"/>
        </w:rPr>
        <w:t>F–H. KEGG pathway classification bar charts for CK/DS1 (F), CK/DS2 (G), and DS1/DS2 (H). Colors indicate functional categories.</w:t>
      </w:r>
    </w:p>
    <w:p w14:paraId="63E053CA" w14:textId="77777777" w:rsidR="00CB0EBE" w:rsidRDefault="00CB0EBE" w:rsidP="00CB0EBE">
      <w:pPr>
        <w:widowControl/>
        <w:spacing w:line="300" w:lineRule="auto"/>
        <w:rPr>
          <w:sz w:val="23"/>
          <w:szCs w:val="23"/>
        </w:rPr>
      </w:pPr>
      <w:r w:rsidRPr="003B7224">
        <w:rPr>
          <w:sz w:val="23"/>
          <w:szCs w:val="23"/>
        </w:rPr>
        <w:t>I–K. KEGG enrichment bubble plots for CK/DS1 (I), CK/DS2 (J), and DS1/DS2 (K). Dot size corresponds to gene count; color gradient (blue to red) represents decreasing FDR.</w:t>
      </w:r>
    </w:p>
    <w:p w14:paraId="2FFB52BC" w14:textId="77777777" w:rsidR="00CB0EBE" w:rsidRPr="003B7224" w:rsidRDefault="00CB0EBE" w:rsidP="00CB0EBE">
      <w:pPr>
        <w:spacing w:line="300" w:lineRule="auto"/>
        <w:rPr>
          <w:sz w:val="23"/>
          <w:szCs w:val="23"/>
        </w:rPr>
      </w:pPr>
      <w:r w:rsidRPr="003B7224">
        <w:rPr>
          <w:rFonts w:eastAsia="宋体"/>
          <w:sz w:val="23"/>
          <w:szCs w:val="23"/>
        </w:rPr>
        <w:t>CK:</w:t>
      </w:r>
      <w:r w:rsidRPr="003B7224">
        <w:rPr>
          <w:sz w:val="23"/>
          <w:szCs w:val="23"/>
        </w:rPr>
        <w:t xml:space="preserve"> </w:t>
      </w:r>
      <w:r w:rsidRPr="003B7224">
        <w:rPr>
          <w:rFonts w:eastAsia="宋体"/>
          <w:sz w:val="23"/>
          <w:szCs w:val="23"/>
        </w:rPr>
        <w:t>0g/L D-sorbitol, DS1: 1g/L D-sorbitol, DS2: 2g/L D-sorbitol.</w:t>
      </w:r>
      <w:r w:rsidRPr="003B7224">
        <w:rPr>
          <w:sz w:val="23"/>
          <w:szCs w:val="23"/>
        </w:rPr>
        <w:br w:type="page"/>
      </w:r>
    </w:p>
    <w:p w14:paraId="57A1D4C8"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2BF2D018" wp14:editId="1D25EDA8">
            <wp:extent cx="4279513" cy="3684964"/>
            <wp:effectExtent l="0" t="0" r="6985" b="0"/>
            <wp:docPr id="20231652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90070" cy="3694054"/>
                    </a:xfrm>
                    <a:prstGeom prst="rect">
                      <a:avLst/>
                    </a:prstGeom>
                    <a:noFill/>
                    <a:ln>
                      <a:noFill/>
                    </a:ln>
                  </pic:spPr>
                </pic:pic>
              </a:graphicData>
            </a:graphic>
          </wp:inline>
        </w:drawing>
      </w:r>
    </w:p>
    <w:p w14:paraId="766CD85E" w14:textId="77777777" w:rsidR="00CB0EBE" w:rsidRPr="0026117A" w:rsidRDefault="00CB0EBE" w:rsidP="00CB0EBE">
      <w:pPr>
        <w:pStyle w:val="SMHeading"/>
        <w:spacing w:before="0" w:after="0" w:line="300" w:lineRule="auto"/>
      </w:pPr>
      <w:bookmarkStart w:id="32" w:name="_Toc216766949"/>
      <w:r>
        <w:t>Extended Data Fig.</w:t>
      </w:r>
      <w:r>
        <w:rPr>
          <w:rFonts w:hint="eastAsia"/>
          <w:lang w:eastAsia="zh-CN"/>
        </w:rPr>
        <w:t xml:space="preserve"> </w:t>
      </w:r>
      <w:r w:rsidRPr="0026117A">
        <w:t xml:space="preserve">19 D-sorbitol regulates metabolic pathways such as galactose metabolism and ABC transporters in </w:t>
      </w:r>
      <w:r w:rsidRPr="009542DB">
        <w:rPr>
          <w:i/>
          <w:iCs/>
        </w:rPr>
        <w:t>Brassica rapa</w:t>
      </w:r>
      <w:r w:rsidRPr="0026117A">
        <w:t xml:space="preserve"> leaves</w:t>
      </w:r>
      <w:bookmarkEnd w:id="32"/>
    </w:p>
    <w:p w14:paraId="48B57493" w14:textId="77777777" w:rsidR="00CB0EBE" w:rsidRPr="003B7224" w:rsidRDefault="00CB0EBE" w:rsidP="00CB0EBE">
      <w:pPr>
        <w:spacing w:line="300" w:lineRule="auto"/>
        <w:rPr>
          <w:sz w:val="23"/>
          <w:szCs w:val="23"/>
        </w:rPr>
      </w:pPr>
      <w:r w:rsidRPr="003B7224">
        <w:rPr>
          <w:sz w:val="23"/>
          <w:szCs w:val="23"/>
        </w:rPr>
        <w:t>A–C. Volcano plots of differential metabolites (FDR &lt; 0.05) for comparisons CK/DS1 (A), CK/DS2 (B), and DS1/DS2 (C). Gray: non‑significant; blue: down‑regulated; red: up‑regulated.</w:t>
      </w:r>
    </w:p>
    <w:p w14:paraId="744610ED" w14:textId="77777777" w:rsidR="00CB0EBE" w:rsidRPr="003B7224" w:rsidRDefault="00CB0EBE" w:rsidP="00CB0EBE">
      <w:pPr>
        <w:spacing w:line="300" w:lineRule="auto"/>
        <w:rPr>
          <w:sz w:val="23"/>
          <w:szCs w:val="23"/>
        </w:rPr>
      </w:pPr>
      <w:r w:rsidRPr="003B7224">
        <w:rPr>
          <w:sz w:val="23"/>
          <w:szCs w:val="23"/>
        </w:rPr>
        <w:t>D. Principal component analysis (PCA) of samples from CK, DS1, and DS2 groups (</w:t>
      </w:r>
      <w:r w:rsidRPr="00626AE6">
        <w:rPr>
          <w:i/>
          <w:iCs/>
          <w:sz w:val="23"/>
          <w:szCs w:val="23"/>
        </w:rPr>
        <w:t>n</w:t>
      </w:r>
      <w:r w:rsidRPr="003B7224">
        <w:rPr>
          <w:sz w:val="23"/>
          <w:szCs w:val="23"/>
        </w:rPr>
        <w:t xml:space="preserve"> = 3).</w:t>
      </w:r>
    </w:p>
    <w:p w14:paraId="3F045905" w14:textId="77777777" w:rsidR="00CB0EBE" w:rsidRPr="003B7224" w:rsidRDefault="00CB0EBE" w:rsidP="00CB0EBE">
      <w:pPr>
        <w:spacing w:line="300" w:lineRule="auto"/>
        <w:rPr>
          <w:sz w:val="23"/>
          <w:szCs w:val="23"/>
        </w:rPr>
      </w:pPr>
      <w:r w:rsidRPr="003B7224">
        <w:rPr>
          <w:sz w:val="23"/>
          <w:szCs w:val="23"/>
        </w:rPr>
        <w:t>E. Venn diagram of metabolite groups across treatments.</w:t>
      </w:r>
    </w:p>
    <w:p w14:paraId="24D7F7A6" w14:textId="77777777" w:rsidR="00CB0EBE" w:rsidRPr="003B7224" w:rsidRDefault="00CB0EBE" w:rsidP="00CB0EBE">
      <w:pPr>
        <w:spacing w:line="300" w:lineRule="auto"/>
        <w:rPr>
          <w:sz w:val="23"/>
          <w:szCs w:val="23"/>
        </w:rPr>
      </w:pPr>
      <w:r w:rsidRPr="003B7224">
        <w:rPr>
          <w:sz w:val="23"/>
          <w:szCs w:val="23"/>
        </w:rPr>
        <w:t>F. VIP‑based hierarchical clustering heatmap of metabolite abundance (left) with corresponding VIP bar plot (right; bar length reflects contribution to group separation).</w:t>
      </w:r>
    </w:p>
    <w:p w14:paraId="0C446530" w14:textId="77777777" w:rsidR="00CB0EBE" w:rsidRPr="003B7224" w:rsidRDefault="00CB0EBE" w:rsidP="00CB0EBE">
      <w:pPr>
        <w:spacing w:line="300" w:lineRule="auto"/>
        <w:rPr>
          <w:sz w:val="23"/>
          <w:szCs w:val="23"/>
        </w:rPr>
      </w:pPr>
      <w:r w:rsidRPr="003B7224">
        <w:rPr>
          <w:sz w:val="23"/>
          <w:szCs w:val="23"/>
        </w:rPr>
        <w:t>G–I. KEGG enrichment analysis of differential metabolites for CK/DS1 (G), CK/DS2 (H), and DS1/DS2 (I). Bubble size indicates number of compounds; color represents enrichment *p*‑value.</w:t>
      </w:r>
    </w:p>
    <w:p w14:paraId="36EA99A9" w14:textId="77777777" w:rsidR="00CB0EBE" w:rsidRPr="003B7224" w:rsidRDefault="00CB0EBE" w:rsidP="00CB0EBE">
      <w:pPr>
        <w:spacing w:line="300" w:lineRule="auto"/>
        <w:rPr>
          <w:sz w:val="23"/>
          <w:szCs w:val="23"/>
        </w:rPr>
      </w:pPr>
      <w:r w:rsidRPr="003B7224">
        <w:rPr>
          <w:sz w:val="23"/>
          <w:szCs w:val="23"/>
        </w:rPr>
        <w:t>J–L. KEGG pathway‑metabolite network for CK/DS1 (J), CK/DS2 (K), and DS1/DS2 (L). Red squares: metabolites; blue circles: KEGG pathways (node size scales with metabolite count).</w:t>
      </w:r>
    </w:p>
    <w:p w14:paraId="6115BD36" w14:textId="77777777" w:rsidR="00CB0EBE" w:rsidRPr="003B7224" w:rsidRDefault="00CB0EBE" w:rsidP="00CB0EBE">
      <w:pPr>
        <w:spacing w:line="300" w:lineRule="auto"/>
        <w:rPr>
          <w:sz w:val="23"/>
          <w:szCs w:val="23"/>
        </w:rPr>
      </w:pPr>
      <w:r w:rsidRPr="003B7224">
        <w:rPr>
          <w:sz w:val="23"/>
          <w:szCs w:val="23"/>
        </w:rPr>
        <w:t>CK: 0g/L D-sorbitol, DS1: 1g/L D-sorbitol, DS2: 2g/L D-sorbitol.</w:t>
      </w:r>
      <w:r>
        <w:rPr>
          <w:rFonts w:hint="eastAsia"/>
          <w:sz w:val="23"/>
          <w:szCs w:val="23"/>
        </w:rPr>
        <w:t xml:space="preserve"> </w:t>
      </w:r>
      <w:r w:rsidRPr="003B7224">
        <w:rPr>
          <w:rFonts w:eastAsia="宋体"/>
          <w:sz w:val="23"/>
          <w:szCs w:val="23"/>
        </w:rPr>
        <w:t xml:space="preserve">In A-L, </w:t>
      </w:r>
      <w:r w:rsidRPr="00626AE6">
        <w:rPr>
          <w:rFonts w:eastAsia="宋体"/>
          <w:i/>
          <w:iCs/>
          <w:sz w:val="23"/>
          <w:szCs w:val="23"/>
        </w:rPr>
        <w:t>n</w:t>
      </w:r>
      <w:r w:rsidRPr="003B7224">
        <w:rPr>
          <w:rFonts w:eastAsia="宋体"/>
          <w:sz w:val="23"/>
          <w:szCs w:val="23"/>
        </w:rPr>
        <w:t xml:space="preserve"> = 3 biological replicates. </w:t>
      </w:r>
      <w:r w:rsidRPr="003B7224">
        <w:rPr>
          <w:sz w:val="23"/>
          <w:szCs w:val="23"/>
        </w:rPr>
        <w:t>In F, one-way analysis of variance (ANOVA) followed by Tukey’s multiple comparison test was used to determine the p values (FDR). * p &lt; 0.05, ** p &lt; 0.01, ***p &lt; 0.001. Values are presented as the mean ± SD.</w:t>
      </w:r>
      <w:r w:rsidRPr="003B7224">
        <w:rPr>
          <w:sz w:val="23"/>
          <w:szCs w:val="23"/>
        </w:rPr>
        <w:br w:type="page"/>
      </w:r>
    </w:p>
    <w:p w14:paraId="1A08B223"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531AFDB4" wp14:editId="4D83BAA8">
            <wp:extent cx="5089896" cy="5329060"/>
            <wp:effectExtent l="0" t="0" r="0" b="5080"/>
            <wp:docPr id="62170827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91057" cy="5330276"/>
                    </a:xfrm>
                    <a:prstGeom prst="rect">
                      <a:avLst/>
                    </a:prstGeom>
                    <a:noFill/>
                    <a:ln>
                      <a:noFill/>
                    </a:ln>
                  </pic:spPr>
                </pic:pic>
              </a:graphicData>
            </a:graphic>
          </wp:inline>
        </w:drawing>
      </w:r>
    </w:p>
    <w:p w14:paraId="5AA6A34F" w14:textId="77777777" w:rsidR="00CB0EBE" w:rsidRPr="00E33A73" w:rsidRDefault="00CB0EBE" w:rsidP="00CB0EBE">
      <w:pPr>
        <w:pStyle w:val="SMHeading"/>
        <w:spacing w:before="0" w:after="0" w:line="300" w:lineRule="auto"/>
      </w:pPr>
      <w:bookmarkStart w:id="33" w:name="_Toc216766950"/>
      <w:r>
        <w:t>Extended Data Fig.</w:t>
      </w:r>
      <w:r>
        <w:rPr>
          <w:rFonts w:hint="eastAsia"/>
          <w:lang w:eastAsia="zh-CN"/>
        </w:rPr>
        <w:t xml:space="preserve"> </w:t>
      </w:r>
      <w:r w:rsidRPr="00E33A73">
        <w:t>20 Foliar application of D-sorbitol has no significant effect on the growth of non-angiosperm plants</w:t>
      </w:r>
      <w:bookmarkEnd w:id="33"/>
    </w:p>
    <w:p w14:paraId="45D3E930" w14:textId="77777777" w:rsidR="00CB0EBE" w:rsidRPr="003B7224" w:rsidRDefault="00CB0EBE" w:rsidP="00CB0EBE">
      <w:pPr>
        <w:spacing w:line="300" w:lineRule="auto"/>
        <w:rPr>
          <w:sz w:val="23"/>
          <w:szCs w:val="23"/>
        </w:rPr>
      </w:pPr>
      <w:r w:rsidRPr="003B7224">
        <w:rPr>
          <w:sz w:val="23"/>
          <w:szCs w:val="23"/>
        </w:rPr>
        <w:t>A. Phylogenetic tree of the non‑angiosperm species included in the experiment.</w:t>
      </w:r>
    </w:p>
    <w:p w14:paraId="6DA5A7F5" w14:textId="77777777" w:rsidR="00CB0EBE" w:rsidRPr="003B7224" w:rsidRDefault="00CB0EBE" w:rsidP="00CB0EBE">
      <w:pPr>
        <w:spacing w:line="300" w:lineRule="auto"/>
        <w:rPr>
          <w:sz w:val="23"/>
          <w:szCs w:val="23"/>
        </w:rPr>
      </w:pPr>
      <w:r w:rsidRPr="003B7224">
        <w:rPr>
          <w:sz w:val="23"/>
          <w:szCs w:val="23"/>
        </w:rPr>
        <w:t xml:space="preserve">B–I. Growth performance of the eight species studied: </w:t>
      </w:r>
      <w:r w:rsidRPr="003B7224">
        <w:rPr>
          <w:i/>
          <w:iCs/>
          <w:sz w:val="23"/>
          <w:szCs w:val="23"/>
        </w:rPr>
        <w:t>Marchantia polymorpha</w:t>
      </w:r>
      <w:r w:rsidRPr="003B7224">
        <w:rPr>
          <w:sz w:val="23"/>
          <w:szCs w:val="23"/>
        </w:rPr>
        <w:t xml:space="preserve"> (B), </w:t>
      </w:r>
      <w:r w:rsidRPr="003B7224">
        <w:rPr>
          <w:i/>
          <w:iCs/>
          <w:sz w:val="23"/>
          <w:szCs w:val="23"/>
        </w:rPr>
        <w:t>Funaria hygrometrica</w:t>
      </w:r>
      <w:r w:rsidRPr="003B7224">
        <w:rPr>
          <w:sz w:val="23"/>
          <w:szCs w:val="23"/>
        </w:rPr>
        <w:t xml:space="preserve"> (C), </w:t>
      </w:r>
      <w:r w:rsidRPr="003B7224">
        <w:rPr>
          <w:i/>
          <w:iCs/>
          <w:sz w:val="23"/>
          <w:szCs w:val="23"/>
        </w:rPr>
        <w:t>Pteris ensiformis</w:t>
      </w:r>
      <w:r w:rsidRPr="003B7224">
        <w:rPr>
          <w:sz w:val="23"/>
          <w:szCs w:val="23"/>
        </w:rPr>
        <w:t xml:space="preserve"> (D), </w:t>
      </w:r>
      <w:r w:rsidRPr="003B7224">
        <w:rPr>
          <w:i/>
          <w:iCs/>
          <w:sz w:val="23"/>
          <w:szCs w:val="23"/>
        </w:rPr>
        <w:t>Adiantum venustum</w:t>
      </w:r>
      <w:r w:rsidRPr="003B7224">
        <w:rPr>
          <w:sz w:val="23"/>
          <w:szCs w:val="23"/>
        </w:rPr>
        <w:t xml:space="preserve"> (E), </w:t>
      </w:r>
      <w:r w:rsidRPr="003B7224">
        <w:rPr>
          <w:i/>
          <w:iCs/>
          <w:sz w:val="23"/>
          <w:szCs w:val="23"/>
        </w:rPr>
        <w:t>Selaginella tamariscina</w:t>
      </w:r>
      <w:r w:rsidRPr="003B7224">
        <w:rPr>
          <w:sz w:val="23"/>
          <w:szCs w:val="23"/>
        </w:rPr>
        <w:t xml:space="preserve"> (F), </w:t>
      </w:r>
      <w:r w:rsidRPr="003B7224">
        <w:rPr>
          <w:i/>
          <w:iCs/>
          <w:sz w:val="23"/>
          <w:szCs w:val="23"/>
        </w:rPr>
        <w:t>Lycopodium japonicum</w:t>
      </w:r>
      <w:r w:rsidRPr="003B7224">
        <w:rPr>
          <w:sz w:val="23"/>
          <w:szCs w:val="23"/>
        </w:rPr>
        <w:t xml:space="preserve"> (G), </w:t>
      </w:r>
      <w:r w:rsidRPr="003B7224">
        <w:rPr>
          <w:i/>
          <w:iCs/>
          <w:sz w:val="23"/>
          <w:szCs w:val="23"/>
        </w:rPr>
        <w:t>Nageia nagi</w:t>
      </w:r>
      <w:r w:rsidRPr="003B7224">
        <w:rPr>
          <w:sz w:val="23"/>
          <w:szCs w:val="23"/>
        </w:rPr>
        <w:t xml:space="preserve"> (H), and </w:t>
      </w:r>
      <w:r w:rsidRPr="003B7224">
        <w:rPr>
          <w:i/>
          <w:iCs/>
          <w:sz w:val="23"/>
          <w:szCs w:val="23"/>
        </w:rPr>
        <w:t>Podocarpus macrophyllus</w:t>
      </w:r>
      <w:r w:rsidRPr="003B7224">
        <w:rPr>
          <w:sz w:val="23"/>
          <w:szCs w:val="23"/>
        </w:rPr>
        <w:t xml:space="preserve"> (I). Colors indicate taxonomic families.</w:t>
      </w:r>
    </w:p>
    <w:p w14:paraId="072953D3" w14:textId="77777777" w:rsidR="00CB0EBE" w:rsidRPr="003B7224" w:rsidRDefault="00CB0EBE" w:rsidP="00CB0EBE">
      <w:pPr>
        <w:spacing w:line="300" w:lineRule="auto"/>
        <w:rPr>
          <w:sz w:val="23"/>
          <w:szCs w:val="23"/>
        </w:rPr>
      </w:pPr>
      <w:r w:rsidRPr="003B7224">
        <w:rPr>
          <w:sz w:val="23"/>
          <w:szCs w:val="23"/>
        </w:rPr>
        <w:t>J, K. Shoot fresh weight of plants grown in Zhangjiakou (March 2025; J) and Beijing (May 2025; K) growth chambers.</w:t>
      </w:r>
    </w:p>
    <w:p w14:paraId="578175D5" w14:textId="77777777" w:rsidR="00CB0EBE" w:rsidRPr="003B7224" w:rsidRDefault="00CB0EBE" w:rsidP="00CB0EBE">
      <w:pPr>
        <w:spacing w:line="300" w:lineRule="auto"/>
        <w:rPr>
          <w:sz w:val="23"/>
          <w:szCs w:val="23"/>
        </w:rPr>
      </w:pPr>
      <w:r w:rsidRPr="003B7224">
        <w:rPr>
          <w:sz w:val="23"/>
          <w:szCs w:val="23"/>
        </w:rPr>
        <w:t>L, M. Relative growth rate (RGR) of biomass (DS2 vs. CK) for all cultivated plants in Zhangjiakou (March 2025; L) and Beijing (May 2025; M) growth chambers.</w:t>
      </w:r>
    </w:p>
    <w:p w14:paraId="1C923E5A" w14:textId="77777777" w:rsidR="00CB0EBE" w:rsidRPr="003B7224" w:rsidRDefault="00CB0EBE" w:rsidP="00CB0EBE">
      <w:pPr>
        <w:spacing w:line="300" w:lineRule="auto"/>
        <w:rPr>
          <w:sz w:val="23"/>
          <w:szCs w:val="23"/>
        </w:rPr>
      </w:pPr>
      <w:r w:rsidRPr="003B7224">
        <w:rPr>
          <w:sz w:val="23"/>
          <w:szCs w:val="23"/>
        </w:rPr>
        <w:t>CK: 0g/L D-sorbitol, DS2: 2g/L D-sorbitol, PPFD: 300μmol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sz w:val="23"/>
          <w:szCs w:val="23"/>
        </w:rPr>
        <w:t>.</w:t>
      </w:r>
      <w:r>
        <w:rPr>
          <w:rFonts w:hint="eastAsia"/>
          <w:sz w:val="23"/>
          <w:szCs w:val="23"/>
        </w:rPr>
        <w:t xml:space="preserve"> </w:t>
      </w:r>
      <w:r w:rsidRPr="003B7224">
        <w:rPr>
          <w:rFonts w:eastAsia="宋体"/>
          <w:sz w:val="23"/>
          <w:szCs w:val="23"/>
        </w:rPr>
        <w:t xml:space="preserve">In B-M, </w:t>
      </w:r>
      <w:r w:rsidRPr="00626AE6">
        <w:rPr>
          <w:rFonts w:eastAsia="宋体"/>
          <w:i/>
          <w:iCs/>
          <w:sz w:val="23"/>
          <w:szCs w:val="23"/>
        </w:rPr>
        <w:t xml:space="preserve">n </w:t>
      </w:r>
      <w:r w:rsidRPr="003B7224">
        <w:rPr>
          <w:rFonts w:eastAsia="宋体"/>
          <w:sz w:val="23"/>
          <w:szCs w:val="23"/>
        </w:rPr>
        <w:t xml:space="preserve">= 18 biological replicates. </w:t>
      </w:r>
      <w:r w:rsidRPr="003B7224">
        <w:rPr>
          <w:sz w:val="23"/>
          <w:szCs w:val="23"/>
        </w:rPr>
        <w:t xml:space="preserve">In J-K, </w:t>
      </w:r>
      <w:r w:rsidRPr="003B7224">
        <w:rPr>
          <w:rFonts w:eastAsia="宋体"/>
          <w:sz w:val="23"/>
          <w:szCs w:val="23"/>
        </w:rPr>
        <w:t xml:space="preserve">a two-tailed Student’s t-test was used to determine </w:t>
      </w:r>
      <w:r w:rsidRPr="003B7224">
        <w:rPr>
          <w:rFonts w:eastAsia="宋体"/>
          <w:i/>
          <w:iCs/>
          <w:sz w:val="23"/>
          <w:szCs w:val="23"/>
        </w:rPr>
        <w:t>p</w:t>
      </w:r>
      <w:r w:rsidRPr="003B7224">
        <w:rPr>
          <w:rFonts w:eastAsia="宋体"/>
          <w:sz w:val="23"/>
          <w:szCs w:val="23"/>
        </w:rPr>
        <w:t xml:space="preserve"> values. *</w:t>
      </w:r>
      <w:r w:rsidRPr="003B7224">
        <w:rPr>
          <w:rFonts w:eastAsia="宋体"/>
          <w:i/>
          <w:iCs/>
          <w:sz w:val="23"/>
          <w:szCs w:val="23"/>
        </w:rPr>
        <w:t xml:space="preserve"> p</w:t>
      </w:r>
      <w:r w:rsidRPr="003B7224">
        <w:rPr>
          <w:rFonts w:eastAsia="宋体"/>
          <w:sz w:val="23"/>
          <w:szCs w:val="23"/>
        </w:rPr>
        <w:t xml:space="preserve"> &lt; 0.05, **</w:t>
      </w:r>
      <w:r w:rsidRPr="003B7224">
        <w:rPr>
          <w:rFonts w:eastAsia="宋体"/>
          <w:i/>
          <w:iCs/>
          <w:sz w:val="23"/>
          <w:szCs w:val="23"/>
        </w:rPr>
        <w:t xml:space="preserve"> p</w:t>
      </w:r>
      <w:r w:rsidRPr="003B7224">
        <w:rPr>
          <w:rFonts w:eastAsia="宋体"/>
          <w:sz w:val="23"/>
          <w:szCs w:val="23"/>
        </w:rPr>
        <w:t xml:space="preserve"> &lt; 0.01, ***</w:t>
      </w:r>
      <w:r w:rsidRPr="003B7224">
        <w:rPr>
          <w:rFonts w:eastAsia="宋体"/>
          <w:i/>
          <w:iCs/>
          <w:sz w:val="23"/>
          <w:szCs w:val="23"/>
        </w:rPr>
        <w:t>p</w:t>
      </w:r>
      <w:r w:rsidRPr="003B7224">
        <w:rPr>
          <w:rFonts w:eastAsia="宋体"/>
          <w:sz w:val="23"/>
          <w:szCs w:val="23"/>
        </w:rPr>
        <w:t xml:space="preserve"> &lt; 0.001. Values are presented as the mean ± SD.</w:t>
      </w:r>
      <w:r w:rsidRPr="003B7224">
        <w:rPr>
          <w:sz w:val="23"/>
          <w:szCs w:val="23"/>
        </w:rPr>
        <w:br w:type="page"/>
      </w:r>
    </w:p>
    <w:p w14:paraId="316ED199"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519C97D2" wp14:editId="7F79367E">
            <wp:extent cx="5269230" cy="8569325"/>
            <wp:effectExtent l="0" t="0" r="7620" b="3175"/>
            <wp:docPr id="4831556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69230" cy="8569325"/>
                    </a:xfrm>
                    <a:prstGeom prst="rect">
                      <a:avLst/>
                    </a:prstGeom>
                    <a:noFill/>
                    <a:ln>
                      <a:noFill/>
                    </a:ln>
                  </pic:spPr>
                </pic:pic>
              </a:graphicData>
            </a:graphic>
          </wp:inline>
        </w:drawing>
      </w:r>
    </w:p>
    <w:p w14:paraId="036B9854" w14:textId="77777777" w:rsidR="00CB0EBE" w:rsidRPr="00E33A73" w:rsidRDefault="00CB0EBE" w:rsidP="00CB0EBE">
      <w:pPr>
        <w:pStyle w:val="SMHeading"/>
        <w:spacing w:before="0" w:after="0" w:line="300" w:lineRule="auto"/>
      </w:pPr>
      <w:bookmarkStart w:id="34" w:name="_Toc216766951"/>
      <w:r>
        <w:lastRenderedPageBreak/>
        <w:t>Extended Data Fig.</w:t>
      </w:r>
      <w:r>
        <w:rPr>
          <w:rFonts w:hint="eastAsia"/>
          <w:lang w:eastAsia="zh-CN"/>
        </w:rPr>
        <w:t xml:space="preserve"> </w:t>
      </w:r>
      <w:r w:rsidRPr="00E33A73">
        <w:t>21 Foliar application of D-sorbitol specifically regulates the growth of angiosperms</w:t>
      </w:r>
      <w:bookmarkEnd w:id="34"/>
    </w:p>
    <w:p w14:paraId="51BF7567" w14:textId="77777777" w:rsidR="00CB0EBE" w:rsidRPr="003B7224" w:rsidRDefault="00CB0EBE" w:rsidP="00CB0EBE">
      <w:pPr>
        <w:spacing w:line="300" w:lineRule="auto"/>
        <w:rPr>
          <w:sz w:val="23"/>
          <w:szCs w:val="23"/>
        </w:rPr>
      </w:pPr>
      <w:r w:rsidRPr="003B7224">
        <w:rPr>
          <w:sz w:val="23"/>
          <w:szCs w:val="23"/>
        </w:rPr>
        <w:t>A. Phylogenetic tree of the angiosperms included in the cultivation experiments.</w:t>
      </w:r>
    </w:p>
    <w:p w14:paraId="3907D4AC" w14:textId="77777777" w:rsidR="00CB0EBE" w:rsidRPr="003B7224" w:rsidRDefault="00CB0EBE" w:rsidP="00CB0EBE">
      <w:pPr>
        <w:spacing w:line="300" w:lineRule="auto"/>
        <w:rPr>
          <w:sz w:val="23"/>
          <w:szCs w:val="23"/>
        </w:rPr>
      </w:pPr>
      <w:r w:rsidRPr="003B7224">
        <w:rPr>
          <w:sz w:val="23"/>
          <w:szCs w:val="23"/>
        </w:rPr>
        <w:t xml:space="preserve">B–Y. Growth performance of the 25 cultivated species: </w:t>
      </w:r>
      <w:r w:rsidRPr="003B7224">
        <w:rPr>
          <w:i/>
          <w:iCs/>
          <w:sz w:val="23"/>
          <w:szCs w:val="23"/>
        </w:rPr>
        <w:t>Lactuca sativa</w:t>
      </w:r>
      <w:r w:rsidRPr="003B7224">
        <w:rPr>
          <w:sz w:val="23"/>
          <w:szCs w:val="23"/>
        </w:rPr>
        <w:t xml:space="preserve"> (B), </w:t>
      </w:r>
      <w:r w:rsidRPr="003B7224">
        <w:rPr>
          <w:i/>
          <w:iCs/>
          <w:sz w:val="23"/>
          <w:szCs w:val="23"/>
        </w:rPr>
        <w:t>Sedum hispanicum</w:t>
      </w:r>
      <w:r w:rsidRPr="003B7224">
        <w:rPr>
          <w:sz w:val="23"/>
          <w:szCs w:val="23"/>
        </w:rPr>
        <w:t xml:space="preserve"> (C), </w:t>
      </w:r>
      <w:r w:rsidRPr="003B7224">
        <w:rPr>
          <w:i/>
          <w:iCs/>
          <w:sz w:val="23"/>
          <w:szCs w:val="23"/>
        </w:rPr>
        <w:t>Coriandrum sativum</w:t>
      </w:r>
      <w:r w:rsidRPr="003B7224">
        <w:rPr>
          <w:sz w:val="23"/>
          <w:szCs w:val="23"/>
        </w:rPr>
        <w:t xml:space="preserve"> (D), </w:t>
      </w:r>
      <w:r w:rsidRPr="003B7224">
        <w:rPr>
          <w:i/>
          <w:iCs/>
          <w:sz w:val="23"/>
          <w:szCs w:val="23"/>
        </w:rPr>
        <w:t>Plantago depressa</w:t>
      </w:r>
      <w:r w:rsidRPr="003B7224">
        <w:rPr>
          <w:sz w:val="23"/>
          <w:szCs w:val="23"/>
        </w:rPr>
        <w:t xml:space="preserve"> (E), </w:t>
      </w:r>
      <w:r w:rsidRPr="003B7224">
        <w:rPr>
          <w:i/>
          <w:iCs/>
          <w:sz w:val="23"/>
          <w:szCs w:val="23"/>
        </w:rPr>
        <w:t>Citrullus lanatus</w:t>
      </w:r>
      <w:r w:rsidRPr="003B7224">
        <w:rPr>
          <w:sz w:val="23"/>
          <w:szCs w:val="23"/>
        </w:rPr>
        <w:t xml:space="preserve"> (F), </w:t>
      </w:r>
      <w:r w:rsidRPr="003B7224">
        <w:rPr>
          <w:i/>
          <w:iCs/>
          <w:sz w:val="23"/>
          <w:szCs w:val="23"/>
        </w:rPr>
        <w:t>Cucumis sativus</w:t>
      </w:r>
      <w:r w:rsidRPr="003B7224">
        <w:rPr>
          <w:sz w:val="23"/>
          <w:szCs w:val="23"/>
        </w:rPr>
        <w:t xml:space="preserve"> (G), </w:t>
      </w:r>
      <w:r w:rsidRPr="003B7224">
        <w:rPr>
          <w:i/>
          <w:iCs/>
          <w:sz w:val="23"/>
          <w:szCs w:val="23"/>
        </w:rPr>
        <w:t>Tillandsia ionantha</w:t>
      </w:r>
      <w:r w:rsidRPr="003B7224">
        <w:rPr>
          <w:sz w:val="23"/>
          <w:szCs w:val="23"/>
        </w:rPr>
        <w:t xml:space="preserve"> (H), </w:t>
      </w:r>
      <w:r w:rsidRPr="003B7224">
        <w:rPr>
          <w:i/>
          <w:iCs/>
          <w:sz w:val="23"/>
          <w:szCs w:val="23"/>
        </w:rPr>
        <w:t>Oryza sativa</w:t>
      </w:r>
      <w:r w:rsidRPr="003B7224">
        <w:rPr>
          <w:sz w:val="23"/>
          <w:szCs w:val="23"/>
        </w:rPr>
        <w:t xml:space="preserve"> (I), </w:t>
      </w:r>
      <w:r w:rsidRPr="003B7224">
        <w:rPr>
          <w:i/>
          <w:iCs/>
          <w:sz w:val="23"/>
          <w:szCs w:val="23"/>
        </w:rPr>
        <w:t>Zea mays</w:t>
      </w:r>
      <w:r w:rsidRPr="003B7224">
        <w:rPr>
          <w:sz w:val="23"/>
          <w:szCs w:val="23"/>
        </w:rPr>
        <w:t xml:space="preserve"> (J), </w:t>
      </w:r>
      <w:r w:rsidRPr="003B7224">
        <w:rPr>
          <w:i/>
          <w:iCs/>
          <w:sz w:val="23"/>
          <w:szCs w:val="23"/>
        </w:rPr>
        <w:t>Fragaria × ananassa</w:t>
      </w:r>
      <w:r w:rsidRPr="003B7224">
        <w:rPr>
          <w:sz w:val="23"/>
          <w:szCs w:val="23"/>
        </w:rPr>
        <w:t xml:space="preserve"> (K), </w:t>
      </w:r>
      <w:r w:rsidRPr="003B7224">
        <w:rPr>
          <w:i/>
          <w:iCs/>
          <w:sz w:val="23"/>
          <w:szCs w:val="23"/>
        </w:rPr>
        <w:t>Malus × robusta</w:t>
      </w:r>
      <w:r w:rsidRPr="003B7224">
        <w:rPr>
          <w:sz w:val="23"/>
          <w:szCs w:val="23"/>
        </w:rPr>
        <w:t xml:space="preserve"> (L), </w:t>
      </w:r>
      <w:r w:rsidRPr="003B7224">
        <w:rPr>
          <w:i/>
          <w:iCs/>
          <w:sz w:val="23"/>
          <w:szCs w:val="23"/>
        </w:rPr>
        <w:t>Malus domestica</w:t>
      </w:r>
      <w:r w:rsidRPr="003B7224">
        <w:rPr>
          <w:sz w:val="23"/>
          <w:szCs w:val="23"/>
        </w:rPr>
        <w:t xml:space="preserve"> (M), </w:t>
      </w:r>
      <w:r w:rsidRPr="003B7224">
        <w:rPr>
          <w:i/>
          <w:iCs/>
          <w:sz w:val="23"/>
          <w:szCs w:val="23"/>
        </w:rPr>
        <w:t>Nicotiana benthamiana</w:t>
      </w:r>
      <w:r w:rsidRPr="003B7224">
        <w:rPr>
          <w:sz w:val="23"/>
          <w:szCs w:val="23"/>
        </w:rPr>
        <w:t xml:space="preserve"> (N), </w:t>
      </w:r>
      <w:r w:rsidRPr="003B7224">
        <w:rPr>
          <w:i/>
          <w:iCs/>
          <w:sz w:val="23"/>
          <w:szCs w:val="23"/>
        </w:rPr>
        <w:t>Lycium ruthenicum</w:t>
      </w:r>
      <w:r w:rsidRPr="003B7224">
        <w:rPr>
          <w:sz w:val="23"/>
          <w:szCs w:val="23"/>
        </w:rPr>
        <w:t xml:space="preserve"> (O), </w:t>
      </w:r>
      <w:r w:rsidRPr="003B7224">
        <w:rPr>
          <w:i/>
          <w:iCs/>
          <w:sz w:val="23"/>
          <w:szCs w:val="23"/>
        </w:rPr>
        <w:t>Solanum lycopersicum</w:t>
      </w:r>
      <w:r w:rsidRPr="003B7224">
        <w:rPr>
          <w:sz w:val="23"/>
          <w:szCs w:val="23"/>
        </w:rPr>
        <w:t xml:space="preserve"> (P), </w:t>
      </w:r>
      <w:r w:rsidRPr="003B7224">
        <w:rPr>
          <w:i/>
          <w:iCs/>
          <w:sz w:val="23"/>
          <w:szCs w:val="23"/>
        </w:rPr>
        <w:t>Solanum tuberosum</w:t>
      </w:r>
      <w:r w:rsidRPr="003B7224">
        <w:rPr>
          <w:sz w:val="23"/>
          <w:szCs w:val="23"/>
        </w:rPr>
        <w:t xml:space="preserve"> (Q),</w:t>
      </w:r>
      <w:r w:rsidRPr="003B7224">
        <w:rPr>
          <w:i/>
          <w:iCs/>
          <w:sz w:val="23"/>
          <w:szCs w:val="23"/>
        </w:rPr>
        <w:t xml:space="preserve"> Arabidopsis thaliana</w:t>
      </w:r>
      <w:r w:rsidRPr="003B7224">
        <w:rPr>
          <w:sz w:val="23"/>
          <w:szCs w:val="23"/>
        </w:rPr>
        <w:t xml:space="preserve"> (R), </w:t>
      </w:r>
      <w:r w:rsidRPr="003B7224">
        <w:rPr>
          <w:i/>
          <w:iCs/>
          <w:sz w:val="23"/>
          <w:szCs w:val="23"/>
        </w:rPr>
        <w:t>Raphanus sativus</w:t>
      </w:r>
      <w:r w:rsidRPr="003B7224">
        <w:rPr>
          <w:sz w:val="23"/>
          <w:szCs w:val="23"/>
        </w:rPr>
        <w:t xml:space="preserve"> (S), </w:t>
      </w:r>
      <w:r w:rsidRPr="003B7224">
        <w:rPr>
          <w:i/>
          <w:iCs/>
          <w:sz w:val="23"/>
          <w:szCs w:val="23"/>
        </w:rPr>
        <w:t>Nasturtium officinale</w:t>
      </w:r>
      <w:r w:rsidRPr="003B7224">
        <w:rPr>
          <w:sz w:val="23"/>
          <w:szCs w:val="23"/>
        </w:rPr>
        <w:t xml:space="preserve"> (T), </w:t>
      </w:r>
      <w:r w:rsidRPr="003B7224">
        <w:rPr>
          <w:i/>
          <w:iCs/>
          <w:sz w:val="23"/>
          <w:szCs w:val="23"/>
        </w:rPr>
        <w:t>Eruca sativa</w:t>
      </w:r>
      <w:r w:rsidRPr="003B7224">
        <w:rPr>
          <w:sz w:val="23"/>
          <w:szCs w:val="23"/>
        </w:rPr>
        <w:t xml:space="preserve"> (U), </w:t>
      </w:r>
      <w:r w:rsidRPr="003B7224">
        <w:rPr>
          <w:i/>
          <w:iCs/>
          <w:sz w:val="23"/>
          <w:szCs w:val="23"/>
        </w:rPr>
        <w:t>Isatis indigotica</w:t>
      </w:r>
      <w:r w:rsidRPr="003B7224">
        <w:rPr>
          <w:sz w:val="23"/>
          <w:szCs w:val="23"/>
        </w:rPr>
        <w:t xml:space="preserve"> (V), </w:t>
      </w:r>
      <w:r w:rsidRPr="003B7224">
        <w:rPr>
          <w:i/>
          <w:iCs/>
          <w:sz w:val="23"/>
          <w:szCs w:val="23"/>
        </w:rPr>
        <w:t>Brassica rapa</w:t>
      </w:r>
      <w:r w:rsidRPr="003B7224">
        <w:rPr>
          <w:sz w:val="23"/>
          <w:szCs w:val="23"/>
        </w:rPr>
        <w:t xml:space="preserve"> (W), </w:t>
      </w:r>
      <w:r w:rsidRPr="003B7224">
        <w:rPr>
          <w:i/>
          <w:iCs/>
          <w:sz w:val="23"/>
          <w:szCs w:val="23"/>
        </w:rPr>
        <w:t>Brassica oleracea</w:t>
      </w:r>
      <w:r w:rsidRPr="003B7224">
        <w:rPr>
          <w:sz w:val="23"/>
          <w:szCs w:val="23"/>
        </w:rPr>
        <w:t xml:space="preserve"> (X), and </w:t>
      </w:r>
      <w:r w:rsidRPr="003B7224">
        <w:rPr>
          <w:i/>
          <w:iCs/>
          <w:sz w:val="23"/>
          <w:szCs w:val="23"/>
        </w:rPr>
        <w:t>Brassica juncea</w:t>
      </w:r>
      <w:r w:rsidRPr="003B7224">
        <w:rPr>
          <w:sz w:val="23"/>
          <w:szCs w:val="23"/>
        </w:rPr>
        <w:t xml:space="preserve"> (Y). Colors represent taxonomic families.</w:t>
      </w:r>
    </w:p>
    <w:p w14:paraId="7C76A5AB" w14:textId="77777777" w:rsidR="00CB0EBE" w:rsidRPr="003B7224" w:rsidRDefault="00CB0EBE" w:rsidP="00CB0EBE">
      <w:pPr>
        <w:spacing w:line="300" w:lineRule="auto"/>
        <w:rPr>
          <w:sz w:val="23"/>
          <w:szCs w:val="23"/>
        </w:rPr>
      </w:pPr>
      <w:r w:rsidRPr="003B7224">
        <w:rPr>
          <w:sz w:val="23"/>
          <w:szCs w:val="23"/>
        </w:rPr>
        <w:t>Z, AA. Shoot fresh weight of plants grown in Beijing (2024; Z) and Zhangjiakou (2025; AA) growth chambers.</w:t>
      </w:r>
    </w:p>
    <w:p w14:paraId="6EBE937E" w14:textId="77777777" w:rsidR="00CB0EBE" w:rsidRPr="003B7224" w:rsidRDefault="00CB0EBE" w:rsidP="00CB0EBE">
      <w:pPr>
        <w:spacing w:line="300" w:lineRule="auto"/>
        <w:rPr>
          <w:sz w:val="23"/>
          <w:szCs w:val="23"/>
        </w:rPr>
      </w:pPr>
      <w:r w:rsidRPr="003B7224">
        <w:rPr>
          <w:sz w:val="23"/>
          <w:szCs w:val="23"/>
        </w:rPr>
        <w:t>AB, AC. Relative growth rate (RGR) of biomass (DS2 vs. CK) for all cultivated plants in Beijing (2024; AB) and Zhangjiakou (2025; AC) growth chambers.</w:t>
      </w:r>
    </w:p>
    <w:p w14:paraId="202D4B13" w14:textId="77777777" w:rsidR="00CB0EBE" w:rsidRPr="003B7224" w:rsidRDefault="00CB0EBE" w:rsidP="00CB0EBE">
      <w:pPr>
        <w:spacing w:line="300" w:lineRule="auto"/>
        <w:rPr>
          <w:sz w:val="23"/>
          <w:szCs w:val="23"/>
        </w:rPr>
      </w:pPr>
      <w:r w:rsidRPr="003B7224">
        <w:rPr>
          <w:sz w:val="23"/>
          <w:szCs w:val="23"/>
        </w:rPr>
        <w:t>CK: 0g/L D-sorbitol, DS2: 2g/L D-sorbitol, PPFD: 300μmol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sz w:val="23"/>
          <w:szCs w:val="23"/>
        </w:rPr>
        <w:t>.</w:t>
      </w:r>
      <w:r>
        <w:rPr>
          <w:rFonts w:hint="eastAsia"/>
          <w:sz w:val="23"/>
          <w:szCs w:val="23"/>
        </w:rPr>
        <w:t xml:space="preserve"> </w:t>
      </w:r>
      <w:r w:rsidRPr="003B7224">
        <w:rPr>
          <w:rFonts w:eastAsia="宋体"/>
          <w:sz w:val="23"/>
          <w:szCs w:val="23"/>
        </w:rPr>
        <w:t xml:space="preserve">In B-AC, </w:t>
      </w:r>
      <w:r w:rsidRPr="00626AE6">
        <w:rPr>
          <w:rFonts w:eastAsia="宋体"/>
          <w:i/>
          <w:iCs/>
          <w:sz w:val="23"/>
          <w:szCs w:val="23"/>
        </w:rPr>
        <w:t>n</w:t>
      </w:r>
      <w:r w:rsidRPr="003B7224">
        <w:rPr>
          <w:rFonts w:eastAsia="宋体"/>
          <w:sz w:val="23"/>
          <w:szCs w:val="23"/>
        </w:rPr>
        <w:t xml:space="preserve"> = 18 biological replicates. </w:t>
      </w:r>
      <w:r w:rsidRPr="003B7224">
        <w:rPr>
          <w:sz w:val="23"/>
          <w:szCs w:val="23"/>
        </w:rPr>
        <w:t xml:space="preserve">In J-K, </w:t>
      </w:r>
      <w:r w:rsidRPr="003B7224">
        <w:rPr>
          <w:rFonts w:eastAsia="宋体"/>
          <w:sz w:val="23"/>
          <w:szCs w:val="23"/>
        </w:rPr>
        <w:t xml:space="preserve">a two-tailed Student’s t-test was used to determine </w:t>
      </w:r>
      <w:r w:rsidRPr="003B7224">
        <w:rPr>
          <w:rFonts w:eastAsia="宋体"/>
          <w:i/>
          <w:iCs/>
          <w:sz w:val="23"/>
          <w:szCs w:val="23"/>
        </w:rPr>
        <w:t>p</w:t>
      </w:r>
      <w:r w:rsidRPr="003B7224">
        <w:rPr>
          <w:rFonts w:eastAsia="宋体"/>
          <w:sz w:val="23"/>
          <w:szCs w:val="23"/>
        </w:rPr>
        <w:t xml:space="preserve"> values. *</w:t>
      </w:r>
      <w:r w:rsidRPr="003B7224">
        <w:rPr>
          <w:rFonts w:eastAsia="宋体"/>
          <w:i/>
          <w:iCs/>
          <w:sz w:val="23"/>
          <w:szCs w:val="23"/>
        </w:rPr>
        <w:t xml:space="preserve"> p</w:t>
      </w:r>
      <w:r w:rsidRPr="003B7224">
        <w:rPr>
          <w:rFonts w:eastAsia="宋体"/>
          <w:sz w:val="23"/>
          <w:szCs w:val="23"/>
        </w:rPr>
        <w:t xml:space="preserve"> &lt; 0.05, **</w:t>
      </w:r>
      <w:r w:rsidRPr="003B7224">
        <w:rPr>
          <w:rFonts w:eastAsia="宋体"/>
          <w:i/>
          <w:iCs/>
          <w:sz w:val="23"/>
          <w:szCs w:val="23"/>
        </w:rPr>
        <w:t xml:space="preserve"> p</w:t>
      </w:r>
      <w:r w:rsidRPr="003B7224">
        <w:rPr>
          <w:rFonts w:eastAsia="宋体"/>
          <w:sz w:val="23"/>
          <w:szCs w:val="23"/>
        </w:rPr>
        <w:t xml:space="preserve"> &lt; 0.01, ***</w:t>
      </w:r>
      <w:r w:rsidRPr="003B7224">
        <w:rPr>
          <w:rFonts w:eastAsia="宋体"/>
          <w:i/>
          <w:iCs/>
          <w:sz w:val="23"/>
          <w:szCs w:val="23"/>
        </w:rPr>
        <w:t>p</w:t>
      </w:r>
      <w:r w:rsidRPr="003B7224">
        <w:rPr>
          <w:rFonts w:eastAsia="宋体"/>
          <w:sz w:val="23"/>
          <w:szCs w:val="23"/>
        </w:rPr>
        <w:t xml:space="preserve"> &lt; 0.001. Values are presented as the mean ± SD.</w:t>
      </w:r>
      <w:r w:rsidRPr="003B7224">
        <w:rPr>
          <w:sz w:val="23"/>
          <w:szCs w:val="23"/>
        </w:rPr>
        <w:br w:type="page"/>
      </w:r>
    </w:p>
    <w:p w14:paraId="04A5ECF3"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682C6C7E" wp14:editId="0B4B0D32">
            <wp:extent cx="5271135" cy="3357880"/>
            <wp:effectExtent l="0" t="0" r="5715" b="0"/>
            <wp:docPr id="19449777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1135" cy="3357880"/>
                    </a:xfrm>
                    <a:prstGeom prst="rect">
                      <a:avLst/>
                    </a:prstGeom>
                    <a:noFill/>
                    <a:ln>
                      <a:noFill/>
                    </a:ln>
                  </pic:spPr>
                </pic:pic>
              </a:graphicData>
            </a:graphic>
          </wp:inline>
        </w:drawing>
      </w:r>
    </w:p>
    <w:p w14:paraId="6C7FDFF8" w14:textId="77777777" w:rsidR="00CB0EBE" w:rsidRPr="00E33A73" w:rsidRDefault="00CB0EBE" w:rsidP="00CB0EBE">
      <w:pPr>
        <w:pStyle w:val="SMHeading"/>
        <w:spacing w:before="0" w:after="0" w:line="300" w:lineRule="auto"/>
      </w:pPr>
      <w:bookmarkStart w:id="35" w:name="_Toc216766952"/>
      <w:r>
        <w:t>Extended Data Fig.</w:t>
      </w:r>
      <w:r>
        <w:rPr>
          <w:rFonts w:hint="eastAsia"/>
          <w:lang w:eastAsia="zh-CN"/>
        </w:rPr>
        <w:t xml:space="preserve"> </w:t>
      </w:r>
      <w:r w:rsidRPr="00E33A73">
        <w:t>22 Light intensity and D-sorbitol -induced regulation of growth and energy metabolism across plant species</w:t>
      </w:r>
      <w:bookmarkEnd w:id="35"/>
    </w:p>
    <w:p w14:paraId="00C0280E" w14:textId="77777777" w:rsidR="00CB0EBE" w:rsidRPr="003B7224" w:rsidRDefault="00CB0EBE" w:rsidP="00CB0EBE">
      <w:pPr>
        <w:spacing w:line="300" w:lineRule="auto"/>
        <w:rPr>
          <w:rFonts w:eastAsia="宋体"/>
          <w:sz w:val="23"/>
          <w:szCs w:val="23"/>
        </w:rPr>
      </w:pPr>
      <w:r w:rsidRPr="003B7224">
        <w:rPr>
          <w:rFonts w:eastAsia="宋体"/>
          <w:sz w:val="23"/>
          <w:szCs w:val="23"/>
        </w:rPr>
        <w:t>A. Phylogenetic tree of the experimental plant species.</w:t>
      </w:r>
    </w:p>
    <w:p w14:paraId="66CD5768" w14:textId="77777777" w:rsidR="00CB0EBE" w:rsidRPr="003B7224" w:rsidRDefault="00CB0EBE" w:rsidP="00CB0EBE">
      <w:pPr>
        <w:spacing w:line="300" w:lineRule="auto"/>
        <w:rPr>
          <w:rFonts w:eastAsia="宋体"/>
          <w:sz w:val="23"/>
          <w:szCs w:val="23"/>
        </w:rPr>
      </w:pPr>
      <w:r w:rsidRPr="003B7224">
        <w:rPr>
          <w:rFonts w:eastAsia="宋体"/>
          <w:sz w:val="23"/>
          <w:szCs w:val="23"/>
        </w:rPr>
        <w:t xml:space="preserve">B–M. Physiological measurements of four species under Beijing growth chamber conditions, May 2025: </w:t>
      </w:r>
      <w:r w:rsidRPr="003B7224">
        <w:rPr>
          <w:rFonts w:eastAsia="宋体"/>
          <w:i/>
          <w:iCs/>
          <w:sz w:val="23"/>
          <w:szCs w:val="23"/>
        </w:rPr>
        <w:t>Lactuca sativa</w:t>
      </w:r>
      <w:r w:rsidRPr="003B7224">
        <w:rPr>
          <w:rFonts w:eastAsia="宋体"/>
          <w:sz w:val="23"/>
          <w:szCs w:val="23"/>
        </w:rPr>
        <w:t xml:space="preserve">: shoot fresh weight (B), D-sorbitol content in leaves (C), starch content in leaves (D). </w:t>
      </w:r>
      <w:r w:rsidRPr="003B7224">
        <w:rPr>
          <w:rFonts w:eastAsia="宋体"/>
          <w:i/>
          <w:iCs/>
          <w:sz w:val="23"/>
          <w:szCs w:val="23"/>
        </w:rPr>
        <w:t>Sedum hispanicum</w:t>
      </w:r>
      <w:r w:rsidRPr="003B7224">
        <w:rPr>
          <w:rFonts w:eastAsia="宋体"/>
          <w:sz w:val="23"/>
          <w:szCs w:val="23"/>
        </w:rPr>
        <w:t xml:space="preserve">: shoot fresh weight (E), D-sorbitol content in leaves (F), starch content in leaves (G). </w:t>
      </w:r>
      <w:r w:rsidRPr="003B7224">
        <w:rPr>
          <w:rFonts w:eastAsia="宋体"/>
          <w:i/>
          <w:iCs/>
          <w:sz w:val="23"/>
          <w:szCs w:val="23"/>
        </w:rPr>
        <w:t>Brassica rapa</w:t>
      </w:r>
      <w:r w:rsidRPr="003B7224">
        <w:rPr>
          <w:rFonts w:eastAsia="宋体"/>
          <w:sz w:val="23"/>
          <w:szCs w:val="23"/>
        </w:rPr>
        <w:t xml:space="preserve">: shoot fresh weight (H), D-sorbitol content in leaves (I), starch content in leaves (J). </w:t>
      </w:r>
      <w:r w:rsidRPr="003B7224">
        <w:rPr>
          <w:rFonts w:eastAsia="宋体"/>
          <w:i/>
          <w:iCs/>
          <w:sz w:val="23"/>
          <w:szCs w:val="23"/>
        </w:rPr>
        <w:t>Brassica oleracea</w:t>
      </w:r>
      <w:r w:rsidRPr="003B7224">
        <w:rPr>
          <w:rFonts w:eastAsia="宋体"/>
          <w:sz w:val="23"/>
          <w:szCs w:val="23"/>
        </w:rPr>
        <w:t>: shoot fresh weight (K),</w:t>
      </w:r>
      <w:r w:rsidRPr="003B7224">
        <w:rPr>
          <w:sz w:val="23"/>
          <w:szCs w:val="23"/>
        </w:rPr>
        <w:t xml:space="preserve"> </w:t>
      </w:r>
      <w:r w:rsidRPr="003B7224">
        <w:rPr>
          <w:rFonts w:eastAsia="宋体"/>
          <w:sz w:val="23"/>
          <w:szCs w:val="23"/>
        </w:rPr>
        <w:t>D-sorbitol content in leaves (L), starch content in leaves (M).</w:t>
      </w:r>
    </w:p>
    <w:p w14:paraId="6E9F2512" w14:textId="77777777" w:rsidR="00CB0EBE" w:rsidRPr="003B7224" w:rsidRDefault="00CB0EBE" w:rsidP="00CB0EBE">
      <w:pPr>
        <w:spacing w:line="300" w:lineRule="auto"/>
        <w:rPr>
          <w:rFonts w:eastAsia="宋体"/>
          <w:sz w:val="23"/>
          <w:szCs w:val="23"/>
        </w:rPr>
      </w:pPr>
      <w:r w:rsidRPr="003B7224">
        <w:rPr>
          <w:rFonts w:eastAsia="宋体"/>
          <w:sz w:val="23"/>
          <w:szCs w:val="23"/>
        </w:rPr>
        <w:t>CK:</w:t>
      </w:r>
      <w:r w:rsidRPr="003B7224">
        <w:rPr>
          <w:sz w:val="23"/>
          <w:szCs w:val="23"/>
        </w:rPr>
        <w:t xml:space="preserve"> </w:t>
      </w:r>
      <w:r w:rsidRPr="003B7224">
        <w:rPr>
          <w:rFonts w:eastAsia="宋体"/>
          <w:sz w:val="23"/>
          <w:szCs w:val="23"/>
        </w:rPr>
        <w:t xml:space="preserve">0g/L D-sorbitol + </w:t>
      </w:r>
      <w:r w:rsidRPr="003B7224">
        <w:rPr>
          <w:sz w:val="23"/>
          <w:szCs w:val="23"/>
        </w:rPr>
        <w:t>PPFD: 300μmol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rFonts w:eastAsia="宋体"/>
          <w:sz w:val="23"/>
          <w:szCs w:val="23"/>
        </w:rPr>
        <w:t>, DS2: 2g/L D-sorbitol +</w:t>
      </w:r>
      <w:r w:rsidRPr="003B7224">
        <w:rPr>
          <w:sz w:val="23"/>
          <w:szCs w:val="23"/>
        </w:rPr>
        <w:t xml:space="preserve"> PPFD: 300μmol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rFonts w:eastAsia="宋体"/>
          <w:sz w:val="23"/>
          <w:szCs w:val="23"/>
        </w:rPr>
        <w:t>, HCK:</w:t>
      </w:r>
      <w:r w:rsidRPr="003B7224">
        <w:rPr>
          <w:sz w:val="23"/>
          <w:szCs w:val="23"/>
        </w:rPr>
        <w:t xml:space="preserve"> </w:t>
      </w:r>
      <w:r w:rsidRPr="003B7224">
        <w:rPr>
          <w:rFonts w:eastAsia="宋体"/>
          <w:sz w:val="23"/>
          <w:szCs w:val="23"/>
        </w:rPr>
        <w:t>0g/L D-sorbitol +</w:t>
      </w:r>
      <w:r w:rsidRPr="003B7224">
        <w:rPr>
          <w:sz w:val="23"/>
          <w:szCs w:val="23"/>
        </w:rPr>
        <w:t xml:space="preserve"> PPFD: 150μmol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rFonts w:eastAsia="宋体"/>
          <w:sz w:val="23"/>
          <w:szCs w:val="23"/>
        </w:rPr>
        <w:t>, HDS2: 2g/L D-sorbitol +</w:t>
      </w:r>
      <w:r w:rsidRPr="003B7224">
        <w:rPr>
          <w:sz w:val="23"/>
          <w:szCs w:val="23"/>
        </w:rPr>
        <w:t xml:space="preserve"> PPFD: 150μmol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rFonts w:eastAsia="宋体"/>
          <w:sz w:val="23"/>
          <w:szCs w:val="23"/>
        </w:rPr>
        <w:t>.</w:t>
      </w:r>
      <w:r>
        <w:rPr>
          <w:rFonts w:eastAsia="宋体" w:hint="eastAsia"/>
          <w:sz w:val="23"/>
          <w:szCs w:val="23"/>
        </w:rPr>
        <w:t xml:space="preserve"> </w:t>
      </w:r>
      <w:r w:rsidRPr="003B7224">
        <w:rPr>
          <w:rFonts w:eastAsia="宋体"/>
          <w:sz w:val="23"/>
          <w:szCs w:val="23"/>
        </w:rPr>
        <w:t xml:space="preserve">Colors indicate the respective taxonomic families of each species. In B, E, H, K, </w:t>
      </w:r>
      <w:r w:rsidRPr="00626AE6">
        <w:rPr>
          <w:rFonts w:eastAsia="宋体"/>
          <w:i/>
          <w:iCs/>
          <w:sz w:val="23"/>
          <w:szCs w:val="23"/>
        </w:rPr>
        <w:t>n</w:t>
      </w:r>
      <w:r w:rsidRPr="003B7224">
        <w:rPr>
          <w:rFonts w:eastAsia="宋体"/>
          <w:sz w:val="23"/>
          <w:szCs w:val="23"/>
        </w:rPr>
        <w:t xml:space="preserve"> = 18 biological replicates. In C, D, F, G, I, J, L, M, </w:t>
      </w:r>
      <w:r w:rsidRPr="00626AE6">
        <w:rPr>
          <w:rFonts w:eastAsia="宋体"/>
          <w:i/>
          <w:iCs/>
          <w:sz w:val="23"/>
          <w:szCs w:val="23"/>
        </w:rPr>
        <w:t xml:space="preserve">n </w:t>
      </w:r>
      <w:r w:rsidRPr="003B7224">
        <w:rPr>
          <w:rFonts w:eastAsia="宋体"/>
          <w:sz w:val="23"/>
          <w:szCs w:val="23"/>
        </w:rPr>
        <w:t xml:space="preserve">= 3 biological replicates. In B - Q, a two-tailed Student’s t-test was used to determine </w:t>
      </w:r>
      <w:r w:rsidRPr="003B7224">
        <w:rPr>
          <w:rFonts w:eastAsia="宋体"/>
          <w:i/>
          <w:iCs/>
          <w:sz w:val="23"/>
          <w:szCs w:val="23"/>
        </w:rPr>
        <w:t>p</w:t>
      </w:r>
      <w:r w:rsidRPr="003B7224">
        <w:rPr>
          <w:rFonts w:eastAsia="宋体"/>
          <w:sz w:val="23"/>
          <w:szCs w:val="23"/>
        </w:rPr>
        <w:t xml:space="preserve"> values. *</w:t>
      </w:r>
      <w:r w:rsidRPr="003B7224">
        <w:rPr>
          <w:rFonts w:eastAsia="宋体"/>
          <w:i/>
          <w:iCs/>
          <w:sz w:val="23"/>
          <w:szCs w:val="23"/>
        </w:rPr>
        <w:t xml:space="preserve"> p</w:t>
      </w:r>
      <w:r w:rsidRPr="003B7224">
        <w:rPr>
          <w:rFonts w:eastAsia="宋体"/>
          <w:sz w:val="23"/>
          <w:szCs w:val="23"/>
        </w:rPr>
        <w:t xml:space="preserve"> &lt; 0.05, **</w:t>
      </w:r>
      <w:r w:rsidRPr="003B7224">
        <w:rPr>
          <w:rFonts w:eastAsia="宋体"/>
          <w:i/>
          <w:iCs/>
          <w:sz w:val="23"/>
          <w:szCs w:val="23"/>
        </w:rPr>
        <w:t xml:space="preserve"> p</w:t>
      </w:r>
      <w:r w:rsidRPr="003B7224">
        <w:rPr>
          <w:rFonts w:eastAsia="宋体"/>
          <w:sz w:val="23"/>
          <w:szCs w:val="23"/>
        </w:rPr>
        <w:t xml:space="preserve"> &lt; 0.01, ***</w:t>
      </w:r>
      <w:r w:rsidRPr="003B7224">
        <w:rPr>
          <w:rFonts w:eastAsia="宋体"/>
          <w:i/>
          <w:iCs/>
          <w:sz w:val="23"/>
          <w:szCs w:val="23"/>
        </w:rPr>
        <w:t>p</w:t>
      </w:r>
      <w:r w:rsidRPr="003B7224">
        <w:rPr>
          <w:rFonts w:eastAsia="宋体"/>
          <w:sz w:val="23"/>
          <w:szCs w:val="23"/>
        </w:rPr>
        <w:t xml:space="preserve"> &lt; 0.001. Values are presented as the mean ± SD.</w:t>
      </w:r>
      <w:r w:rsidRPr="003B7224">
        <w:rPr>
          <w:rFonts w:eastAsia="宋体"/>
          <w:sz w:val="23"/>
          <w:szCs w:val="23"/>
        </w:rPr>
        <w:br w:type="page"/>
      </w:r>
    </w:p>
    <w:p w14:paraId="6A5E053E"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5945EE76" wp14:editId="6ADA00A7">
            <wp:extent cx="5189220" cy="4116106"/>
            <wp:effectExtent l="0" t="0" r="0" b="0"/>
            <wp:docPr id="5338421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90080" cy="4116788"/>
                    </a:xfrm>
                    <a:prstGeom prst="rect">
                      <a:avLst/>
                    </a:prstGeom>
                    <a:noFill/>
                    <a:ln>
                      <a:noFill/>
                    </a:ln>
                  </pic:spPr>
                </pic:pic>
              </a:graphicData>
            </a:graphic>
          </wp:inline>
        </w:drawing>
      </w:r>
    </w:p>
    <w:p w14:paraId="33FC1655" w14:textId="77777777" w:rsidR="00CB0EBE" w:rsidRPr="009542DB" w:rsidRDefault="00CB0EBE" w:rsidP="00CB0EBE">
      <w:pPr>
        <w:pStyle w:val="SMHeading"/>
        <w:spacing w:before="0" w:after="0" w:line="300" w:lineRule="auto"/>
      </w:pPr>
      <w:bookmarkStart w:id="36" w:name="_Toc216766953"/>
      <w:r>
        <w:t>Extended Data Fig.</w:t>
      </w:r>
      <w:r>
        <w:rPr>
          <w:rFonts w:hint="eastAsia"/>
          <w:lang w:eastAsia="zh-CN"/>
        </w:rPr>
        <w:t xml:space="preserve"> </w:t>
      </w:r>
      <w:r w:rsidRPr="009542DB">
        <w:t>23 Light intensity and D-sorbitol has no significant effect on the growth of multiple model plants</w:t>
      </w:r>
      <w:bookmarkEnd w:id="36"/>
    </w:p>
    <w:p w14:paraId="68F1898D" w14:textId="77777777" w:rsidR="00CB0EBE" w:rsidRPr="003B7224" w:rsidRDefault="00CB0EBE" w:rsidP="00CB0EBE">
      <w:pPr>
        <w:spacing w:line="300" w:lineRule="auto"/>
        <w:rPr>
          <w:rFonts w:eastAsia="宋体"/>
          <w:sz w:val="23"/>
          <w:szCs w:val="23"/>
        </w:rPr>
      </w:pPr>
      <w:r w:rsidRPr="003B7224">
        <w:rPr>
          <w:rFonts w:eastAsia="宋体"/>
          <w:sz w:val="23"/>
          <w:szCs w:val="23"/>
        </w:rPr>
        <w:t>A. Phylogenetic tree of the experimental plants.</w:t>
      </w:r>
    </w:p>
    <w:p w14:paraId="1536DBCA" w14:textId="77777777" w:rsidR="00CB0EBE" w:rsidRPr="003B7224" w:rsidRDefault="00CB0EBE" w:rsidP="00CB0EBE">
      <w:pPr>
        <w:spacing w:line="300" w:lineRule="auto"/>
        <w:rPr>
          <w:rFonts w:eastAsia="宋体"/>
          <w:sz w:val="23"/>
          <w:szCs w:val="23"/>
        </w:rPr>
      </w:pPr>
      <w:r w:rsidRPr="003B7224">
        <w:rPr>
          <w:rFonts w:eastAsia="宋体"/>
          <w:sz w:val="23"/>
          <w:szCs w:val="23"/>
        </w:rPr>
        <w:t xml:space="preserve">B–P. Growth analysis of five species across two experimental conditions: </w:t>
      </w:r>
      <w:r w:rsidRPr="003B7224">
        <w:rPr>
          <w:rFonts w:eastAsia="宋体"/>
          <w:i/>
          <w:iCs/>
          <w:sz w:val="23"/>
          <w:szCs w:val="23"/>
        </w:rPr>
        <w:t>Nicotiana benthamiana</w:t>
      </w:r>
      <w:r w:rsidRPr="003B7224">
        <w:rPr>
          <w:rFonts w:eastAsia="宋体"/>
          <w:sz w:val="23"/>
          <w:szCs w:val="23"/>
        </w:rPr>
        <w:t xml:space="preserve"> growth performance (B) and shoot fresh weight measured in Zhangjiakou (March 2025, C) and Beijing (May 2025, D). </w:t>
      </w:r>
      <w:r w:rsidRPr="003B7224">
        <w:rPr>
          <w:rFonts w:eastAsia="宋体"/>
          <w:i/>
          <w:iCs/>
          <w:sz w:val="23"/>
          <w:szCs w:val="23"/>
        </w:rPr>
        <w:t>Solanum lycopersicum</w:t>
      </w:r>
      <w:r w:rsidRPr="003B7224">
        <w:rPr>
          <w:rFonts w:eastAsia="宋体"/>
          <w:sz w:val="23"/>
          <w:szCs w:val="23"/>
        </w:rPr>
        <w:t xml:space="preserve"> growth performance (E) and shoot fresh weight measured in Zhangjiakou (March 2025, F) and Beijing (May 2025, G). </w:t>
      </w:r>
      <w:r w:rsidRPr="003B7224">
        <w:rPr>
          <w:rFonts w:eastAsia="宋体"/>
          <w:i/>
          <w:iCs/>
          <w:sz w:val="23"/>
          <w:szCs w:val="23"/>
        </w:rPr>
        <w:t>Arabidopsis thaliana</w:t>
      </w:r>
      <w:r w:rsidRPr="003B7224">
        <w:rPr>
          <w:rFonts w:eastAsia="宋体"/>
          <w:sz w:val="23"/>
          <w:szCs w:val="23"/>
        </w:rPr>
        <w:t xml:space="preserve"> growth performance (H) and shoot fresh weight measured in Zhangjiakou (March 2025, I) and Beijing (May 2025, J). </w:t>
      </w:r>
      <w:r w:rsidRPr="003B7224">
        <w:rPr>
          <w:rFonts w:eastAsia="宋体"/>
          <w:i/>
          <w:iCs/>
          <w:sz w:val="23"/>
          <w:szCs w:val="23"/>
        </w:rPr>
        <w:t>Zea mays</w:t>
      </w:r>
      <w:r w:rsidRPr="003B7224">
        <w:rPr>
          <w:rFonts w:eastAsia="宋体"/>
          <w:sz w:val="23"/>
          <w:szCs w:val="23"/>
        </w:rPr>
        <w:t xml:space="preserve"> growth performance (K) and shoot fresh weight measured in Zhangjiakou (March 2025, L) and Beijing (May 2025, M). </w:t>
      </w:r>
      <w:r w:rsidRPr="003B7224">
        <w:rPr>
          <w:rFonts w:eastAsia="宋体"/>
          <w:i/>
          <w:iCs/>
          <w:sz w:val="23"/>
          <w:szCs w:val="23"/>
        </w:rPr>
        <w:t>Malus domestica</w:t>
      </w:r>
      <w:r w:rsidRPr="003B7224">
        <w:rPr>
          <w:rFonts w:eastAsia="宋体"/>
          <w:sz w:val="23"/>
          <w:szCs w:val="23"/>
        </w:rPr>
        <w:t xml:space="preserve"> growth performance (N) and shoot fresh weight measured in Zhangjiakou (March 2025, O) and Beijing (May 2025, P).</w:t>
      </w:r>
    </w:p>
    <w:p w14:paraId="749A87A2" w14:textId="77777777" w:rsidR="00CB0EBE" w:rsidRPr="003B7224" w:rsidRDefault="00CB0EBE" w:rsidP="00CB0EBE">
      <w:pPr>
        <w:spacing w:line="300" w:lineRule="auto"/>
        <w:rPr>
          <w:rFonts w:eastAsia="宋体"/>
          <w:sz w:val="23"/>
          <w:szCs w:val="23"/>
        </w:rPr>
      </w:pPr>
      <w:r w:rsidRPr="003B7224">
        <w:rPr>
          <w:rFonts w:eastAsia="宋体"/>
          <w:sz w:val="23"/>
          <w:szCs w:val="23"/>
        </w:rPr>
        <w:t>CK:</w:t>
      </w:r>
      <w:r w:rsidRPr="003B7224">
        <w:rPr>
          <w:sz w:val="23"/>
          <w:szCs w:val="23"/>
        </w:rPr>
        <w:t xml:space="preserve"> </w:t>
      </w:r>
      <w:r w:rsidRPr="003B7224">
        <w:rPr>
          <w:rFonts w:eastAsia="宋体"/>
          <w:sz w:val="23"/>
          <w:szCs w:val="23"/>
        </w:rPr>
        <w:t>0g/L D-sorbitol+</w:t>
      </w:r>
      <w:r w:rsidRPr="003B7224">
        <w:rPr>
          <w:sz w:val="23"/>
          <w:szCs w:val="23"/>
        </w:rPr>
        <w:t xml:space="preserve"> PPFD: 300μmol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rFonts w:eastAsia="宋体"/>
          <w:sz w:val="23"/>
          <w:szCs w:val="23"/>
        </w:rPr>
        <w:t>, DS2: 2g/L D-sorbitol+</w:t>
      </w:r>
      <w:r w:rsidRPr="003B7224">
        <w:rPr>
          <w:sz w:val="23"/>
          <w:szCs w:val="23"/>
        </w:rPr>
        <w:t xml:space="preserve"> PPFD: 300μmol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rFonts w:eastAsia="宋体"/>
          <w:sz w:val="23"/>
          <w:szCs w:val="23"/>
        </w:rPr>
        <w:t>, HCK:</w:t>
      </w:r>
      <w:r w:rsidRPr="003B7224">
        <w:rPr>
          <w:sz w:val="23"/>
          <w:szCs w:val="23"/>
        </w:rPr>
        <w:t xml:space="preserve"> </w:t>
      </w:r>
      <w:r w:rsidRPr="003B7224">
        <w:rPr>
          <w:rFonts w:eastAsia="宋体"/>
          <w:sz w:val="23"/>
          <w:szCs w:val="23"/>
        </w:rPr>
        <w:t>0g/L D-sorbitol+</w:t>
      </w:r>
      <w:r w:rsidRPr="003B7224">
        <w:rPr>
          <w:sz w:val="23"/>
          <w:szCs w:val="23"/>
        </w:rPr>
        <w:t xml:space="preserve"> PPFD: 150μmol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rFonts w:eastAsia="宋体"/>
          <w:sz w:val="23"/>
          <w:szCs w:val="23"/>
        </w:rPr>
        <w:t>, HDS2: 2g/L D-sorbitol+</w:t>
      </w:r>
      <w:r w:rsidRPr="003B7224">
        <w:rPr>
          <w:sz w:val="23"/>
          <w:szCs w:val="23"/>
        </w:rPr>
        <w:t xml:space="preserve"> PPFD: 150μmol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rFonts w:eastAsia="宋体"/>
          <w:sz w:val="23"/>
          <w:szCs w:val="23"/>
        </w:rPr>
        <w:t>.</w:t>
      </w:r>
      <w:r>
        <w:rPr>
          <w:rFonts w:eastAsia="宋体" w:hint="eastAsia"/>
          <w:sz w:val="23"/>
          <w:szCs w:val="23"/>
        </w:rPr>
        <w:t xml:space="preserve"> </w:t>
      </w:r>
      <w:r w:rsidRPr="003B7224">
        <w:rPr>
          <w:rFonts w:eastAsia="宋体"/>
          <w:sz w:val="23"/>
          <w:szCs w:val="23"/>
        </w:rPr>
        <w:t xml:space="preserve">Colors indicate the taxonomic family of each species. In B - P, </w:t>
      </w:r>
      <w:r w:rsidRPr="00626AE6">
        <w:rPr>
          <w:rFonts w:eastAsia="宋体"/>
          <w:i/>
          <w:iCs/>
          <w:sz w:val="23"/>
          <w:szCs w:val="23"/>
        </w:rPr>
        <w:t>n</w:t>
      </w:r>
      <w:r w:rsidRPr="003B7224">
        <w:rPr>
          <w:rFonts w:eastAsia="宋体"/>
          <w:sz w:val="23"/>
          <w:szCs w:val="23"/>
        </w:rPr>
        <w:t xml:space="preserve"> = 18 biological replicates.  a two-tailed Student’s t-test was used to determine </w:t>
      </w:r>
      <w:r w:rsidRPr="003B7224">
        <w:rPr>
          <w:rFonts w:eastAsia="宋体"/>
          <w:i/>
          <w:iCs/>
          <w:sz w:val="23"/>
          <w:szCs w:val="23"/>
        </w:rPr>
        <w:t>p</w:t>
      </w:r>
      <w:r w:rsidRPr="003B7224">
        <w:rPr>
          <w:rFonts w:eastAsia="宋体"/>
          <w:sz w:val="23"/>
          <w:szCs w:val="23"/>
        </w:rPr>
        <w:t xml:space="preserve"> values. *</w:t>
      </w:r>
      <w:r w:rsidRPr="003B7224">
        <w:rPr>
          <w:rFonts w:eastAsia="宋体"/>
          <w:i/>
          <w:iCs/>
          <w:sz w:val="23"/>
          <w:szCs w:val="23"/>
        </w:rPr>
        <w:t xml:space="preserve"> p</w:t>
      </w:r>
      <w:r w:rsidRPr="003B7224">
        <w:rPr>
          <w:rFonts w:eastAsia="宋体"/>
          <w:sz w:val="23"/>
          <w:szCs w:val="23"/>
        </w:rPr>
        <w:t xml:space="preserve"> &lt; 0.05, **</w:t>
      </w:r>
      <w:r w:rsidRPr="003B7224">
        <w:rPr>
          <w:rFonts w:eastAsia="宋体"/>
          <w:i/>
          <w:iCs/>
          <w:sz w:val="23"/>
          <w:szCs w:val="23"/>
        </w:rPr>
        <w:t xml:space="preserve"> p</w:t>
      </w:r>
      <w:r w:rsidRPr="003B7224">
        <w:rPr>
          <w:rFonts w:eastAsia="宋体"/>
          <w:sz w:val="23"/>
          <w:szCs w:val="23"/>
        </w:rPr>
        <w:t xml:space="preserve"> &lt; 0.01, ***</w:t>
      </w:r>
      <w:r w:rsidRPr="003B7224">
        <w:rPr>
          <w:rFonts w:eastAsia="宋体"/>
          <w:i/>
          <w:iCs/>
          <w:sz w:val="23"/>
          <w:szCs w:val="23"/>
        </w:rPr>
        <w:t>p</w:t>
      </w:r>
      <w:r w:rsidRPr="003B7224">
        <w:rPr>
          <w:rFonts w:eastAsia="宋体"/>
          <w:sz w:val="23"/>
          <w:szCs w:val="23"/>
        </w:rPr>
        <w:t xml:space="preserve"> &lt; 0.001. Values are presented as the mean ± SD.</w:t>
      </w:r>
      <w:r w:rsidRPr="003B7224">
        <w:rPr>
          <w:rFonts w:eastAsia="宋体"/>
          <w:sz w:val="23"/>
          <w:szCs w:val="23"/>
        </w:rPr>
        <w:br w:type="page"/>
      </w:r>
    </w:p>
    <w:p w14:paraId="675234FB" w14:textId="77777777" w:rsidR="00CB0EBE" w:rsidRPr="003B7224" w:rsidRDefault="00CB0EBE" w:rsidP="00CB0EBE">
      <w:pPr>
        <w:widowControl/>
        <w:jc w:val="center"/>
        <w:rPr>
          <w:sz w:val="23"/>
          <w:szCs w:val="23"/>
        </w:rPr>
      </w:pPr>
      <w:r w:rsidRPr="003B7224">
        <w:rPr>
          <w:noProof/>
          <w:sz w:val="23"/>
          <w:szCs w:val="23"/>
        </w:rPr>
        <w:lastRenderedPageBreak/>
        <w:drawing>
          <wp:inline distT="0" distB="0" distL="0" distR="0" wp14:anchorId="4857F410" wp14:editId="713AEB24">
            <wp:extent cx="5271135" cy="5494020"/>
            <wp:effectExtent l="0" t="0" r="5715" b="0"/>
            <wp:docPr id="3417876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1135" cy="5494020"/>
                    </a:xfrm>
                    <a:prstGeom prst="rect">
                      <a:avLst/>
                    </a:prstGeom>
                    <a:noFill/>
                    <a:ln>
                      <a:noFill/>
                    </a:ln>
                  </pic:spPr>
                </pic:pic>
              </a:graphicData>
            </a:graphic>
          </wp:inline>
        </w:drawing>
      </w:r>
    </w:p>
    <w:p w14:paraId="57C76703" w14:textId="77777777" w:rsidR="00CB0EBE" w:rsidRPr="004F62B5" w:rsidRDefault="00CB0EBE" w:rsidP="00CB0EBE">
      <w:pPr>
        <w:pStyle w:val="SMHeading"/>
        <w:spacing w:before="0" w:after="0" w:line="300" w:lineRule="auto"/>
      </w:pPr>
      <w:bookmarkStart w:id="37" w:name="_Toc216766954"/>
      <w:r>
        <w:t>Extended Data Fig.</w:t>
      </w:r>
      <w:r>
        <w:rPr>
          <w:rFonts w:hint="eastAsia"/>
          <w:lang w:eastAsia="zh-CN"/>
        </w:rPr>
        <w:t xml:space="preserve"> </w:t>
      </w:r>
      <w:r w:rsidRPr="004F62B5">
        <w:t xml:space="preserve">24 Light intensity-sugar specific interaction regulates </w:t>
      </w:r>
      <w:r w:rsidRPr="004F62B5">
        <w:rPr>
          <w:i/>
          <w:iCs/>
        </w:rPr>
        <w:t>Brassica rapa</w:t>
      </w:r>
      <w:r w:rsidRPr="004F62B5">
        <w:t xml:space="preserve"> growth</w:t>
      </w:r>
      <w:bookmarkEnd w:id="37"/>
    </w:p>
    <w:p w14:paraId="17C7B22A" w14:textId="77777777" w:rsidR="00CB0EBE" w:rsidRPr="003B7224" w:rsidRDefault="00CB0EBE" w:rsidP="00CB0EBE">
      <w:pPr>
        <w:spacing w:line="300" w:lineRule="auto"/>
        <w:rPr>
          <w:rFonts w:eastAsia="宋体"/>
          <w:sz w:val="23"/>
          <w:szCs w:val="23"/>
        </w:rPr>
      </w:pPr>
      <w:r w:rsidRPr="004F62B5">
        <w:rPr>
          <w:rFonts w:eastAsia="宋体" w:hint="eastAsia"/>
          <w:sz w:val="23"/>
          <w:szCs w:val="23"/>
        </w:rPr>
        <w:t>A-C.</w:t>
      </w:r>
      <w:r>
        <w:rPr>
          <w:rFonts w:eastAsia="宋体" w:hint="eastAsia"/>
          <w:i/>
          <w:iCs/>
          <w:sz w:val="23"/>
          <w:szCs w:val="23"/>
        </w:rPr>
        <w:t xml:space="preserve"> </w:t>
      </w:r>
      <w:r w:rsidRPr="003B7224">
        <w:rPr>
          <w:rFonts w:eastAsia="宋体"/>
          <w:i/>
          <w:iCs/>
          <w:sz w:val="23"/>
          <w:szCs w:val="23"/>
        </w:rPr>
        <w:t>Brassica rapa</w:t>
      </w:r>
      <w:r w:rsidRPr="003B7224">
        <w:rPr>
          <w:rFonts w:eastAsia="宋体"/>
          <w:sz w:val="23"/>
          <w:szCs w:val="23"/>
        </w:rPr>
        <w:t xml:space="preserve"> growth performance (</w:t>
      </w:r>
      <w:r>
        <w:rPr>
          <w:rFonts w:eastAsia="宋体" w:hint="eastAsia"/>
          <w:sz w:val="23"/>
          <w:szCs w:val="23"/>
        </w:rPr>
        <w:t>A</w:t>
      </w:r>
      <w:r w:rsidRPr="003B7224">
        <w:rPr>
          <w:rFonts w:eastAsia="宋体"/>
          <w:sz w:val="23"/>
          <w:szCs w:val="23"/>
        </w:rPr>
        <w:t xml:space="preserve">) and shoot fresh weight measured in Zhangjiakou (March 2025, </w:t>
      </w:r>
      <w:r>
        <w:rPr>
          <w:rFonts w:eastAsia="宋体" w:hint="eastAsia"/>
          <w:sz w:val="23"/>
          <w:szCs w:val="23"/>
        </w:rPr>
        <w:t>B</w:t>
      </w:r>
      <w:r w:rsidRPr="003B7224">
        <w:rPr>
          <w:rFonts w:eastAsia="宋体"/>
          <w:sz w:val="23"/>
          <w:szCs w:val="23"/>
        </w:rPr>
        <w:t xml:space="preserve">) and Beijing (May 2025, </w:t>
      </w:r>
      <w:r>
        <w:rPr>
          <w:rFonts w:eastAsia="宋体" w:hint="eastAsia"/>
          <w:sz w:val="23"/>
          <w:szCs w:val="23"/>
        </w:rPr>
        <w:t>C</w:t>
      </w:r>
      <w:r w:rsidRPr="003B7224">
        <w:rPr>
          <w:rFonts w:eastAsia="宋体"/>
          <w:sz w:val="23"/>
          <w:szCs w:val="23"/>
        </w:rPr>
        <w:t>).</w:t>
      </w:r>
    </w:p>
    <w:p w14:paraId="630AA117" w14:textId="77777777" w:rsidR="00CB0EBE" w:rsidRPr="003B7224" w:rsidRDefault="00CB0EBE" w:rsidP="00CB0EBE">
      <w:pPr>
        <w:spacing w:line="300" w:lineRule="auto"/>
        <w:rPr>
          <w:sz w:val="23"/>
          <w:szCs w:val="23"/>
        </w:rPr>
      </w:pPr>
      <w:r w:rsidRPr="003B7224">
        <w:rPr>
          <w:rFonts w:eastAsia="宋体"/>
          <w:sz w:val="23"/>
          <w:szCs w:val="23"/>
        </w:rPr>
        <w:t>CK:</w:t>
      </w:r>
      <w:r w:rsidRPr="003B7224">
        <w:rPr>
          <w:sz w:val="23"/>
          <w:szCs w:val="23"/>
        </w:rPr>
        <w:t xml:space="preserve"> </w:t>
      </w:r>
      <w:r w:rsidRPr="003B7224">
        <w:rPr>
          <w:rFonts w:eastAsia="宋体"/>
          <w:sz w:val="23"/>
          <w:szCs w:val="23"/>
        </w:rPr>
        <w:t>Water+</w:t>
      </w:r>
      <w:r w:rsidRPr="003B7224">
        <w:rPr>
          <w:sz w:val="23"/>
          <w:szCs w:val="23"/>
        </w:rPr>
        <w:t xml:space="preserve"> PPFD: 300μmol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rFonts w:eastAsia="宋体"/>
          <w:sz w:val="23"/>
          <w:szCs w:val="23"/>
        </w:rPr>
        <w:t>, DS2: 2g/L D-sorbitol+</w:t>
      </w:r>
      <w:r w:rsidRPr="003B7224">
        <w:rPr>
          <w:sz w:val="23"/>
          <w:szCs w:val="23"/>
        </w:rPr>
        <w:t xml:space="preserve"> PPFD: 300μmol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rFonts w:eastAsia="宋体"/>
          <w:sz w:val="23"/>
          <w:szCs w:val="23"/>
        </w:rPr>
        <w:t>, MA: 2g/L mannitol+</w:t>
      </w:r>
      <w:r w:rsidRPr="003B7224">
        <w:rPr>
          <w:sz w:val="23"/>
          <w:szCs w:val="23"/>
        </w:rPr>
        <w:t xml:space="preserve"> PPFD: 300μmol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sz w:val="23"/>
          <w:szCs w:val="23"/>
        </w:rPr>
        <w:t>,</w:t>
      </w:r>
      <w:r w:rsidRPr="003B7224">
        <w:rPr>
          <w:rFonts w:eastAsia="宋体"/>
          <w:sz w:val="23"/>
          <w:szCs w:val="23"/>
        </w:rPr>
        <w:t xml:space="preserve"> SU: 2g/L sucrose+</w:t>
      </w:r>
      <w:r w:rsidRPr="003B7224">
        <w:rPr>
          <w:sz w:val="23"/>
          <w:szCs w:val="23"/>
        </w:rPr>
        <w:t xml:space="preserve"> PPFD: 300μmol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sz w:val="23"/>
          <w:szCs w:val="23"/>
        </w:rPr>
        <w:t xml:space="preserve">, </w:t>
      </w:r>
      <w:r w:rsidRPr="003B7224">
        <w:rPr>
          <w:rFonts w:eastAsia="宋体"/>
          <w:sz w:val="23"/>
          <w:szCs w:val="23"/>
        </w:rPr>
        <w:t>FU: 2g/L fructose+</w:t>
      </w:r>
      <w:r w:rsidRPr="003B7224">
        <w:rPr>
          <w:sz w:val="23"/>
          <w:szCs w:val="23"/>
        </w:rPr>
        <w:t xml:space="preserve"> PPFD: 300μmol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sz w:val="23"/>
          <w:szCs w:val="23"/>
        </w:rPr>
        <w:t xml:space="preserve">, </w:t>
      </w:r>
      <w:r w:rsidRPr="003B7224">
        <w:rPr>
          <w:rFonts w:eastAsia="宋体"/>
          <w:sz w:val="23"/>
          <w:szCs w:val="23"/>
        </w:rPr>
        <w:t>GL: 2g/L glucose+</w:t>
      </w:r>
      <w:r w:rsidRPr="003B7224">
        <w:rPr>
          <w:sz w:val="23"/>
          <w:szCs w:val="23"/>
        </w:rPr>
        <w:t xml:space="preserve"> PPFD: 300μmol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sz w:val="23"/>
          <w:szCs w:val="23"/>
        </w:rPr>
        <w:t xml:space="preserve">, </w:t>
      </w:r>
      <w:r w:rsidRPr="003B7224">
        <w:rPr>
          <w:rFonts w:eastAsia="宋体"/>
          <w:sz w:val="23"/>
          <w:szCs w:val="23"/>
        </w:rPr>
        <w:t>HCK:</w:t>
      </w:r>
      <w:r w:rsidRPr="003B7224">
        <w:rPr>
          <w:sz w:val="23"/>
          <w:szCs w:val="23"/>
        </w:rPr>
        <w:t xml:space="preserve"> </w:t>
      </w:r>
      <w:r w:rsidRPr="003B7224">
        <w:rPr>
          <w:rFonts w:eastAsia="宋体"/>
          <w:sz w:val="23"/>
          <w:szCs w:val="23"/>
        </w:rPr>
        <w:t>Water+</w:t>
      </w:r>
      <w:r w:rsidRPr="003B7224">
        <w:rPr>
          <w:sz w:val="23"/>
          <w:szCs w:val="23"/>
        </w:rPr>
        <w:t xml:space="preserve"> PPFD: 150μmol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rFonts w:eastAsia="宋体"/>
          <w:sz w:val="23"/>
          <w:szCs w:val="23"/>
        </w:rPr>
        <w:t>, HDS2: 2g/L D-sorbitol+</w:t>
      </w:r>
      <w:r w:rsidRPr="003B7224">
        <w:rPr>
          <w:sz w:val="23"/>
          <w:szCs w:val="23"/>
        </w:rPr>
        <w:t xml:space="preserve"> PPFD: 150μmol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rFonts w:eastAsia="宋体"/>
          <w:sz w:val="23"/>
          <w:szCs w:val="23"/>
        </w:rPr>
        <w:t>. HMA: 2g/L mannitol+</w:t>
      </w:r>
      <w:r w:rsidRPr="003B7224">
        <w:rPr>
          <w:sz w:val="23"/>
          <w:szCs w:val="23"/>
        </w:rPr>
        <w:t xml:space="preserve"> PPFD: 150μmol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sz w:val="23"/>
          <w:szCs w:val="23"/>
        </w:rPr>
        <w:t>,</w:t>
      </w:r>
      <w:r w:rsidRPr="003B7224">
        <w:rPr>
          <w:rFonts w:eastAsia="宋体"/>
          <w:sz w:val="23"/>
          <w:szCs w:val="23"/>
        </w:rPr>
        <w:t xml:space="preserve"> HSU: 2g/L sucrose+</w:t>
      </w:r>
      <w:r w:rsidRPr="003B7224">
        <w:rPr>
          <w:sz w:val="23"/>
          <w:szCs w:val="23"/>
        </w:rPr>
        <w:t xml:space="preserve"> PPFD: 150μmol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sz w:val="23"/>
          <w:szCs w:val="23"/>
        </w:rPr>
        <w:t>, H</w:t>
      </w:r>
      <w:r w:rsidRPr="003B7224">
        <w:rPr>
          <w:rFonts w:eastAsia="宋体"/>
          <w:sz w:val="23"/>
          <w:szCs w:val="23"/>
        </w:rPr>
        <w:t>FU: 2g/L fructose+</w:t>
      </w:r>
      <w:r w:rsidRPr="003B7224">
        <w:rPr>
          <w:sz w:val="23"/>
          <w:szCs w:val="23"/>
        </w:rPr>
        <w:t xml:space="preserve"> PPFD: 150μmol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sz w:val="23"/>
          <w:szCs w:val="23"/>
        </w:rPr>
        <w:t>, H</w:t>
      </w:r>
      <w:r w:rsidRPr="003B7224">
        <w:rPr>
          <w:rFonts w:eastAsia="宋体"/>
          <w:sz w:val="23"/>
          <w:szCs w:val="23"/>
        </w:rPr>
        <w:t>GL: 2g/L glucose+</w:t>
      </w:r>
      <w:r w:rsidRPr="003B7224">
        <w:rPr>
          <w:sz w:val="23"/>
          <w:szCs w:val="23"/>
        </w:rPr>
        <w:t xml:space="preserve"> PPFD: 150μmol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sz w:val="23"/>
          <w:szCs w:val="23"/>
        </w:rPr>
        <w:t>.</w:t>
      </w:r>
      <w:r>
        <w:rPr>
          <w:rFonts w:eastAsia="宋体" w:hint="eastAsia"/>
          <w:sz w:val="23"/>
          <w:szCs w:val="23"/>
        </w:rPr>
        <w:t xml:space="preserve"> </w:t>
      </w:r>
      <w:r w:rsidRPr="003B7224">
        <w:rPr>
          <w:sz w:val="23"/>
          <w:szCs w:val="23"/>
        </w:rPr>
        <w:t xml:space="preserve">In A-C, Beijing, growth chamber, 2024. In B-C, </w:t>
      </w:r>
      <w:r w:rsidRPr="00626AE6">
        <w:rPr>
          <w:i/>
          <w:iCs/>
          <w:sz w:val="23"/>
          <w:szCs w:val="23"/>
        </w:rPr>
        <w:t xml:space="preserve">n </w:t>
      </w:r>
      <w:r w:rsidRPr="003B7224">
        <w:rPr>
          <w:sz w:val="23"/>
          <w:szCs w:val="23"/>
        </w:rPr>
        <w:t>= 18 biological replicates. one-way analysis of variance (ANOVA) followed by Tukey’s multiple comparison test was used to determine the</w:t>
      </w:r>
      <w:r w:rsidRPr="003B7224">
        <w:rPr>
          <w:i/>
          <w:iCs/>
          <w:sz w:val="23"/>
          <w:szCs w:val="23"/>
        </w:rPr>
        <w:t xml:space="preserve"> p</w:t>
      </w:r>
      <w:r w:rsidRPr="003B7224">
        <w:rPr>
          <w:sz w:val="23"/>
          <w:szCs w:val="23"/>
        </w:rPr>
        <w:t xml:space="preserve"> values. * </w:t>
      </w:r>
      <w:r w:rsidRPr="003B7224">
        <w:rPr>
          <w:i/>
          <w:iCs/>
          <w:sz w:val="23"/>
          <w:szCs w:val="23"/>
        </w:rPr>
        <w:t>p</w:t>
      </w:r>
      <w:r w:rsidRPr="003B7224">
        <w:rPr>
          <w:sz w:val="23"/>
          <w:szCs w:val="23"/>
        </w:rPr>
        <w:t xml:space="preserve"> &lt; 0.05, ** </w:t>
      </w:r>
      <w:r w:rsidRPr="003B7224">
        <w:rPr>
          <w:i/>
          <w:iCs/>
          <w:sz w:val="23"/>
          <w:szCs w:val="23"/>
        </w:rPr>
        <w:t>p</w:t>
      </w:r>
      <w:r w:rsidRPr="003B7224">
        <w:rPr>
          <w:sz w:val="23"/>
          <w:szCs w:val="23"/>
        </w:rPr>
        <w:t xml:space="preserve"> &lt; 0.01, ***</w:t>
      </w:r>
      <w:r w:rsidRPr="003B7224">
        <w:rPr>
          <w:i/>
          <w:iCs/>
          <w:sz w:val="23"/>
          <w:szCs w:val="23"/>
        </w:rPr>
        <w:t>p</w:t>
      </w:r>
      <w:r w:rsidRPr="003B7224">
        <w:rPr>
          <w:sz w:val="23"/>
          <w:szCs w:val="23"/>
        </w:rPr>
        <w:t xml:space="preserve"> &lt; 0.001. </w:t>
      </w:r>
      <w:r w:rsidRPr="003B7224">
        <w:rPr>
          <w:rFonts w:eastAsia="宋体"/>
          <w:sz w:val="23"/>
          <w:szCs w:val="23"/>
        </w:rPr>
        <w:t>Values are presented as the mean ± SD.</w:t>
      </w:r>
      <w:r w:rsidRPr="003B7224">
        <w:rPr>
          <w:sz w:val="23"/>
          <w:szCs w:val="23"/>
        </w:rPr>
        <w:br w:type="page"/>
      </w:r>
    </w:p>
    <w:p w14:paraId="29D2D329"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7C5BC267" wp14:editId="673DF336">
            <wp:extent cx="5271135" cy="2559050"/>
            <wp:effectExtent l="0" t="0" r="5715" b="0"/>
            <wp:docPr id="6890720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1135" cy="2559050"/>
                    </a:xfrm>
                    <a:prstGeom prst="rect">
                      <a:avLst/>
                    </a:prstGeom>
                    <a:noFill/>
                    <a:ln>
                      <a:noFill/>
                    </a:ln>
                  </pic:spPr>
                </pic:pic>
              </a:graphicData>
            </a:graphic>
          </wp:inline>
        </w:drawing>
      </w:r>
    </w:p>
    <w:p w14:paraId="17FBA3A3" w14:textId="77777777" w:rsidR="00CB0EBE" w:rsidRPr="00A92363" w:rsidRDefault="00CB0EBE" w:rsidP="00CB0EBE">
      <w:pPr>
        <w:pStyle w:val="SMHeading"/>
        <w:spacing w:before="0" w:after="0" w:line="300" w:lineRule="auto"/>
        <w:rPr>
          <w:i/>
          <w:iCs/>
        </w:rPr>
      </w:pPr>
      <w:bookmarkStart w:id="38" w:name="_Toc216766955"/>
      <w:r>
        <w:t>Extended Data Fig.</w:t>
      </w:r>
      <w:r>
        <w:rPr>
          <w:rFonts w:hint="eastAsia"/>
          <w:lang w:eastAsia="zh-CN"/>
        </w:rPr>
        <w:t xml:space="preserve"> </w:t>
      </w:r>
      <w:r w:rsidRPr="00A92363">
        <w:t xml:space="preserve">25 Light intensity and D-sorbitol induces the upregulation of canonical D-sorbitol-metabolizing enzymes gene expression in </w:t>
      </w:r>
      <w:r w:rsidRPr="00A92363">
        <w:rPr>
          <w:i/>
          <w:iCs/>
        </w:rPr>
        <w:t>Brassica rapa</w:t>
      </w:r>
      <w:r w:rsidRPr="00A92363">
        <w:t xml:space="preserve"> and</w:t>
      </w:r>
      <w:r w:rsidRPr="00A92363">
        <w:rPr>
          <w:i/>
          <w:iCs/>
        </w:rPr>
        <w:t xml:space="preserve"> Lactuca sativa</w:t>
      </w:r>
      <w:bookmarkEnd w:id="38"/>
    </w:p>
    <w:p w14:paraId="2BC17297" w14:textId="77777777" w:rsidR="00CB0EBE" w:rsidRPr="003B7224" w:rsidRDefault="00CB0EBE" w:rsidP="00CB0EBE">
      <w:pPr>
        <w:spacing w:line="300" w:lineRule="auto"/>
        <w:rPr>
          <w:sz w:val="23"/>
          <w:szCs w:val="23"/>
        </w:rPr>
      </w:pPr>
      <w:r w:rsidRPr="003B7224">
        <w:rPr>
          <w:sz w:val="23"/>
          <w:szCs w:val="23"/>
        </w:rPr>
        <w:t xml:space="preserve">A–D. Relative expression levels in </w:t>
      </w:r>
      <w:r w:rsidRPr="003B7224">
        <w:rPr>
          <w:i/>
          <w:iCs/>
          <w:sz w:val="23"/>
          <w:szCs w:val="23"/>
        </w:rPr>
        <w:t>Brassica rapa</w:t>
      </w:r>
      <w:r w:rsidRPr="003B7224">
        <w:rPr>
          <w:sz w:val="23"/>
          <w:szCs w:val="23"/>
        </w:rPr>
        <w:t xml:space="preserve">: </w:t>
      </w:r>
      <w:r w:rsidRPr="003B7224">
        <w:rPr>
          <w:i/>
          <w:iCs/>
          <w:sz w:val="23"/>
          <w:szCs w:val="23"/>
        </w:rPr>
        <w:t>BrS6PDH</w:t>
      </w:r>
      <w:r w:rsidRPr="003B7224">
        <w:rPr>
          <w:sz w:val="23"/>
          <w:szCs w:val="23"/>
        </w:rPr>
        <w:t xml:space="preserve"> (A), </w:t>
      </w:r>
      <w:r w:rsidRPr="003B7224">
        <w:rPr>
          <w:i/>
          <w:iCs/>
          <w:sz w:val="23"/>
          <w:szCs w:val="23"/>
        </w:rPr>
        <w:t>BrSORD‑X1</w:t>
      </w:r>
      <w:r w:rsidRPr="003B7224">
        <w:rPr>
          <w:sz w:val="23"/>
          <w:szCs w:val="23"/>
        </w:rPr>
        <w:t xml:space="preserve"> (B), </w:t>
      </w:r>
      <w:r w:rsidRPr="003B7224">
        <w:rPr>
          <w:i/>
          <w:iCs/>
          <w:sz w:val="23"/>
          <w:szCs w:val="23"/>
        </w:rPr>
        <w:t xml:space="preserve">BrSORD‑X3 </w:t>
      </w:r>
      <w:r w:rsidRPr="003B7224">
        <w:rPr>
          <w:sz w:val="23"/>
          <w:szCs w:val="23"/>
        </w:rPr>
        <w:t xml:space="preserve">(C), and </w:t>
      </w:r>
      <w:r w:rsidRPr="003B7224">
        <w:rPr>
          <w:i/>
          <w:iCs/>
          <w:sz w:val="23"/>
          <w:szCs w:val="23"/>
        </w:rPr>
        <w:t xml:space="preserve">BrSUC‑X1 </w:t>
      </w:r>
      <w:r w:rsidRPr="003B7224">
        <w:rPr>
          <w:sz w:val="23"/>
          <w:szCs w:val="23"/>
        </w:rPr>
        <w:t>(D).</w:t>
      </w:r>
    </w:p>
    <w:p w14:paraId="3755E48C" w14:textId="77777777" w:rsidR="00CB0EBE" w:rsidRPr="003B7224" w:rsidRDefault="00CB0EBE" w:rsidP="00CB0EBE">
      <w:pPr>
        <w:spacing w:line="300" w:lineRule="auto"/>
        <w:rPr>
          <w:sz w:val="23"/>
          <w:szCs w:val="23"/>
        </w:rPr>
      </w:pPr>
      <w:r w:rsidRPr="003B7224">
        <w:rPr>
          <w:sz w:val="23"/>
          <w:szCs w:val="23"/>
        </w:rPr>
        <w:t xml:space="preserve">E, F. Relative expression levels in </w:t>
      </w:r>
      <w:r w:rsidRPr="003B7224">
        <w:rPr>
          <w:i/>
          <w:iCs/>
          <w:sz w:val="23"/>
          <w:szCs w:val="23"/>
        </w:rPr>
        <w:t>Lactuca sativa</w:t>
      </w:r>
      <w:r w:rsidRPr="003B7224">
        <w:rPr>
          <w:sz w:val="23"/>
          <w:szCs w:val="23"/>
        </w:rPr>
        <w:t xml:space="preserve">: </w:t>
      </w:r>
      <w:r w:rsidRPr="003B7224">
        <w:rPr>
          <w:i/>
          <w:iCs/>
          <w:sz w:val="23"/>
          <w:szCs w:val="23"/>
        </w:rPr>
        <w:t>LsS6PDH</w:t>
      </w:r>
      <w:r w:rsidRPr="003B7224">
        <w:rPr>
          <w:sz w:val="23"/>
          <w:szCs w:val="23"/>
        </w:rPr>
        <w:t xml:space="preserve"> (E) and </w:t>
      </w:r>
      <w:r w:rsidRPr="003B7224">
        <w:rPr>
          <w:i/>
          <w:iCs/>
          <w:sz w:val="23"/>
          <w:szCs w:val="23"/>
        </w:rPr>
        <w:t xml:space="preserve">LsSORD </w:t>
      </w:r>
      <w:r w:rsidRPr="003B7224">
        <w:rPr>
          <w:sz w:val="23"/>
          <w:szCs w:val="23"/>
        </w:rPr>
        <w:t>(F).</w:t>
      </w:r>
    </w:p>
    <w:p w14:paraId="752D9297" w14:textId="77777777" w:rsidR="00CB0EBE" w:rsidRPr="003B7224" w:rsidRDefault="00CB0EBE" w:rsidP="00CB0EBE">
      <w:pPr>
        <w:spacing w:line="300" w:lineRule="auto"/>
        <w:rPr>
          <w:sz w:val="23"/>
          <w:szCs w:val="23"/>
        </w:rPr>
      </w:pPr>
      <w:r w:rsidRPr="003B7224">
        <w:rPr>
          <w:rFonts w:eastAsia="宋体"/>
          <w:sz w:val="23"/>
          <w:szCs w:val="23"/>
        </w:rPr>
        <w:t>DS2: 2g/L D-sorbitol+</w:t>
      </w:r>
      <w:r w:rsidRPr="003B7224">
        <w:rPr>
          <w:sz w:val="23"/>
          <w:szCs w:val="23"/>
        </w:rPr>
        <w:t xml:space="preserve"> PPFD: 300μmol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rFonts w:eastAsia="宋体"/>
          <w:sz w:val="23"/>
          <w:szCs w:val="23"/>
        </w:rPr>
        <w:t>, HCK:</w:t>
      </w:r>
      <w:r w:rsidRPr="003B7224">
        <w:rPr>
          <w:sz w:val="23"/>
          <w:szCs w:val="23"/>
        </w:rPr>
        <w:t xml:space="preserve"> </w:t>
      </w:r>
      <w:r w:rsidRPr="003B7224">
        <w:rPr>
          <w:rFonts w:eastAsia="宋体"/>
          <w:sz w:val="23"/>
          <w:szCs w:val="23"/>
        </w:rPr>
        <w:t>0g/L D-sorbitol+</w:t>
      </w:r>
      <w:r w:rsidRPr="003B7224">
        <w:rPr>
          <w:sz w:val="23"/>
          <w:szCs w:val="23"/>
        </w:rPr>
        <w:t xml:space="preserve"> PPFD: 150μmol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rFonts w:eastAsia="宋体"/>
          <w:sz w:val="23"/>
          <w:szCs w:val="23"/>
        </w:rPr>
        <w:t>, HDS2: 2g/L D-sorbitol+</w:t>
      </w:r>
      <w:r w:rsidRPr="003B7224">
        <w:rPr>
          <w:sz w:val="23"/>
          <w:szCs w:val="23"/>
        </w:rPr>
        <w:t xml:space="preserve"> PPFD: 150μmol m</w:t>
      </w:r>
      <w:r w:rsidRPr="003B7224">
        <w:rPr>
          <w:sz w:val="23"/>
          <w:szCs w:val="23"/>
          <w:vertAlign w:val="superscript"/>
        </w:rPr>
        <w:t>–2</w:t>
      </w:r>
      <w:r w:rsidRPr="003B7224">
        <w:rPr>
          <w:sz w:val="23"/>
          <w:szCs w:val="23"/>
        </w:rPr>
        <w:t xml:space="preserve"> s</w:t>
      </w:r>
      <w:r w:rsidRPr="003B7224">
        <w:rPr>
          <w:sz w:val="23"/>
          <w:szCs w:val="23"/>
          <w:vertAlign w:val="superscript"/>
        </w:rPr>
        <w:t>–l</w:t>
      </w:r>
      <w:r w:rsidRPr="003B7224">
        <w:rPr>
          <w:rFonts w:eastAsia="宋体"/>
          <w:sz w:val="23"/>
          <w:szCs w:val="23"/>
        </w:rPr>
        <w:t>.</w:t>
      </w:r>
      <w:r>
        <w:rPr>
          <w:rFonts w:eastAsia="宋体" w:hint="eastAsia"/>
          <w:sz w:val="23"/>
          <w:szCs w:val="23"/>
        </w:rPr>
        <w:t xml:space="preserve"> </w:t>
      </w:r>
      <w:r w:rsidRPr="003B7224">
        <w:rPr>
          <w:sz w:val="23"/>
          <w:szCs w:val="23"/>
        </w:rPr>
        <w:t xml:space="preserve">In A–F, Samples were collected from 6-leaf seedlings of </w:t>
      </w:r>
      <w:r w:rsidRPr="003B7224">
        <w:rPr>
          <w:i/>
          <w:iCs/>
          <w:sz w:val="23"/>
          <w:szCs w:val="23"/>
        </w:rPr>
        <w:t>Brassica rapa</w:t>
      </w:r>
      <w:r w:rsidRPr="003B7224">
        <w:rPr>
          <w:sz w:val="23"/>
          <w:szCs w:val="23"/>
        </w:rPr>
        <w:t xml:space="preserve"> and </w:t>
      </w:r>
      <w:r w:rsidRPr="003B7224">
        <w:rPr>
          <w:i/>
          <w:iCs/>
          <w:sz w:val="23"/>
          <w:szCs w:val="23"/>
        </w:rPr>
        <w:t>Lactuca sativa</w:t>
      </w:r>
      <w:r w:rsidRPr="003B7224">
        <w:rPr>
          <w:sz w:val="23"/>
          <w:szCs w:val="23"/>
        </w:rPr>
        <w:t xml:space="preserve"> grown in a growth chamber under a 12-h light/12-h dark photoperiod at 26°C. All leaves from individual plants were harvested for RNA extraction at the start of the light period (8:00 AM, designated as 0 h) and four additional time points: 2 h (10:00 AM), 6 h (2:00 PM), 12 h (8:00 PM), and 24 h (8:00 AM the next day). White bars below the x-axis indicate the light period (0–12 h); black bars indicate the dark period (12–24 h). Statistical analysis was performed using Student’s t-test; compared with CK at the same time point, * </w:t>
      </w:r>
      <w:r w:rsidRPr="003B7224">
        <w:rPr>
          <w:i/>
          <w:iCs/>
          <w:sz w:val="23"/>
          <w:szCs w:val="23"/>
        </w:rPr>
        <w:t>p</w:t>
      </w:r>
      <w:r w:rsidRPr="003B7224">
        <w:rPr>
          <w:sz w:val="23"/>
          <w:szCs w:val="23"/>
        </w:rPr>
        <w:t xml:space="preserve"> &lt; 0.05, ** </w:t>
      </w:r>
      <w:r w:rsidRPr="003B7224">
        <w:rPr>
          <w:i/>
          <w:iCs/>
          <w:sz w:val="23"/>
          <w:szCs w:val="23"/>
        </w:rPr>
        <w:t>p</w:t>
      </w:r>
      <w:r w:rsidRPr="003B7224">
        <w:rPr>
          <w:sz w:val="23"/>
          <w:szCs w:val="23"/>
        </w:rPr>
        <w:t xml:space="preserve"> &lt; 0.01, ***</w:t>
      </w:r>
      <w:r w:rsidRPr="003B7224">
        <w:rPr>
          <w:i/>
          <w:iCs/>
          <w:sz w:val="23"/>
          <w:szCs w:val="23"/>
        </w:rPr>
        <w:t>p</w:t>
      </w:r>
      <w:r w:rsidRPr="003B7224">
        <w:rPr>
          <w:sz w:val="23"/>
          <w:szCs w:val="23"/>
        </w:rPr>
        <w:t xml:space="preserve"> &lt; 0.001. Data are presented as mean ± SD (</w:t>
      </w:r>
      <w:r w:rsidRPr="00626AE6">
        <w:rPr>
          <w:i/>
          <w:iCs/>
          <w:sz w:val="23"/>
          <w:szCs w:val="23"/>
        </w:rPr>
        <w:t xml:space="preserve">n </w:t>
      </w:r>
      <w:r w:rsidRPr="003B7224">
        <w:rPr>
          <w:sz w:val="23"/>
          <w:szCs w:val="23"/>
        </w:rPr>
        <w:t>= 3 biological replicates).</w:t>
      </w:r>
      <w:r w:rsidRPr="003B7224">
        <w:rPr>
          <w:sz w:val="23"/>
          <w:szCs w:val="23"/>
        </w:rPr>
        <w:br w:type="page"/>
      </w:r>
    </w:p>
    <w:p w14:paraId="705DB2D9"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4EA839F4" wp14:editId="26C42F97">
            <wp:extent cx="5265420" cy="7528560"/>
            <wp:effectExtent l="0" t="0" r="0" b="0"/>
            <wp:docPr id="13338372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65420" cy="7528560"/>
                    </a:xfrm>
                    <a:prstGeom prst="rect">
                      <a:avLst/>
                    </a:prstGeom>
                    <a:noFill/>
                    <a:ln>
                      <a:noFill/>
                    </a:ln>
                  </pic:spPr>
                </pic:pic>
              </a:graphicData>
            </a:graphic>
          </wp:inline>
        </w:drawing>
      </w:r>
    </w:p>
    <w:p w14:paraId="55A322BF" w14:textId="77777777" w:rsidR="00CB0EBE" w:rsidRPr="00FC65C1" w:rsidRDefault="00CB0EBE" w:rsidP="00CB0EBE">
      <w:pPr>
        <w:pStyle w:val="SMHeading"/>
        <w:spacing w:before="0" w:after="0" w:line="300" w:lineRule="auto"/>
      </w:pPr>
      <w:bookmarkStart w:id="39" w:name="_Toc216766956"/>
      <w:r>
        <w:t>Extended Data Fig.</w:t>
      </w:r>
      <w:r>
        <w:rPr>
          <w:rFonts w:hint="eastAsia"/>
          <w:lang w:eastAsia="zh-CN"/>
        </w:rPr>
        <w:t xml:space="preserve"> </w:t>
      </w:r>
      <w:r w:rsidRPr="00FC65C1">
        <w:t>26 Sequence alignment and structural analysis of canonical D-sorbitol-metabolizing enzymes and their orthologous proteins in angiosperms</w:t>
      </w:r>
      <w:bookmarkEnd w:id="39"/>
    </w:p>
    <w:p w14:paraId="6E78D339" w14:textId="77777777" w:rsidR="00CB0EBE" w:rsidRPr="003B7224" w:rsidRDefault="00CB0EBE" w:rsidP="00CB0EBE">
      <w:pPr>
        <w:spacing w:line="300" w:lineRule="auto"/>
        <w:rPr>
          <w:sz w:val="23"/>
          <w:szCs w:val="23"/>
        </w:rPr>
      </w:pPr>
      <w:r w:rsidRPr="003B7224">
        <w:rPr>
          <w:sz w:val="23"/>
          <w:szCs w:val="23"/>
        </w:rPr>
        <w:t xml:space="preserve">A, C. Sequence alignments of S6PDH (A) and SORD (C) with their angiosperm orthologs. Identical residues are shaded red, similar residues in red font, and conserved regions boxed </w:t>
      </w:r>
      <w:r w:rsidRPr="003B7224">
        <w:rPr>
          <w:sz w:val="23"/>
          <w:szCs w:val="23"/>
        </w:rPr>
        <w:lastRenderedPageBreak/>
        <w:t>in blue. Dots indicate gaps; secondary structures (β‑sheets/α‑helices) are annotated above/below the alignments.</w:t>
      </w:r>
    </w:p>
    <w:p w14:paraId="2C4C29BE" w14:textId="77777777" w:rsidR="00CB0EBE" w:rsidRPr="003B7224" w:rsidRDefault="00CB0EBE" w:rsidP="00CB0EBE">
      <w:pPr>
        <w:spacing w:line="300" w:lineRule="auto"/>
        <w:rPr>
          <w:sz w:val="23"/>
          <w:szCs w:val="23"/>
        </w:rPr>
      </w:pPr>
      <w:r w:rsidRPr="003B7224">
        <w:rPr>
          <w:sz w:val="23"/>
          <w:szCs w:val="23"/>
        </w:rPr>
        <w:t>B, D. Maximum‑likelihood phylogenetic trees of S6PDH (B) and SORD (D) orthologs, constructed in MEGA 7 (JTT model, 1000 bootstrap replicates; branches with &gt; 50% support are labeled). Colors denote taxonomic families.</w:t>
      </w:r>
    </w:p>
    <w:p w14:paraId="00EA3791" w14:textId="77777777" w:rsidR="00CB0EBE" w:rsidRPr="003B7224" w:rsidRDefault="00CB0EBE" w:rsidP="00CB0EBE">
      <w:pPr>
        <w:spacing w:line="300" w:lineRule="auto"/>
        <w:rPr>
          <w:sz w:val="23"/>
          <w:szCs w:val="23"/>
        </w:rPr>
      </w:pPr>
      <w:r w:rsidRPr="003B7224">
        <w:rPr>
          <w:sz w:val="23"/>
          <w:szCs w:val="23"/>
        </w:rPr>
        <w:t>E–J. Structural alignments (modeled with AlphaFold 3) of S6PDH (E–G) and SORD (H–J) proteins across species, with each color representing a different plant.</w:t>
      </w:r>
    </w:p>
    <w:p w14:paraId="34626B7A" w14:textId="77777777" w:rsidR="00CB0EBE" w:rsidRPr="003B7224" w:rsidRDefault="00CB0EBE" w:rsidP="00CB0EBE">
      <w:pPr>
        <w:spacing w:line="300" w:lineRule="auto"/>
        <w:rPr>
          <w:sz w:val="23"/>
          <w:szCs w:val="23"/>
        </w:rPr>
      </w:pPr>
      <w:r w:rsidRPr="003B7224">
        <w:rPr>
          <w:sz w:val="23"/>
          <w:szCs w:val="23"/>
        </w:rPr>
        <w:t>S6PDH (NADP-dependent D-sorbitol-6-phosphate dehydrogenase), SORD (sorbitol dehydrogenase)</w:t>
      </w:r>
      <w:r>
        <w:rPr>
          <w:rFonts w:hint="eastAsia"/>
          <w:sz w:val="23"/>
          <w:szCs w:val="23"/>
        </w:rPr>
        <w:t xml:space="preserve">. </w:t>
      </w:r>
      <w:r w:rsidRPr="003B7224">
        <w:rPr>
          <w:sz w:val="23"/>
          <w:szCs w:val="23"/>
        </w:rPr>
        <w:t>All panels include species names and corresponding NCBI/BRAD sequence IDs (see Tab. S6).</w:t>
      </w:r>
      <w:r w:rsidRPr="003B7224">
        <w:rPr>
          <w:sz w:val="23"/>
          <w:szCs w:val="23"/>
        </w:rPr>
        <w:br w:type="page"/>
      </w:r>
    </w:p>
    <w:p w14:paraId="3EC1EAD5"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4F62878D" wp14:editId="11F701F2">
            <wp:extent cx="5291726" cy="5046669"/>
            <wp:effectExtent l="0" t="0" r="4445" b="1905"/>
            <wp:docPr id="1995199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11015" cy="5065065"/>
                    </a:xfrm>
                    <a:prstGeom prst="rect">
                      <a:avLst/>
                    </a:prstGeom>
                    <a:noFill/>
                    <a:ln>
                      <a:noFill/>
                    </a:ln>
                  </pic:spPr>
                </pic:pic>
              </a:graphicData>
            </a:graphic>
          </wp:inline>
        </w:drawing>
      </w:r>
    </w:p>
    <w:p w14:paraId="305AC59C" w14:textId="77777777" w:rsidR="00CB0EBE" w:rsidRPr="00FC65C1" w:rsidRDefault="00CB0EBE" w:rsidP="00CB0EBE">
      <w:pPr>
        <w:pStyle w:val="SMHeading"/>
        <w:spacing w:before="0" w:after="0" w:line="300" w:lineRule="auto"/>
      </w:pPr>
      <w:bookmarkStart w:id="40" w:name="_Toc216766957"/>
      <w:r>
        <w:t>Extended Data Fig.</w:t>
      </w:r>
      <w:r>
        <w:rPr>
          <w:rFonts w:hint="eastAsia"/>
          <w:lang w:eastAsia="zh-CN"/>
        </w:rPr>
        <w:t xml:space="preserve"> </w:t>
      </w:r>
      <w:r w:rsidRPr="00FC65C1">
        <w:t>27 The LP-WCFS1-mediated rapid fermentation system significantly reduces the abundance of metabolites in the cinnamic acids and derivatives pathway in fresh watermelon aerial parts</w:t>
      </w:r>
      <w:bookmarkEnd w:id="40"/>
    </w:p>
    <w:p w14:paraId="255BB3C3" w14:textId="77777777" w:rsidR="00CB0EBE" w:rsidRPr="003B7224" w:rsidRDefault="00CB0EBE" w:rsidP="00CB0EBE">
      <w:pPr>
        <w:spacing w:line="300" w:lineRule="auto"/>
        <w:rPr>
          <w:sz w:val="23"/>
          <w:szCs w:val="23"/>
        </w:rPr>
      </w:pPr>
      <w:r w:rsidRPr="003B7224">
        <w:rPr>
          <w:sz w:val="23"/>
          <w:szCs w:val="23"/>
        </w:rPr>
        <w:t>A. Principal component analysis (PCA) of samples from FW and FR groups (blue and red, respectively; replicates are encircled).</w:t>
      </w:r>
    </w:p>
    <w:p w14:paraId="4A0BFB42" w14:textId="77777777" w:rsidR="00CB0EBE" w:rsidRPr="003B7224" w:rsidRDefault="00CB0EBE" w:rsidP="00CB0EBE">
      <w:pPr>
        <w:spacing w:line="300" w:lineRule="auto"/>
        <w:rPr>
          <w:sz w:val="23"/>
          <w:szCs w:val="23"/>
        </w:rPr>
      </w:pPr>
      <w:r w:rsidRPr="003B7224">
        <w:rPr>
          <w:sz w:val="23"/>
          <w:szCs w:val="23"/>
        </w:rPr>
        <w:t>B. Volcano plot of differential metabolites. All analyses were based on FDR &lt; 0.05. Gray indicates no significant difference in gene expression; blue indicates significantly downregulated gene expression; red indicates significantly upregulated gene expression.</w:t>
      </w:r>
    </w:p>
    <w:p w14:paraId="48B2EE64" w14:textId="77777777" w:rsidR="00CB0EBE" w:rsidRPr="003B7224" w:rsidRDefault="00CB0EBE" w:rsidP="00CB0EBE">
      <w:pPr>
        <w:spacing w:line="300" w:lineRule="auto"/>
        <w:rPr>
          <w:sz w:val="23"/>
          <w:szCs w:val="23"/>
        </w:rPr>
      </w:pPr>
      <w:r w:rsidRPr="003B7224">
        <w:rPr>
          <w:sz w:val="23"/>
          <w:szCs w:val="23"/>
        </w:rPr>
        <w:t>C. Venn diagram. Different colors represent comparison groups of differential metabolites.</w:t>
      </w:r>
    </w:p>
    <w:p w14:paraId="13703CE3" w14:textId="77777777" w:rsidR="00CB0EBE" w:rsidRPr="003B7224" w:rsidRDefault="00CB0EBE" w:rsidP="00CB0EBE">
      <w:pPr>
        <w:spacing w:line="300" w:lineRule="auto"/>
        <w:rPr>
          <w:sz w:val="23"/>
          <w:szCs w:val="23"/>
        </w:rPr>
      </w:pPr>
      <w:r w:rsidRPr="003B7224">
        <w:rPr>
          <w:sz w:val="23"/>
          <w:szCs w:val="23"/>
        </w:rPr>
        <w:t>D. HMDB compound classification at the class level; pie‑chart areas represent the relative proportions of metabolites in each class.</w:t>
      </w:r>
    </w:p>
    <w:p w14:paraId="53DC79AD" w14:textId="77777777" w:rsidR="00CB0EBE" w:rsidRPr="003B7224" w:rsidRDefault="00CB0EBE" w:rsidP="00CB0EBE">
      <w:pPr>
        <w:spacing w:line="300" w:lineRule="auto"/>
        <w:rPr>
          <w:sz w:val="23"/>
          <w:szCs w:val="23"/>
        </w:rPr>
      </w:pPr>
      <w:r w:rsidRPr="003B7224">
        <w:rPr>
          <w:sz w:val="23"/>
          <w:szCs w:val="23"/>
        </w:rPr>
        <w:t>E. VIP value analysis: metabolites (y‑axis) ranked by descending VIP values (x‑axis).</w:t>
      </w:r>
    </w:p>
    <w:p w14:paraId="4C34B7F1" w14:textId="77777777" w:rsidR="00CB0EBE" w:rsidRPr="003B7224" w:rsidRDefault="00CB0EBE" w:rsidP="00CB0EBE">
      <w:pPr>
        <w:spacing w:line="300" w:lineRule="auto"/>
        <w:rPr>
          <w:sz w:val="23"/>
          <w:szCs w:val="23"/>
        </w:rPr>
      </w:pPr>
      <w:r w:rsidRPr="003B7224">
        <w:rPr>
          <w:sz w:val="23"/>
          <w:szCs w:val="23"/>
        </w:rPr>
        <w:t>F. KEGG pathway enrichment analysis. Bubble size corresponds to the number of enriched compounds; color gradient indicates significance (p‑value).</w:t>
      </w:r>
    </w:p>
    <w:p w14:paraId="1D816714" w14:textId="77777777" w:rsidR="00CB0EBE" w:rsidRPr="003B7224" w:rsidRDefault="00CB0EBE" w:rsidP="00CB0EBE">
      <w:pPr>
        <w:spacing w:line="300" w:lineRule="auto"/>
        <w:rPr>
          <w:sz w:val="23"/>
          <w:szCs w:val="23"/>
        </w:rPr>
      </w:pPr>
      <w:r w:rsidRPr="003B7224">
        <w:rPr>
          <w:sz w:val="23"/>
          <w:szCs w:val="23"/>
        </w:rPr>
        <w:t xml:space="preserve">G–I. Differential metabolites in the benzene and substituted derivatives (G), cinnamic acids </w:t>
      </w:r>
      <w:r w:rsidRPr="003B7224">
        <w:rPr>
          <w:sz w:val="23"/>
          <w:szCs w:val="23"/>
        </w:rPr>
        <w:lastRenderedPageBreak/>
        <w:t>and derivatives (H), and coumarins and derivatives (I) pathways.</w:t>
      </w:r>
    </w:p>
    <w:p w14:paraId="085C2B88" w14:textId="77777777" w:rsidR="00CB0EBE" w:rsidRPr="003B7224" w:rsidRDefault="00CB0EBE" w:rsidP="00CB0EBE">
      <w:pPr>
        <w:spacing w:line="300" w:lineRule="auto"/>
        <w:rPr>
          <w:sz w:val="23"/>
          <w:szCs w:val="23"/>
        </w:rPr>
      </w:pPr>
      <w:r w:rsidRPr="003B7224">
        <w:rPr>
          <w:sz w:val="23"/>
          <w:szCs w:val="23"/>
        </w:rPr>
        <w:t>FW: Fresh watermelon aerial parts; FR: Fermentation residues.</w:t>
      </w:r>
      <w:r>
        <w:rPr>
          <w:rFonts w:hint="eastAsia"/>
          <w:sz w:val="23"/>
          <w:szCs w:val="23"/>
        </w:rPr>
        <w:t xml:space="preserve"> </w:t>
      </w:r>
      <w:r w:rsidRPr="003B7224">
        <w:rPr>
          <w:sz w:val="23"/>
          <w:szCs w:val="23"/>
        </w:rPr>
        <w:t xml:space="preserve">A two-tailed Student’s t-test was used to determine </w:t>
      </w:r>
      <w:r w:rsidRPr="003B7224">
        <w:rPr>
          <w:i/>
          <w:iCs/>
          <w:sz w:val="23"/>
          <w:szCs w:val="23"/>
        </w:rPr>
        <w:t>p</w:t>
      </w:r>
      <w:r w:rsidRPr="003B7224">
        <w:rPr>
          <w:sz w:val="23"/>
          <w:szCs w:val="23"/>
        </w:rPr>
        <w:t xml:space="preserve"> values. * </w:t>
      </w:r>
      <w:r w:rsidRPr="003B7224">
        <w:rPr>
          <w:i/>
          <w:iCs/>
          <w:sz w:val="23"/>
          <w:szCs w:val="23"/>
        </w:rPr>
        <w:t>p</w:t>
      </w:r>
      <w:r w:rsidRPr="003B7224">
        <w:rPr>
          <w:sz w:val="23"/>
          <w:szCs w:val="23"/>
        </w:rPr>
        <w:t xml:space="preserve"> &lt; 0.05, ** </w:t>
      </w:r>
      <w:r w:rsidRPr="003B7224">
        <w:rPr>
          <w:i/>
          <w:iCs/>
          <w:sz w:val="23"/>
          <w:szCs w:val="23"/>
        </w:rPr>
        <w:t>p</w:t>
      </w:r>
      <w:r w:rsidRPr="003B7224">
        <w:rPr>
          <w:sz w:val="23"/>
          <w:szCs w:val="23"/>
        </w:rPr>
        <w:t xml:space="preserve"> &lt; 0.01, ***</w:t>
      </w:r>
      <w:r w:rsidRPr="003B7224">
        <w:rPr>
          <w:i/>
          <w:iCs/>
          <w:sz w:val="23"/>
          <w:szCs w:val="23"/>
        </w:rPr>
        <w:t>p</w:t>
      </w:r>
      <w:r w:rsidRPr="003B7224">
        <w:rPr>
          <w:sz w:val="23"/>
          <w:szCs w:val="23"/>
        </w:rPr>
        <w:t xml:space="preserve"> &lt; 0.001. </w:t>
      </w:r>
      <w:r w:rsidRPr="003B7224">
        <w:rPr>
          <w:rFonts w:eastAsia="宋体"/>
          <w:sz w:val="23"/>
          <w:szCs w:val="23"/>
        </w:rPr>
        <w:t>Values are presented as the mean ± SD.</w:t>
      </w:r>
      <w:r w:rsidRPr="003B7224">
        <w:rPr>
          <w:sz w:val="23"/>
          <w:szCs w:val="23"/>
        </w:rPr>
        <w:t xml:space="preserve"> All differential metabolite analyses were based on FDR. (</w:t>
      </w:r>
      <w:r w:rsidRPr="00626AE6">
        <w:rPr>
          <w:i/>
          <w:iCs/>
          <w:sz w:val="23"/>
          <w:szCs w:val="23"/>
        </w:rPr>
        <w:t>n</w:t>
      </w:r>
      <w:r w:rsidRPr="003B7224">
        <w:rPr>
          <w:sz w:val="23"/>
          <w:szCs w:val="23"/>
        </w:rPr>
        <w:t xml:space="preserve"> = 3 biological replicates).</w:t>
      </w:r>
      <w:r w:rsidRPr="003B7224">
        <w:rPr>
          <w:sz w:val="23"/>
          <w:szCs w:val="23"/>
        </w:rPr>
        <w:br w:type="page"/>
      </w:r>
    </w:p>
    <w:p w14:paraId="52FEBBE6"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4C124C99" wp14:editId="75115F72">
            <wp:extent cx="5265420" cy="2674620"/>
            <wp:effectExtent l="0" t="0" r="0" b="0"/>
            <wp:docPr id="14740135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65420" cy="2674620"/>
                    </a:xfrm>
                    <a:prstGeom prst="rect">
                      <a:avLst/>
                    </a:prstGeom>
                    <a:noFill/>
                    <a:ln>
                      <a:noFill/>
                    </a:ln>
                  </pic:spPr>
                </pic:pic>
              </a:graphicData>
            </a:graphic>
          </wp:inline>
        </w:drawing>
      </w:r>
    </w:p>
    <w:p w14:paraId="117B48F0" w14:textId="77777777" w:rsidR="00CB0EBE" w:rsidRPr="00457F2D" w:rsidRDefault="00CB0EBE" w:rsidP="00CB0EBE">
      <w:pPr>
        <w:pStyle w:val="SMHeading"/>
        <w:spacing w:before="0" w:after="0" w:line="300" w:lineRule="auto"/>
      </w:pPr>
      <w:bookmarkStart w:id="41" w:name="_Toc216766958"/>
      <w:r>
        <w:t>Extended Data Fig.</w:t>
      </w:r>
      <w:r>
        <w:rPr>
          <w:rFonts w:hint="eastAsia"/>
          <w:lang w:eastAsia="zh-CN"/>
        </w:rPr>
        <w:t xml:space="preserve"> </w:t>
      </w:r>
      <w:r w:rsidRPr="00457F2D">
        <w:t xml:space="preserve">28 Returning fermentation residues from the LP-WCFS1-mediated rapid fermentation system to the root zone alleviates the growth inhibition of </w:t>
      </w:r>
      <w:r w:rsidRPr="00691167">
        <w:rPr>
          <w:i/>
          <w:iCs/>
        </w:rPr>
        <w:t>Brassica rapa</w:t>
      </w:r>
      <w:r w:rsidRPr="00457F2D">
        <w:t xml:space="preserve"> compared with returning fresh stems and leaves to the root zone</w:t>
      </w:r>
      <w:bookmarkEnd w:id="41"/>
    </w:p>
    <w:p w14:paraId="41A9E59F" w14:textId="77777777" w:rsidR="00CB0EBE" w:rsidRPr="003B7224" w:rsidRDefault="00CB0EBE" w:rsidP="00CB0EBE">
      <w:pPr>
        <w:spacing w:line="300" w:lineRule="auto"/>
        <w:rPr>
          <w:rFonts w:eastAsia="宋体"/>
          <w:sz w:val="23"/>
          <w:szCs w:val="23"/>
        </w:rPr>
      </w:pPr>
      <w:r w:rsidRPr="003B7224">
        <w:rPr>
          <w:rFonts w:eastAsia="宋体"/>
          <w:sz w:val="23"/>
          <w:szCs w:val="23"/>
        </w:rPr>
        <w:t xml:space="preserve">A. Field practice of </w:t>
      </w:r>
      <w:r w:rsidRPr="003B7224">
        <w:rPr>
          <w:rFonts w:eastAsia="宋体"/>
          <w:i/>
          <w:iCs/>
          <w:sz w:val="23"/>
          <w:szCs w:val="23"/>
        </w:rPr>
        <w:t>Brassica rapa</w:t>
      </w:r>
      <w:r w:rsidRPr="003B7224">
        <w:rPr>
          <w:rFonts w:eastAsia="宋体"/>
          <w:sz w:val="23"/>
          <w:szCs w:val="23"/>
        </w:rPr>
        <w:t xml:space="preserve"> rotated after watermelon harvest, photodocumented in Shangqiu, Henan, November 2025.</w:t>
      </w:r>
    </w:p>
    <w:p w14:paraId="2DDAD4B6" w14:textId="77777777" w:rsidR="00CB0EBE" w:rsidRPr="003B7224" w:rsidRDefault="00CB0EBE" w:rsidP="00CB0EBE">
      <w:pPr>
        <w:spacing w:line="300" w:lineRule="auto"/>
        <w:rPr>
          <w:rFonts w:eastAsia="宋体"/>
          <w:sz w:val="23"/>
          <w:szCs w:val="23"/>
        </w:rPr>
      </w:pPr>
      <w:r w:rsidRPr="003B7224">
        <w:rPr>
          <w:rFonts w:eastAsia="宋体"/>
          <w:sz w:val="23"/>
          <w:szCs w:val="23"/>
        </w:rPr>
        <w:t xml:space="preserve">B–K. Biomass measurements of </w:t>
      </w:r>
      <w:r w:rsidRPr="003B7224">
        <w:rPr>
          <w:rFonts w:eastAsia="宋体"/>
          <w:i/>
          <w:iCs/>
          <w:sz w:val="23"/>
          <w:szCs w:val="23"/>
        </w:rPr>
        <w:t>Brassica rapa</w:t>
      </w:r>
      <w:r w:rsidRPr="003B7224">
        <w:rPr>
          <w:rFonts w:eastAsia="宋体"/>
          <w:sz w:val="23"/>
          <w:szCs w:val="23"/>
        </w:rPr>
        <w:t>: Beijing, 2023: shoot and root dry weight (B, C). Zhangjiakou, 2024: shoot and root fresh weight (D, E). Beijing, 2024: shoot fresh weight, root fresh weight, shoot dry weight, and root dry weight (H–K, respectively).</w:t>
      </w:r>
    </w:p>
    <w:p w14:paraId="3F1F1CB0" w14:textId="77777777" w:rsidR="00CB0EBE" w:rsidRPr="003B7224" w:rsidRDefault="00CB0EBE" w:rsidP="00CB0EBE">
      <w:pPr>
        <w:spacing w:line="300" w:lineRule="auto"/>
        <w:rPr>
          <w:sz w:val="23"/>
          <w:szCs w:val="23"/>
        </w:rPr>
      </w:pPr>
      <w:r w:rsidRPr="003B7224">
        <w:rPr>
          <w:rFonts w:eastAsia="宋体"/>
          <w:sz w:val="23"/>
          <w:szCs w:val="23"/>
        </w:rPr>
        <w:t>CK: No return to field; FW: 4 g/plant fresh watermelon aerial parts; FR: 2 g/plant fermentation residues.</w:t>
      </w:r>
      <w:r>
        <w:rPr>
          <w:rFonts w:eastAsia="宋体" w:hint="eastAsia"/>
          <w:sz w:val="23"/>
          <w:szCs w:val="23"/>
        </w:rPr>
        <w:t xml:space="preserve"> </w:t>
      </w:r>
      <w:r w:rsidRPr="003B7224">
        <w:rPr>
          <w:rFonts w:eastAsia="宋体"/>
          <w:sz w:val="23"/>
          <w:szCs w:val="23"/>
        </w:rPr>
        <w:t xml:space="preserve">In B-K, </w:t>
      </w:r>
      <w:r w:rsidRPr="00626AE6">
        <w:rPr>
          <w:rFonts w:eastAsia="宋体"/>
          <w:i/>
          <w:iCs/>
          <w:sz w:val="23"/>
          <w:szCs w:val="23"/>
        </w:rPr>
        <w:t xml:space="preserve">n </w:t>
      </w:r>
      <w:r w:rsidRPr="003B7224">
        <w:rPr>
          <w:rFonts w:eastAsia="宋体"/>
          <w:sz w:val="23"/>
          <w:szCs w:val="23"/>
        </w:rPr>
        <w:t xml:space="preserve">= 18 biological replicates, one-way analysis of variance (ANOVA) followed by Tukey’s multiple comparison test was used to determine the </w:t>
      </w:r>
      <w:r w:rsidRPr="003B7224">
        <w:rPr>
          <w:rFonts w:eastAsia="宋体"/>
          <w:i/>
          <w:iCs/>
          <w:sz w:val="23"/>
          <w:szCs w:val="23"/>
        </w:rPr>
        <w:t>p</w:t>
      </w:r>
      <w:r w:rsidRPr="003B7224">
        <w:rPr>
          <w:rFonts w:eastAsia="宋体"/>
          <w:sz w:val="23"/>
          <w:szCs w:val="23"/>
        </w:rPr>
        <w:t xml:space="preserve"> values. *</w:t>
      </w:r>
      <w:r w:rsidRPr="003B7224">
        <w:rPr>
          <w:rFonts w:eastAsia="宋体"/>
          <w:i/>
          <w:iCs/>
          <w:sz w:val="23"/>
          <w:szCs w:val="23"/>
        </w:rPr>
        <w:t>p</w:t>
      </w:r>
      <w:r w:rsidRPr="003B7224">
        <w:rPr>
          <w:rFonts w:eastAsia="宋体"/>
          <w:sz w:val="23"/>
          <w:szCs w:val="23"/>
        </w:rPr>
        <w:t xml:space="preserve"> &lt; 0.05, **</w:t>
      </w:r>
      <w:r w:rsidRPr="003B7224">
        <w:rPr>
          <w:rFonts w:eastAsia="宋体"/>
          <w:i/>
          <w:iCs/>
          <w:sz w:val="23"/>
          <w:szCs w:val="23"/>
        </w:rPr>
        <w:t xml:space="preserve"> p</w:t>
      </w:r>
      <w:r w:rsidRPr="003B7224">
        <w:rPr>
          <w:rFonts w:eastAsia="宋体"/>
          <w:sz w:val="23"/>
          <w:szCs w:val="23"/>
        </w:rPr>
        <w:t xml:space="preserve"> &lt; 0.01, and ***</w:t>
      </w:r>
      <w:r w:rsidRPr="003B7224">
        <w:rPr>
          <w:rFonts w:eastAsia="宋体"/>
          <w:i/>
          <w:iCs/>
          <w:sz w:val="23"/>
          <w:szCs w:val="23"/>
        </w:rPr>
        <w:t xml:space="preserve"> p</w:t>
      </w:r>
      <w:r w:rsidRPr="003B7224">
        <w:rPr>
          <w:rFonts w:eastAsia="宋体"/>
          <w:sz w:val="23"/>
          <w:szCs w:val="23"/>
        </w:rPr>
        <w:t xml:space="preserve"> &lt; 0.001. Values are presented as the mean ± SD.</w:t>
      </w:r>
      <w:r w:rsidRPr="003B7224">
        <w:rPr>
          <w:sz w:val="23"/>
          <w:szCs w:val="23"/>
        </w:rPr>
        <w:br w:type="page"/>
      </w:r>
    </w:p>
    <w:p w14:paraId="279C6C39"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36879EC3" wp14:editId="0BE26C8B">
            <wp:extent cx="5265420" cy="3558540"/>
            <wp:effectExtent l="0" t="0" r="0" b="3810"/>
            <wp:docPr id="17369581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65420" cy="3558540"/>
                    </a:xfrm>
                    <a:prstGeom prst="rect">
                      <a:avLst/>
                    </a:prstGeom>
                    <a:noFill/>
                    <a:ln>
                      <a:noFill/>
                    </a:ln>
                  </pic:spPr>
                </pic:pic>
              </a:graphicData>
            </a:graphic>
          </wp:inline>
        </w:drawing>
      </w:r>
    </w:p>
    <w:p w14:paraId="36F089D8" w14:textId="77777777" w:rsidR="00CB0EBE" w:rsidRPr="00C36658" w:rsidRDefault="00CB0EBE" w:rsidP="00CB0EBE">
      <w:pPr>
        <w:pStyle w:val="SMHeading"/>
        <w:spacing w:before="0" w:after="0" w:line="300" w:lineRule="auto"/>
      </w:pPr>
      <w:bookmarkStart w:id="42" w:name="_Toc216766959"/>
      <w:r>
        <w:t>Extended Data Fig.</w:t>
      </w:r>
      <w:r>
        <w:rPr>
          <w:rFonts w:hint="eastAsia"/>
          <w:lang w:eastAsia="zh-CN"/>
        </w:rPr>
        <w:t xml:space="preserve"> </w:t>
      </w:r>
      <w:r w:rsidRPr="00C36658">
        <w:t xml:space="preserve">29 Returning fermentation residues from the LP-WCFS1-mediated rapid fermentation system to the root zone alleviates the inhibition of </w:t>
      </w:r>
      <w:r w:rsidRPr="00C36658">
        <w:rPr>
          <w:i/>
          <w:iCs/>
        </w:rPr>
        <w:t>Zea mays</w:t>
      </w:r>
      <w:r w:rsidRPr="00C36658">
        <w:t xml:space="preserve"> growth and yield compared with returning fresh stems and leaves to the root zone</w:t>
      </w:r>
      <w:bookmarkEnd w:id="42"/>
    </w:p>
    <w:p w14:paraId="44E4F3B8" w14:textId="77777777" w:rsidR="00CB0EBE" w:rsidRPr="003B7224" w:rsidRDefault="00CB0EBE" w:rsidP="00CB0EBE">
      <w:pPr>
        <w:widowControl/>
        <w:spacing w:line="300" w:lineRule="auto"/>
        <w:rPr>
          <w:sz w:val="23"/>
          <w:szCs w:val="23"/>
        </w:rPr>
      </w:pPr>
      <w:r w:rsidRPr="003B7224">
        <w:rPr>
          <w:sz w:val="23"/>
          <w:szCs w:val="23"/>
        </w:rPr>
        <w:t xml:space="preserve">A. Phenotype of </w:t>
      </w:r>
      <w:r w:rsidRPr="003B7224">
        <w:rPr>
          <w:i/>
          <w:iCs/>
          <w:sz w:val="23"/>
          <w:szCs w:val="23"/>
        </w:rPr>
        <w:t>Zea mays</w:t>
      </w:r>
      <w:r w:rsidRPr="003B7224">
        <w:rPr>
          <w:sz w:val="23"/>
          <w:szCs w:val="23"/>
        </w:rPr>
        <w:t xml:space="preserve"> seedlings following treatment under field conditions in Shangqiu, 2024.</w:t>
      </w:r>
    </w:p>
    <w:p w14:paraId="1E66A1ED" w14:textId="77777777" w:rsidR="00CB0EBE" w:rsidRPr="003B7224" w:rsidRDefault="00CB0EBE" w:rsidP="00CB0EBE">
      <w:pPr>
        <w:widowControl/>
        <w:spacing w:line="300" w:lineRule="auto"/>
        <w:rPr>
          <w:sz w:val="23"/>
          <w:szCs w:val="23"/>
        </w:rPr>
      </w:pPr>
      <w:r w:rsidRPr="003B7224">
        <w:rPr>
          <w:sz w:val="23"/>
          <w:szCs w:val="23"/>
        </w:rPr>
        <w:t xml:space="preserve">B, C. Phenotype (B) and yield (C) of mature </w:t>
      </w:r>
      <w:r w:rsidRPr="003B7224">
        <w:rPr>
          <w:i/>
          <w:iCs/>
          <w:sz w:val="23"/>
          <w:szCs w:val="23"/>
        </w:rPr>
        <w:t>Zea mays</w:t>
      </w:r>
      <w:r w:rsidRPr="003B7224">
        <w:rPr>
          <w:sz w:val="23"/>
          <w:szCs w:val="23"/>
        </w:rPr>
        <w:t xml:space="preserve"> under field conditions in Shangqiu, 2024.</w:t>
      </w:r>
    </w:p>
    <w:p w14:paraId="625ED0E5" w14:textId="77777777" w:rsidR="00CB0EBE" w:rsidRPr="003B7224" w:rsidRDefault="00CB0EBE" w:rsidP="00CB0EBE">
      <w:pPr>
        <w:widowControl/>
        <w:spacing w:line="300" w:lineRule="auto"/>
        <w:rPr>
          <w:sz w:val="23"/>
          <w:szCs w:val="23"/>
        </w:rPr>
      </w:pPr>
      <w:r w:rsidRPr="003B7224">
        <w:rPr>
          <w:sz w:val="23"/>
          <w:szCs w:val="23"/>
        </w:rPr>
        <w:t xml:space="preserve">D–G. </w:t>
      </w:r>
      <w:r w:rsidRPr="003B7224">
        <w:rPr>
          <w:i/>
          <w:iCs/>
          <w:sz w:val="23"/>
          <w:szCs w:val="23"/>
        </w:rPr>
        <w:t>Zea mays</w:t>
      </w:r>
      <w:r w:rsidRPr="003B7224">
        <w:rPr>
          <w:sz w:val="23"/>
          <w:szCs w:val="23"/>
        </w:rPr>
        <w:t xml:space="preserve"> growth under solar greenhouse conditions in Beijing, 2024: shoot dry weight (D), root dry weight (E), plant height (F), and stem diameter (G).</w:t>
      </w:r>
    </w:p>
    <w:p w14:paraId="6A80CC30" w14:textId="77777777" w:rsidR="00CB0EBE" w:rsidRPr="003B7224" w:rsidRDefault="00CB0EBE" w:rsidP="00CB0EBE">
      <w:pPr>
        <w:widowControl/>
        <w:spacing w:line="300" w:lineRule="auto"/>
        <w:rPr>
          <w:sz w:val="23"/>
          <w:szCs w:val="23"/>
        </w:rPr>
      </w:pPr>
      <w:r w:rsidRPr="003B7224">
        <w:rPr>
          <w:sz w:val="23"/>
          <w:szCs w:val="23"/>
        </w:rPr>
        <w:t xml:space="preserve">H–M. </w:t>
      </w:r>
      <w:r w:rsidRPr="003B7224">
        <w:rPr>
          <w:i/>
          <w:iCs/>
          <w:sz w:val="23"/>
          <w:szCs w:val="23"/>
        </w:rPr>
        <w:t>Zea mays</w:t>
      </w:r>
      <w:r w:rsidRPr="003B7224">
        <w:rPr>
          <w:sz w:val="23"/>
          <w:szCs w:val="23"/>
        </w:rPr>
        <w:t xml:space="preserve"> growth under growth chamber conditions in Zhangjiakou, 2024: shoot fresh weight (H), root fresh weight (I), shoot dry weight (J), root dry weight (K), plant height (L), and stem diameter (M).</w:t>
      </w:r>
    </w:p>
    <w:p w14:paraId="6A2635F6" w14:textId="77777777" w:rsidR="00CB0EBE" w:rsidRPr="003B7224" w:rsidRDefault="00CB0EBE" w:rsidP="00CB0EBE">
      <w:pPr>
        <w:widowControl/>
        <w:spacing w:line="300" w:lineRule="auto"/>
        <w:rPr>
          <w:sz w:val="23"/>
          <w:szCs w:val="23"/>
        </w:rPr>
      </w:pPr>
      <w:r w:rsidRPr="003B7224">
        <w:rPr>
          <w:sz w:val="23"/>
          <w:szCs w:val="23"/>
        </w:rPr>
        <w:t>CK: No return to field; FW: 4 g/plant fresh watermelon aerial parts; FR: 2 g/plant fermentation residues.</w:t>
      </w:r>
      <w:r>
        <w:rPr>
          <w:rFonts w:hint="eastAsia"/>
          <w:sz w:val="23"/>
          <w:szCs w:val="23"/>
        </w:rPr>
        <w:t xml:space="preserve"> </w:t>
      </w:r>
      <w:r w:rsidRPr="003B7224">
        <w:rPr>
          <w:rFonts w:eastAsia="宋体"/>
          <w:sz w:val="23"/>
          <w:szCs w:val="23"/>
        </w:rPr>
        <w:t xml:space="preserve">In D - M, </w:t>
      </w:r>
      <w:r w:rsidRPr="00626AE6">
        <w:rPr>
          <w:rFonts w:eastAsia="宋体"/>
          <w:i/>
          <w:iCs/>
          <w:sz w:val="23"/>
          <w:szCs w:val="23"/>
        </w:rPr>
        <w:t xml:space="preserve">n </w:t>
      </w:r>
      <w:r w:rsidRPr="003B7224">
        <w:rPr>
          <w:rFonts w:eastAsia="宋体"/>
          <w:sz w:val="23"/>
          <w:szCs w:val="23"/>
        </w:rPr>
        <w:t xml:space="preserve">= 18 biological replicates, one-way analysis of variance (ANOVA) followed by Tukey’s multiple comparison test was used to determine the </w:t>
      </w:r>
      <w:r w:rsidRPr="003B7224">
        <w:rPr>
          <w:rFonts w:eastAsia="宋体"/>
          <w:i/>
          <w:iCs/>
          <w:sz w:val="23"/>
          <w:szCs w:val="23"/>
        </w:rPr>
        <w:t>p</w:t>
      </w:r>
      <w:r w:rsidRPr="003B7224">
        <w:rPr>
          <w:rFonts w:eastAsia="宋体"/>
          <w:sz w:val="23"/>
          <w:szCs w:val="23"/>
        </w:rPr>
        <w:t xml:space="preserve"> values. *</w:t>
      </w:r>
      <w:r w:rsidRPr="003B7224">
        <w:rPr>
          <w:rFonts w:eastAsia="宋体"/>
          <w:i/>
          <w:iCs/>
          <w:sz w:val="23"/>
          <w:szCs w:val="23"/>
        </w:rPr>
        <w:t>p</w:t>
      </w:r>
      <w:r w:rsidRPr="003B7224">
        <w:rPr>
          <w:rFonts w:eastAsia="宋体"/>
          <w:sz w:val="23"/>
          <w:szCs w:val="23"/>
        </w:rPr>
        <w:t xml:space="preserve"> &lt; 0.05, **</w:t>
      </w:r>
      <w:r w:rsidRPr="003B7224">
        <w:rPr>
          <w:rFonts w:eastAsia="宋体"/>
          <w:i/>
          <w:iCs/>
          <w:sz w:val="23"/>
          <w:szCs w:val="23"/>
        </w:rPr>
        <w:t xml:space="preserve"> p</w:t>
      </w:r>
      <w:r w:rsidRPr="003B7224">
        <w:rPr>
          <w:rFonts w:eastAsia="宋体"/>
          <w:sz w:val="23"/>
          <w:szCs w:val="23"/>
        </w:rPr>
        <w:t xml:space="preserve"> &lt; 0.01, and ***</w:t>
      </w:r>
      <w:r w:rsidRPr="003B7224">
        <w:rPr>
          <w:rFonts w:eastAsia="宋体"/>
          <w:i/>
          <w:iCs/>
          <w:sz w:val="23"/>
          <w:szCs w:val="23"/>
        </w:rPr>
        <w:t xml:space="preserve"> p</w:t>
      </w:r>
      <w:r w:rsidRPr="003B7224">
        <w:rPr>
          <w:rFonts w:eastAsia="宋体"/>
          <w:sz w:val="23"/>
          <w:szCs w:val="23"/>
        </w:rPr>
        <w:t xml:space="preserve"> &lt; 0.001. Values are presented as the mean ± SD.</w:t>
      </w:r>
      <w:r w:rsidRPr="003B7224">
        <w:rPr>
          <w:sz w:val="23"/>
          <w:szCs w:val="23"/>
        </w:rPr>
        <w:br w:type="page"/>
      </w:r>
    </w:p>
    <w:p w14:paraId="56F1071E"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086AD1D6" wp14:editId="0500C135">
            <wp:extent cx="5265420" cy="5394960"/>
            <wp:effectExtent l="0" t="0" r="0" b="0"/>
            <wp:docPr id="4208401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65420" cy="5394960"/>
                    </a:xfrm>
                    <a:prstGeom prst="rect">
                      <a:avLst/>
                    </a:prstGeom>
                    <a:noFill/>
                    <a:ln>
                      <a:noFill/>
                    </a:ln>
                  </pic:spPr>
                </pic:pic>
              </a:graphicData>
            </a:graphic>
          </wp:inline>
        </w:drawing>
      </w:r>
    </w:p>
    <w:p w14:paraId="77AAE130" w14:textId="77777777" w:rsidR="00CB0EBE" w:rsidRPr="00D83DFD" w:rsidRDefault="00CB0EBE" w:rsidP="00CB0EBE">
      <w:pPr>
        <w:pStyle w:val="SMHeading"/>
        <w:spacing w:before="0" w:after="0" w:line="300" w:lineRule="auto"/>
      </w:pPr>
      <w:bookmarkStart w:id="43" w:name="_Toc216766960"/>
      <w:r>
        <w:t>Extended Data Fig.</w:t>
      </w:r>
      <w:r>
        <w:rPr>
          <w:rFonts w:hint="eastAsia"/>
          <w:lang w:eastAsia="zh-CN"/>
        </w:rPr>
        <w:t xml:space="preserve"> </w:t>
      </w:r>
      <w:r w:rsidRPr="00D83DFD">
        <w:t>30 Returning fermentation residues from the LP-WCFS1-mediated rapid fermentation system to the root zone changed the rhizosphere microbial community structure</w:t>
      </w:r>
      <w:bookmarkEnd w:id="43"/>
    </w:p>
    <w:p w14:paraId="718DDFBA" w14:textId="77777777" w:rsidR="00CB0EBE" w:rsidRPr="003B7224" w:rsidRDefault="00CB0EBE" w:rsidP="00CB0EBE">
      <w:pPr>
        <w:widowControl/>
        <w:spacing w:line="300" w:lineRule="auto"/>
        <w:rPr>
          <w:rFonts w:eastAsia="宋体"/>
          <w:sz w:val="23"/>
          <w:szCs w:val="23"/>
        </w:rPr>
      </w:pPr>
      <w:r w:rsidRPr="003B7224">
        <w:rPr>
          <w:rFonts w:eastAsia="宋体"/>
          <w:sz w:val="23"/>
          <w:szCs w:val="23"/>
        </w:rPr>
        <w:t>A. Venn diagram of microbial community structure.</w:t>
      </w:r>
    </w:p>
    <w:p w14:paraId="6ACCD4FC" w14:textId="77777777" w:rsidR="00CB0EBE" w:rsidRPr="003B7224" w:rsidRDefault="00CB0EBE" w:rsidP="00CB0EBE">
      <w:pPr>
        <w:spacing w:line="300" w:lineRule="auto"/>
        <w:rPr>
          <w:sz w:val="23"/>
          <w:szCs w:val="23"/>
        </w:rPr>
      </w:pPr>
      <w:r w:rsidRPr="003B7224">
        <w:rPr>
          <w:rFonts w:eastAsia="宋体"/>
          <w:sz w:val="23"/>
          <w:szCs w:val="23"/>
        </w:rPr>
        <w:t xml:space="preserve">B. </w:t>
      </w:r>
      <w:r w:rsidRPr="003B7224">
        <w:rPr>
          <w:sz w:val="23"/>
          <w:szCs w:val="23"/>
        </w:rPr>
        <w:t>Principal component analysis (PCA) of samples from CK, FW and FR groups (blue and red, respectively; replicates are encircled).</w:t>
      </w:r>
    </w:p>
    <w:p w14:paraId="4F13AF79" w14:textId="77777777" w:rsidR="00CB0EBE" w:rsidRPr="003B7224" w:rsidRDefault="00CB0EBE" w:rsidP="00CB0EBE">
      <w:pPr>
        <w:widowControl/>
        <w:spacing w:line="300" w:lineRule="auto"/>
        <w:rPr>
          <w:rFonts w:eastAsia="宋体"/>
          <w:sz w:val="23"/>
          <w:szCs w:val="23"/>
        </w:rPr>
      </w:pPr>
      <w:r w:rsidRPr="003B7224">
        <w:rPr>
          <w:rFonts w:eastAsia="宋体"/>
          <w:sz w:val="23"/>
          <w:szCs w:val="23"/>
        </w:rPr>
        <w:t>C. Analysis of intergroup differences in beta diversity. The y-axis represents beta diversity distance values between samples of different groups. Significant differences in community structure were observed among CK, FR, and FW groups.</w:t>
      </w:r>
    </w:p>
    <w:p w14:paraId="413F8C66" w14:textId="77777777" w:rsidR="00CB0EBE" w:rsidRPr="003B7224" w:rsidRDefault="00CB0EBE" w:rsidP="00CB0EBE">
      <w:pPr>
        <w:widowControl/>
        <w:spacing w:line="300" w:lineRule="auto"/>
        <w:rPr>
          <w:rFonts w:eastAsia="宋体"/>
          <w:sz w:val="23"/>
          <w:szCs w:val="23"/>
        </w:rPr>
      </w:pPr>
      <w:r w:rsidRPr="003B7224">
        <w:rPr>
          <w:rFonts w:eastAsia="宋体"/>
          <w:sz w:val="23"/>
          <w:szCs w:val="23"/>
        </w:rPr>
        <w:t>D. Stacked bar chart of community composition. The x-axis denotes sample names, and the y-axis denotes the relative proportion of each species in the sample.</w:t>
      </w:r>
    </w:p>
    <w:p w14:paraId="3DF9FDEC" w14:textId="77777777" w:rsidR="00CB0EBE" w:rsidRPr="003B7224" w:rsidRDefault="00CB0EBE" w:rsidP="00CB0EBE">
      <w:pPr>
        <w:widowControl/>
        <w:spacing w:line="300" w:lineRule="auto"/>
        <w:rPr>
          <w:rFonts w:eastAsia="宋体"/>
          <w:sz w:val="23"/>
          <w:szCs w:val="23"/>
        </w:rPr>
      </w:pPr>
      <w:r w:rsidRPr="003B7224">
        <w:rPr>
          <w:rFonts w:eastAsia="宋体"/>
          <w:sz w:val="23"/>
          <w:szCs w:val="23"/>
        </w:rPr>
        <w:t xml:space="preserve">E. Heatmap of the top 10 dominant microbial species. The x-axis denotes sample names, and the y-axis denotes species names. Color gradients indicate changes in species </w:t>
      </w:r>
      <w:r w:rsidRPr="003B7224">
        <w:rPr>
          <w:rFonts w:eastAsia="宋体"/>
          <w:sz w:val="23"/>
          <w:szCs w:val="23"/>
        </w:rPr>
        <w:lastRenderedPageBreak/>
        <w:t>abundance across samples, with the color scale on the right representing corresponding values.</w:t>
      </w:r>
    </w:p>
    <w:p w14:paraId="3A8F0A8C" w14:textId="77777777" w:rsidR="00CB0EBE" w:rsidRPr="003B7224" w:rsidRDefault="00CB0EBE" w:rsidP="00CB0EBE">
      <w:pPr>
        <w:widowControl/>
        <w:spacing w:line="300" w:lineRule="auto"/>
        <w:rPr>
          <w:rFonts w:eastAsia="宋体"/>
          <w:sz w:val="23"/>
          <w:szCs w:val="23"/>
        </w:rPr>
      </w:pPr>
      <w:r w:rsidRPr="003B7224">
        <w:rPr>
          <w:rFonts w:eastAsia="宋体"/>
          <w:sz w:val="23"/>
          <w:szCs w:val="23"/>
        </w:rPr>
        <w:t>F. Ternary plot. The three corners represent three sample groups, and the legend indicates taxonomic levels (e.g., phylum level). Solid circles in the plot represent species at the selected taxonomic level (other levels optional), with circle size corresponding to the average relative abundance of the species.</w:t>
      </w:r>
    </w:p>
    <w:p w14:paraId="1C945F19" w14:textId="77777777" w:rsidR="00CB0EBE" w:rsidRPr="003B7224" w:rsidRDefault="00CB0EBE" w:rsidP="00CB0EBE">
      <w:pPr>
        <w:widowControl/>
        <w:spacing w:line="300" w:lineRule="auto"/>
        <w:rPr>
          <w:sz w:val="23"/>
          <w:szCs w:val="23"/>
        </w:rPr>
      </w:pPr>
      <w:r w:rsidRPr="003B7224">
        <w:rPr>
          <w:rFonts w:eastAsia="宋体"/>
          <w:sz w:val="23"/>
          <w:szCs w:val="23"/>
        </w:rPr>
        <w:t>CK: No return to field; FW: 4 g/plant fresh watermelon aerial parts; FR: 2 g/plant fermentation residues.</w:t>
      </w:r>
      <w:r>
        <w:rPr>
          <w:rFonts w:eastAsia="宋体" w:hint="eastAsia"/>
          <w:sz w:val="23"/>
          <w:szCs w:val="23"/>
        </w:rPr>
        <w:t xml:space="preserve"> </w:t>
      </w:r>
      <w:r w:rsidRPr="003B7224">
        <w:rPr>
          <w:rFonts w:eastAsia="宋体"/>
          <w:sz w:val="23"/>
          <w:szCs w:val="23"/>
        </w:rPr>
        <w:t xml:space="preserve">In C, </w:t>
      </w:r>
      <w:r w:rsidRPr="00626AE6">
        <w:rPr>
          <w:rFonts w:eastAsia="宋体"/>
          <w:i/>
          <w:iCs/>
          <w:sz w:val="23"/>
          <w:szCs w:val="23"/>
        </w:rPr>
        <w:t>n</w:t>
      </w:r>
      <w:r w:rsidRPr="003B7224">
        <w:rPr>
          <w:rFonts w:eastAsia="宋体"/>
          <w:sz w:val="23"/>
          <w:szCs w:val="23"/>
        </w:rPr>
        <w:t xml:space="preserve"> = 3 biological replicates, one-way analysis of variance (ANOVA) followed by Tukey’s multiple comparison test was used to determine the </w:t>
      </w:r>
      <w:r w:rsidRPr="003B7224">
        <w:rPr>
          <w:rFonts w:eastAsia="宋体"/>
          <w:i/>
          <w:iCs/>
          <w:sz w:val="23"/>
          <w:szCs w:val="23"/>
        </w:rPr>
        <w:t>p</w:t>
      </w:r>
      <w:r w:rsidRPr="003B7224">
        <w:rPr>
          <w:rFonts w:eastAsia="宋体"/>
          <w:sz w:val="23"/>
          <w:szCs w:val="23"/>
        </w:rPr>
        <w:t xml:space="preserve"> values. *</w:t>
      </w:r>
      <w:r w:rsidRPr="003B7224">
        <w:rPr>
          <w:rFonts w:eastAsia="宋体"/>
          <w:i/>
          <w:iCs/>
          <w:sz w:val="23"/>
          <w:szCs w:val="23"/>
        </w:rPr>
        <w:t>p</w:t>
      </w:r>
      <w:r w:rsidRPr="003B7224">
        <w:rPr>
          <w:rFonts w:eastAsia="宋体"/>
          <w:sz w:val="23"/>
          <w:szCs w:val="23"/>
        </w:rPr>
        <w:t xml:space="preserve"> &lt; 0.05, **</w:t>
      </w:r>
      <w:r w:rsidRPr="003B7224">
        <w:rPr>
          <w:rFonts w:eastAsia="宋体"/>
          <w:i/>
          <w:iCs/>
          <w:sz w:val="23"/>
          <w:szCs w:val="23"/>
        </w:rPr>
        <w:t xml:space="preserve"> p</w:t>
      </w:r>
      <w:r w:rsidRPr="003B7224">
        <w:rPr>
          <w:rFonts w:eastAsia="宋体"/>
          <w:sz w:val="23"/>
          <w:szCs w:val="23"/>
        </w:rPr>
        <w:t xml:space="preserve"> &lt; 0.01, and ***</w:t>
      </w:r>
      <w:r w:rsidRPr="003B7224">
        <w:rPr>
          <w:rFonts w:eastAsia="宋体"/>
          <w:i/>
          <w:iCs/>
          <w:sz w:val="23"/>
          <w:szCs w:val="23"/>
        </w:rPr>
        <w:t xml:space="preserve"> p</w:t>
      </w:r>
      <w:r w:rsidRPr="003B7224">
        <w:rPr>
          <w:rFonts w:eastAsia="宋体"/>
          <w:sz w:val="23"/>
          <w:szCs w:val="23"/>
        </w:rPr>
        <w:t xml:space="preserve"> &lt; 0.001. Values are presented as the mean ± SD.</w:t>
      </w:r>
      <w:r w:rsidRPr="003B7224">
        <w:rPr>
          <w:sz w:val="23"/>
          <w:szCs w:val="23"/>
        </w:rPr>
        <w:br w:type="page"/>
      </w:r>
    </w:p>
    <w:p w14:paraId="03110B71"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0900C627" wp14:editId="7DBE8CF9">
            <wp:extent cx="5265420" cy="3299460"/>
            <wp:effectExtent l="0" t="0" r="0" b="0"/>
            <wp:docPr id="8267159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65420" cy="3299460"/>
                    </a:xfrm>
                    <a:prstGeom prst="rect">
                      <a:avLst/>
                    </a:prstGeom>
                    <a:noFill/>
                    <a:ln>
                      <a:noFill/>
                    </a:ln>
                  </pic:spPr>
                </pic:pic>
              </a:graphicData>
            </a:graphic>
          </wp:inline>
        </w:drawing>
      </w:r>
    </w:p>
    <w:p w14:paraId="3FF09ADC" w14:textId="77777777" w:rsidR="00CB0EBE" w:rsidRPr="00EB120E" w:rsidRDefault="00CB0EBE" w:rsidP="00CB0EBE">
      <w:pPr>
        <w:pStyle w:val="SMHeading"/>
        <w:spacing w:before="0" w:after="0" w:line="300" w:lineRule="auto"/>
      </w:pPr>
      <w:bookmarkStart w:id="44" w:name="_Toc216766961"/>
      <w:r>
        <w:t>Extended Data Fig.</w:t>
      </w:r>
      <w:r>
        <w:rPr>
          <w:rFonts w:hint="eastAsia"/>
          <w:lang w:eastAsia="zh-CN"/>
        </w:rPr>
        <w:t xml:space="preserve"> </w:t>
      </w:r>
      <w:r w:rsidRPr="00EB120E">
        <w:t>31 LP-WCFS1 rapid fermentation residues improve the rhizosphere microbial community structure of Chinese cabbage and reduce rhizosphere microbial fermentation functions</w:t>
      </w:r>
      <w:bookmarkEnd w:id="44"/>
    </w:p>
    <w:p w14:paraId="0C71B53B" w14:textId="77777777" w:rsidR="00CB0EBE" w:rsidRPr="003B7224" w:rsidRDefault="00CB0EBE" w:rsidP="00CB0EBE">
      <w:pPr>
        <w:spacing w:line="300" w:lineRule="auto"/>
        <w:rPr>
          <w:sz w:val="23"/>
          <w:szCs w:val="23"/>
        </w:rPr>
      </w:pPr>
      <w:r w:rsidRPr="003B7224">
        <w:rPr>
          <w:sz w:val="23"/>
          <w:szCs w:val="23"/>
        </w:rPr>
        <w:t>A. Differential abundance of species across groups, showing mean relative abundance (x‑axis) per species (y‑axis).</w:t>
      </w:r>
    </w:p>
    <w:p w14:paraId="0142519C" w14:textId="77777777" w:rsidR="00CB0EBE" w:rsidRPr="003B7224" w:rsidRDefault="00CB0EBE" w:rsidP="00CB0EBE">
      <w:pPr>
        <w:spacing w:line="300" w:lineRule="auto"/>
        <w:rPr>
          <w:sz w:val="23"/>
          <w:szCs w:val="23"/>
        </w:rPr>
      </w:pPr>
      <w:r w:rsidRPr="003B7224">
        <w:rPr>
          <w:sz w:val="23"/>
          <w:szCs w:val="23"/>
        </w:rPr>
        <w:t>B. Single‑factor correlation network of the top 10 abundant species. Nodes represent species (size = abundance); edges show significant Spearman correlations (</w:t>
      </w:r>
      <w:r w:rsidRPr="003B7224">
        <w:rPr>
          <w:i/>
          <w:iCs/>
          <w:sz w:val="23"/>
          <w:szCs w:val="23"/>
        </w:rPr>
        <w:t>p</w:t>
      </w:r>
      <w:r w:rsidRPr="003B7224">
        <w:rPr>
          <w:sz w:val="23"/>
          <w:szCs w:val="23"/>
        </w:rPr>
        <w:t xml:space="preserve"> &lt; 0.05) with color indicating direction (red: positive, blue: negative) and thickness reflecting correlation strength.</w:t>
      </w:r>
    </w:p>
    <w:p w14:paraId="6841717C" w14:textId="77777777" w:rsidR="00CB0EBE" w:rsidRPr="003B7224" w:rsidRDefault="00CB0EBE" w:rsidP="00CB0EBE">
      <w:pPr>
        <w:spacing w:line="300" w:lineRule="auto"/>
        <w:rPr>
          <w:sz w:val="23"/>
          <w:szCs w:val="23"/>
        </w:rPr>
      </w:pPr>
      <w:r w:rsidRPr="003B7224">
        <w:rPr>
          <w:sz w:val="23"/>
          <w:szCs w:val="23"/>
        </w:rPr>
        <w:t>C. Phylogenetic tree of species (left, colored by higher taxon, branch length = evolutionary distance) alongside bar charts of read proportions per group (right).</w:t>
      </w:r>
    </w:p>
    <w:p w14:paraId="31AB9B82" w14:textId="77777777" w:rsidR="00CB0EBE" w:rsidRPr="003B7224" w:rsidRDefault="00CB0EBE" w:rsidP="00CB0EBE">
      <w:pPr>
        <w:spacing w:line="300" w:lineRule="auto"/>
        <w:rPr>
          <w:sz w:val="23"/>
          <w:szCs w:val="23"/>
        </w:rPr>
      </w:pPr>
      <w:r w:rsidRPr="003B7224">
        <w:rPr>
          <w:sz w:val="23"/>
          <w:szCs w:val="23"/>
        </w:rPr>
        <w:t>D. FAPROTAX-predicted functional profiles, displaying the relative abundance of each function across groups.</w:t>
      </w:r>
    </w:p>
    <w:p w14:paraId="1F799A07" w14:textId="77777777" w:rsidR="00CB0EBE" w:rsidRPr="003B7224" w:rsidRDefault="00CB0EBE" w:rsidP="00CB0EBE">
      <w:pPr>
        <w:spacing w:line="300" w:lineRule="auto"/>
        <w:rPr>
          <w:sz w:val="23"/>
          <w:szCs w:val="23"/>
        </w:rPr>
      </w:pPr>
      <w:r w:rsidRPr="003B7224">
        <w:rPr>
          <w:sz w:val="23"/>
          <w:szCs w:val="23"/>
        </w:rPr>
        <w:t xml:space="preserve">CK: </w:t>
      </w:r>
      <w:r w:rsidRPr="003B7224">
        <w:rPr>
          <w:rFonts w:eastAsia="宋体"/>
          <w:sz w:val="23"/>
          <w:szCs w:val="23"/>
        </w:rPr>
        <w:t>No return to field</w:t>
      </w:r>
      <w:r w:rsidRPr="003B7224">
        <w:rPr>
          <w:sz w:val="23"/>
          <w:szCs w:val="23"/>
        </w:rPr>
        <w:t>; FW: 4 g/plant fresh watermelon aerial parts; FR: 2 g/plant fermentation residues.</w:t>
      </w:r>
      <w:r>
        <w:rPr>
          <w:rFonts w:hint="eastAsia"/>
          <w:sz w:val="23"/>
          <w:szCs w:val="23"/>
        </w:rPr>
        <w:t xml:space="preserve"> </w:t>
      </w:r>
      <w:r w:rsidRPr="003B7224">
        <w:rPr>
          <w:sz w:val="23"/>
          <w:szCs w:val="23"/>
        </w:rPr>
        <w:t xml:space="preserve">In A, D, </w:t>
      </w:r>
      <w:r w:rsidRPr="00626AE6">
        <w:rPr>
          <w:rFonts w:eastAsia="宋体"/>
          <w:i/>
          <w:iCs/>
          <w:sz w:val="23"/>
          <w:szCs w:val="23"/>
        </w:rPr>
        <w:t>n</w:t>
      </w:r>
      <w:r w:rsidRPr="003B7224">
        <w:rPr>
          <w:rFonts w:eastAsia="宋体"/>
          <w:sz w:val="23"/>
          <w:szCs w:val="23"/>
        </w:rPr>
        <w:t xml:space="preserve"> = 3 biological replicates</w:t>
      </w:r>
      <w:r w:rsidRPr="003B7224">
        <w:rPr>
          <w:sz w:val="23"/>
          <w:szCs w:val="23"/>
        </w:rPr>
        <w:t xml:space="preserve">, </w:t>
      </w:r>
      <w:r w:rsidRPr="003B7224">
        <w:rPr>
          <w:rFonts w:eastAsia="宋体"/>
          <w:sz w:val="23"/>
          <w:szCs w:val="23"/>
        </w:rPr>
        <w:t xml:space="preserve">one-way analysis of variance (ANOVA) followed by Tukey’s multiple comparison test was used to determine the </w:t>
      </w:r>
      <w:r w:rsidRPr="003B7224">
        <w:rPr>
          <w:rFonts w:eastAsia="宋体"/>
          <w:i/>
          <w:iCs/>
          <w:sz w:val="23"/>
          <w:szCs w:val="23"/>
        </w:rPr>
        <w:t>p</w:t>
      </w:r>
      <w:r w:rsidRPr="003B7224">
        <w:rPr>
          <w:rFonts w:eastAsia="宋体"/>
          <w:sz w:val="23"/>
          <w:szCs w:val="23"/>
        </w:rPr>
        <w:t xml:space="preserve"> values. *</w:t>
      </w:r>
      <w:r w:rsidRPr="003B7224">
        <w:rPr>
          <w:rFonts w:eastAsia="宋体"/>
          <w:i/>
          <w:iCs/>
          <w:sz w:val="23"/>
          <w:szCs w:val="23"/>
        </w:rPr>
        <w:t>p</w:t>
      </w:r>
      <w:r w:rsidRPr="003B7224">
        <w:rPr>
          <w:rFonts w:eastAsia="宋体"/>
          <w:sz w:val="23"/>
          <w:szCs w:val="23"/>
        </w:rPr>
        <w:t xml:space="preserve"> &lt; 0.05, **</w:t>
      </w:r>
      <w:r w:rsidRPr="003B7224">
        <w:rPr>
          <w:rFonts w:eastAsia="宋体"/>
          <w:i/>
          <w:iCs/>
          <w:sz w:val="23"/>
          <w:szCs w:val="23"/>
        </w:rPr>
        <w:t xml:space="preserve"> p</w:t>
      </w:r>
      <w:r w:rsidRPr="003B7224">
        <w:rPr>
          <w:rFonts w:eastAsia="宋体"/>
          <w:sz w:val="23"/>
          <w:szCs w:val="23"/>
        </w:rPr>
        <w:t xml:space="preserve"> &lt; 0.01, and ***</w:t>
      </w:r>
      <w:r w:rsidRPr="003B7224">
        <w:rPr>
          <w:rFonts w:eastAsia="宋体"/>
          <w:i/>
          <w:iCs/>
          <w:sz w:val="23"/>
          <w:szCs w:val="23"/>
        </w:rPr>
        <w:t xml:space="preserve"> p</w:t>
      </w:r>
      <w:r w:rsidRPr="003B7224">
        <w:rPr>
          <w:rFonts w:eastAsia="宋体"/>
          <w:sz w:val="23"/>
          <w:szCs w:val="23"/>
        </w:rPr>
        <w:t xml:space="preserve"> &lt; 0.001. Values are presented as the mean ± SD.</w:t>
      </w:r>
      <w:r w:rsidRPr="003B7224">
        <w:rPr>
          <w:sz w:val="23"/>
          <w:szCs w:val="23"/>
        </w:rPr>
        <w:br w:type="page"/>
      </w:r>
    </w:p>
    <w:p w14:paraId="1716C32E"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12331F40" wp14:editId="4E429837">
            <wp:extent cx="4951483" cy="4779507"/>
            <wp:effectExtent l="0" t="0" r="1905" b="2540"/>
            <wp:docPr id="94445280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85508" cy="4812350"/>
                    </a:xfrm>
                    <a:prstGeom prst="rect">
                      <a:avLst/>
                    </a:prstGeom>
                    <a:noFill/>
                    <a:ln>
                      <a:noFill/>
                    </a:ln>
                  </pic:spPr>
                </pic:pic>
              </a:graphicData>
            </a:graphic>
          </wp:inline>
        </w:drawing>
      </w:r>
    </w:p>
    <w:p w14:paraId="5F4A7DDF" w14:textId="77777777" w:rsidR="00CB0EBE" w:rsidRPr="00EB120E" w:rsidRDefault="00CB0EBE" w:rsidP="00CB0EBE">
      <w:pPr>
        <w:pStyle w:val="SMHeading"/>
        <w:spacing w:before="0" w:after="0" w:line="264" w:lineRule="auto"/>
      </w:pPr>
      <w:bookmarkStart w:id="45" w:name="_Toc216766962"/>
      <w:r>
        <w:t>Extended Data Fig.</w:t>
      </w:r>
      <w:r>
        <w:rPr>
          <w:rFonts w:hint="eastAsia"/>
          <w:lang w:eastAsia="zh-CN"/>
        </w:rPr>
        <w:t xml:space="preserve"> </w:t>
      </w:r>
      <w:r w:rsidRPr="00EB120E">
        <w:t>32 Metabolite differences between fresh watermelon aerial parts and fermentation residues influence the rhizosphere microbial community</w:t>
      </w:r>
      <w:bookmarkEnd w:id="45"/>
    </w:p>
    <w:p w14:paraId="47CBBCC3" w14:textId="77777777" w:rsidR="00CB0EBE" w:rsidRPr="003B7224" w:rsidRDefault="00CB0EBE" w:rsidP="00CB0EBE">
      <w:pPr>
        <w:spacing w:line="264" w:lineRule="auto"/>
        <w:rPr>
          <w:sz w:val="23"/>
          <w:szCs w:val="23"/>
        </w:rPr>
      </w:pPr>
      <w:r w:rsidRPr="003B7224">
        <w:rPr>
          <w:sz w:val="23"/>
          <w:szCs w:val="23"/>
        </w:rPr>
        <w:t>A. O2PLS model integrating microbiome and metabolome datasets. Symbols represent omics samples (squares: microbiome; circles: metabolome), colored by group. Axes show combined scores (*t*: microbiome; *u*: metabolome).</w:t>
      </w:r>
      <w:r w:rsidRPr="00EB120E">
        <w:rPr>
          <w:sz w:val="23"/>
          <w:szCs w:val="23"/>
        </w:rPr>
        <w:t xml:space="preserve"> </w:t>
      </w:r>
      <w:r w:rsidRPr="003B7224">
        <w:rPr>
          <w:sz w:val="23"/>
          <w:szCs w:val="23"/>
        </w:rPr>
        <w:t>FW: 4 g/plant fresh watermelon aerial parts; FR: 2 g/plant fermentation residues.</w:t>
      </w:r>
    </w:p>
    <w:p w14:paraId="6E155C21" w14:textId="77777777" w:rsidR="00CB0EBE" w:rsidRPr="003B7224" w:rsidRDefault="00CB0EBE" w:rsidP="00CB0EBE">
      <w:pPr>
        <w:spacing w:line="264" w:lineRule="auto"/>
        <w:rPr>
          <w:sz w:val="23"/>
          <w:szCs w:val="23"/>
        </w:rPr>
      </w:pPr>
      <w:r w:rsidRPr="003B7224">
        <w:rPr>
          <w:sz w:val="23"/>
          <w:szCs w:val="23"/>
        </w:rPr>
        <w:t>B. O2PLS feature loadings for the top 15 species (blue) and top 15 metabolites (red). Bar length reflects absolute loading value (|pq₁|), indicating contribution to component variation; sign denotes direction of association between omics.</w:t>
      </w:r>
    </w:p>
    <w:p w14:paraId="447C4F48" w14:textId="77777777" w:rsidR="00CB0EBE" w:rsidRPr="003B7224" w:rsidRDefault="00CB0EBE" w:rsidP="00CB0EBE">
      <w:pPr>
        <w:spacing w:line="264" w:lineRule="auto"/>
        <w:rPr>
          <w:sz w:val="23"/>
          <w:szCs w:val="23"/>
        </w:rPr>
      </w:pPr>
      <w:r w:rsidRPr="003B7224">
        <w:rPr>
          <w:sz w:val="23"/>
          <w:szCs w:val="23"/>
        </w:rPr>
        <w:t>C. Mantel-test network heatmap. Lines denote microbiome–metabolite correlations (thickness ~ |Mantel’s *r*); heatmap shows metabolite–metabolite correlations (red: positive, blue: negative; asterisks indicate significance).</w:t>
      </w:r>
    </w:p>
    <w:p w14:paraId="6FFA4935" w14:textId="77777777" w:rsidR="00CB0EBE" w:rsidRPr="003B7224" w:rsidRDefault="00CB0EBE" w:rsidP="00CB0EBE">
      <w:pPr>
        <w:spacing w:line="264" w:lineRule="auto"/>
        <w:rPr>
          <w:sz w:val="23"/>
          <w:szCs w:val="23"/>
        </w:rPr>
      </w:pPr>
      <w:r w:rsidRPr="003B7224">
        <w:rPr>
          <w:sz w:val="23"/>
          <w:szCs w:val="23"/>
        </w:rPr>
        <w:t>D. Frequency of high correlations between microbial diversity and metabolites, showing the 30 metabolites with the most associated microorganisms.</w:t>
      </w:r>
    </w:p>
    <w:p w14:paraId="6FD75E1A" w14:textId="77777777" w:rsidR="00CB0EBE" w:rsidRPr="003B7224" w:rsidRDefault="00CB0EBE" w:rsidP="00CB0EBE">
      <w:pPr>
        <w:spacing w:line="264" w:lineRule="auto"/>
        <w:rPr>
          <w:sz w:val="23"/>
          <w:szCs w:val="23"/>
        </w:rPr>
      </w:pPr>
      <w:r w:rsidRPr="003B7224">
        <w:rPr>
          <w:sz w:val="23"/>
          <w:szCs w:val="23"/>
        </w:rPr>
        <w:t>E. Canonical correspondence analysis (genus level). Blue dots: species; red triangles: metabolites. Distance from origin indicates strength of association; acute angles (&lt; 90°) denote positive correlations, obtuse angles (&gt; 90°) negative correlations. Inner/outer circles correspond to correlation coefficients of 0.5 and 1, respectively.</w:t>
      </w:r>
      <w:r w:rsidRPr="003B7224">
        <w:rPr>
          <w:sz w:val="23"/>
          <w:szCs w:val="23"/>
        </w:rPr>
        <w:br w:type="page"/>
      </w:r>
    </w:p>
    <w:p w14:paraId="3442025C" w14:textId="77777777" w:rsidR="00CB0EBE" w:rsidRPr="003B7224" w:rsidRDefault="00CB0EBE" w:rsidP="00CB0EBE">
      <w:pPr>
        <w:jc w:val="center"/>
        <w:rPr>
          <w:sz w:val="23"/>
          <w:szCs w:val="23"/>
        </w:rPr>
      </w:pPr>
      <w:r w:rsidRPr="003B7224">
        <w:rPr>
          <w:noProof/>
          <w:sz w:val="23"/>
          <w:szCs w:val="23"/>
        </w:rPr>
        <w:lastRenderedPageBreak/>
        <w:drawing>
          <wp:inline distT="0" distB="0" distL="0" distR="0" wp14:anchorId="6BD65822" wp14:editId="19000E9C">
            <wp:extent cx="5265420" cy="3398520"/>
            <wp:effectExtent l="0" t="0" r="0" b="0"/>
            <wp:docPr id="10619684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65420" cy="3398520"/>
                    </a:xfrm>
                    <a:prstGeom prst="rect">
                      <a:avLst/>
                    </a:prstGeom>
                    <a:noFill/>
                    <a:ln>
                      <a:noFill/>
                    </a:ln>
                  </pic:spPr>
                </pic:pic>
              </a:graphicData>
            </a:graphic>
          </wp:inline>
        </w:drawing>
      </w:r>
    </w:p>
    <w:p w14:paraId="63614116" w14:textId="77777777" w:rsidR="00CB0EBE" w:rsidRPr="00EB120E" w:rsidRDefault="00CB0EBE" w:rsidP="00CB0EBE">
      <w:pPr>
        <w:pStyle w:val="SMHeading"/>
        <w:spacing w:before="0" w:after="0" w:line="300" w:lineRule="auto"/>
      </w:pPr>
      <w:bookmarkStart w:id="46" w:name="_Toc216766963"/>
      <w:r>
        <w:t>Extended Data Fig.</w:t>
      </w:r>
      <w:r>
        <w:rPr>
          <w:rFonts w:hint="eastAsia"/>
          <w:lang w:eastAsia="zh-CN"/>
        </w:rPr>
        <w:t xml:space="preserve"> </w:t>
      </w:r>
      <w:r w:rsidRPr="00EB120E">
        <w:t>33 Microorganisms in the LP-WCFS1-mediated rapid fermentation system influence the metabolite composition of rapid fermentation residues</w:t>
      </w:r>
      <w:bookmarkEnd w:id="46"/>
    </w:p>
    <w:p w14:paraId="250AD5A4" w14:textId="77777777" w:rsidR="00CB0EBE" w:rsidRPr="003B7224" w:rsidRDefault="00CB0EBE" w:rsidP="00CB0EBE">
      <w:pPr>
        <w:spacing w:line="300" w:lineRule="auto"/>
        <w:rPr>
          <w:sz w:val="23"/>
          <w:szCs w:val="23"/>
        </w:rPr>
      </w:pPr>
      <w:r w:rsidRPr="003B7224">
        <w:rPr>
          <w:sz w:val="23"/>
          <w:szCs w:val="23"/>
        </w:rPr>
        <w:t>A. O2PLS model integrating microbiome and metabolome datasets (</w:t>
      </w:r>
      <w:r w:rsidRPr="00626AE6">
        <w:rPr>
          <w:i/>
          <w:iCs/>
          <w:sz w:val="23"/>
          <w:szCs w:val="23"/>
        </w:rPr>
        <w:t xml:space="preserve">n </w:t>
      </w:r>
      <w:r w:rsidRPr="003B7224">
        <w:rPr>
          <w:sz w:val="23"/>
          <w:szCs w:val="23"/>
        </w:rPr>
        <w:t>= 3). Symbols represent omics samples (squares: microbiome; circles: metabolome), colored by group. Axes show combined scores (*t*: microbiome; *u*: metabolome).</w:t>
      </w:r>
      <w:r w:rsidRPr="00EB120E">
        <w:rPr>
          <w:sz w:val="23"/>
          <w:szCs w:val="23"/>
        </w:rPr>
        <w:t xml:space="preserve"> </w:t>
      </w:r>
      <w:r w:rsidRPr="003B7224">
        <w:rPr>
          <w:sz w:val="23"/>
          <w:szCs w:val="23"/>
        </w:rPr>
        <w:t>FL: 14 d; FR: Fermentation residues.</w:t>
      </w:r>
    </w:p>
    <w:p w14:paraId="2BB2B697" w14:textId="77777777" w:rsidR="00CB0EBE" w:rsidRPr="003B7224" w:rsidRDefault="00CB0EBE" w:rsidP="00CB0EBE">
      <w:pPr>
        <w:spacing w:line="300" w:lineRule="auto"/>
        <w:rPr>
          <w:sz w:val="23"/>
          <w:szCs w:val="23"/>
        </w:rPr>
      </w:pPr>
      <w:r w:rsidRPr="003B7224">
        <w:rPr>
          <w:sz w:val="23"/>
          <w:szCs w:val="23"/>
        </w:rPr>
        <w:t>B. O2PLS feature loadings for the top 15 species (blue) and top 15 metabolites (red). Bar length reflects absolute loading value (|pq₁|), indicating contribution to component variation; sign denotes direction of association between omics.</w:t>
      </w:r>
    </w:p>
    <w:p w14:paraId="44FB14A8" w14:textId="3D29369E" w:rsidR="00CB0EBE" w:rsidRPr="003B7224" w:rsidRDefault="00CB0EBE" w:rsidP="00CB0EBE">
      <w:pPr>
        <w:spacing w:line="300" w:lineRule="auto"/>
        <w:rPr>
          <w:rFonts w:hint="eastAsia"/>
          <w:sz w:val="23"/>
          <w:szCs w:val="23"/>
        </w:rPr>
        <w:sectPr w:rsidR="00CB0EBE" w:rsidRPr="003B7224" w:rsidSect="000641BE">
          <w:pgSz w:w="11906" w:h="16838"/>
          <w:pgMar w:top="1440" w:right="1800" w:bottom="1440" w:left="1800" w:header="851" w:footer="992" w:gutter="0"/>
          <w:lnNumType w:countBy="1" w:restart="continuous"/>
          <w:cols w:space="425"/>
          <w:docGrid w:type="lines" w:linePitch="312"/>
        </w:sectPr>
      </w:pPr>
      <w:r w:rsidRPr="003B7224">
        <w:rPr>
          <w:sz w:val="23"/>
          <w:szCs w:val="23"/>
        </w:rPr>
        <w:t>C. Canonical correspondence analysis (genus level). Blue dots: species; red triangles: metabolites. Distance from origin indicates strength of association; acute angles (&lt; 90°) denote positive correlations, obtuse angles (&gt; 90°) negative correlations. Inner/outer circles correspond to correlation coefficients of 0.5 and 1, respectively</w:t>
      </w:r>
      <w:r w:rsidR="004239D1">
        <w:rPr>
          <w:rFonts w:hint="eastAsia"/>
          <w:sz w:val="23"/>
          <w:szCs w:val="23"/>
        </w:rPr>
        <w:t>.</w:t>
      </w:r>
    </w:p>
    <w:p w14:paraId="68FF3619" w14:textId="77777777" w:rsidR="00283456" w:rsidRPr="00CB0EBE" w:rsidRDefault="00283456" w:rsidP="004239D1">
      <w:pPr>
        <w:rPr>
          <w:rFonts w:hint="eastAsia"/>
        </w:rPr>
      </w:pPr>
    </w:p>
    <w:sectPr w:rsidR="00283456" w:rsidRPr="00CB0EBE" w:rsidSect="00CB0EBE">
      <w:pgSz w:w="16838" w:h="11906" w:orient="landscape"/>
      <w:pgMar w:top="1797" w:right="1440" w:bottom="1797" w:left="1440" w:header="851" w:footer="992" w:gutter="0"/>
      <w:cols w:space="425"/>
      <w:docGrid w:type="linesAndChar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Myriad Pro">
    <w:altName w:val="Segoe UI"/>
    <w:panose1 w:val="00000000000000000000"/>
    <w:charset w:val="00"/>
    <w:family w:val="swiss"/>
    <w:notTrueType/>
    <w:pitch w:val="variable"/>
    <w:sig w:usb0="20000287" w:usb1="00000001" w:usb2="00000000" w:usb3="00000000" w:csb0="0000019F" w:csb1="00000000"/>
  </w:font>
  <w:font w:name="Times New Roman Regular">
    <w:altName w:val="Times New Roman"/>
    <w:charset w:val="00"/>
    <w:family w:val="auto"/>
    <w:pitch w:val="default"/>
  </w:font>
  <w:font w:name="Lucida Sans">
    <w:panose1 w:val="020B0602030504020204"/>
    <w:charset w:val="00"/>
    <w:family w:val="swiss"/>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3456"/>
    <w:rsid w:val="000641BE"/>
    <w:rsid w:val="00282313"/>
    <w:rsid w:val="00283456"/>
    <w:rsid w:val="004239D1"/>
    <w:rsid w:val="005D6D35"/>
    <w:rsid w:val="00644FFD"/>
    <w:rsid w:val="008A2550"/>
    <w:rsid w:val="00CB0EB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BDB2A26"/>
  <w15:chartTrackingRefBased/>
  <w15:docId w15:val="{A3D817F8-9BB0-48FF-B1FF-ECAC687A1A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B0EBE"/>
    <w:pPr>
      <w:widowControl w:val="0"/>
      <w:spacing w:after="0" w:line="240" w:lineRule="auto"/>
      <w:jc w:val="both"/>
    </w:pPr>
    <w:rPr>
      <w:rFonts w:ascii="Times New Roman" w:hAnsi="Times New Roman" w:cs="Times New Roman"/>
      <w:sz w:val="21"/>
      <w:szCs w:val="22"/>
      <w14:ligatures w14:val="none"/>
    </w:rPr>
  </w:style>
  <w:style w:type="paragraph" w:styleId="1">
    <w:name w:val="heading 1"/>
    <w:basedOn w:val="a"/>
    <w:next w:val="a"/>
    <w:link w:val="10"/>
    <w:uiPriority w:val="9"/>
    <w:qFormat/>
    <w:rsid w:val="00283456"/>
    <w:pPr>
      <w:keepNext/>
      <w:keepLines/>
      <w:spacing w:before="480" w:after="80" w:line="278" w:lineRule="auto"/>
      <w:jc w:val="left"/>
      <w:outlineLvl w:val="0"/>
    </w:pPr>
    <w:rPr>
      <w:rFonts w:asciiTheme="majorHAnsi" w:eastAsiaTheme="majorEastAsia" w:hAnsiTheme="majorHAnsi" w:cstheme="majorBidi"/>
      <w:color w:val="2F5496" w:themeColor="accent1" w:themeShade="BF"/>
      <w:sz w:val="48"/>
      <w:szCs w:val="48"/>
      <w14:ligatures w14:val="standardContextual"/>
    </w:rPr>
  </w:style>
  <w:style w:type="paragraph" w:styleId="2">
    <w:name w:val="heading 2"/>
    <w:basedOn w:val="a"/>
    <w:next w:val="a"/>
    <w:link w:val="20"/>
    <w:uiPriority w:val="9"/>
    <w:semiHidden/>
    <w:unhideWhenUsed/>
    <w:qFormat/>
    <w:rsid w:val="00283456"/>
    <w:pPr>
      <w:keepNext/>
      <w:keepLines/>
      <w:spacing w:before="160" w:after="80" w:line="278" w:lineRule="auto"/>
      <w:jc w:val="left"/>
      <w:outlineLvl w:val="1"/>
    </w:pPr>
    <w:rPr>
      <w:rFonts w:asciiTheme="majorHAnsi" w:eastAsiaTheme="majorEastAsia" w:hAnsiTheme="majorHAnsi" w:cstheme="majorBidi"/>
      <w:color w:val="2F5496" w:themeColor="accent1" w:themeShade="BF"/>
      <w:sz w:val="40"/>
      <w:szCs w:val="40"/>
      <w14:ligatures w14:val="standardContextual"/>
    </w:rPr>
  </w:style>
  <w:style w:type="paragraph" w:styleId="3">
    <w:name w:val="heading 3"/>
    <w:basedOn w:val="a"/>
    <w:next w:val="a"/>
    <w:link w:val="30"/>
    <w:uiPriority w:val="9"/>
    <w:semiHidden/>
    <w:unhideWhenUsed/>
    <w:qFormat/>
    <w:rsid w:val="00283456"/>
    <w:pPr>
      <w:keepNext/>
      <w:keepLines/>
      <w:spacing w:before="160" w:after="80" w:line="278" w:lineRule="auto"/>
      <w:jc w:val="left"/>
      <w:outlineLvl w:val="2"/>
    </w:pPr>
    <w:rPr>
      <w:rFonts w:asciiTheme="majorHAnsi" w:eastAsiaTheme="majorEastAsia" w:hAnsiTheme="majorHAnsi" w:cstheme="majorBidi"/>
      <w:color w:val="2F5496" w:themeColor="accent1" w:themeShade="BF"/>
      <w:sz w:val="32"/>
      <w:szCs w:val="32"/>
      <w14:ligatures w14:val="standardContextual"/>
    </w:rPr>
  </w:style>
  <w:style w:type="paragraph" w:styleId="4">
    <w:name w:val="heading 4"/>
    <w:basedOn w:val="a"/>
    <w:next w:val="a"/>
    <w:link w:val="40"/>
    <w:uiPriority w:val="9"/>
    <w:semiHidden/>
    <w:unhideWhenUsed/>
    <w:qFormat/>
    <w:rsid w:val="00283456"/>
    <w:pPr>
      <w:keepNext/>
      <w:keepLines/>
      <w:spacing w:before="80" w:after="40" w:line="278" w:lineRule="auto"/>
      <w:jc w:val="left"/>
      <w:outlineLvl w:val="3"/>
    </w:pPr>
    <w:rPr>
      <w:rFonts w:asciiTheme="minorHAnsi" w:hAnsiTheme="minorHAnsi" w:cstheme="majorBidi"/>
      <w:color w:val="2F5496" w:themeColor="accent1" w:themeShade="BF"/>
      <w:sz w:val="28"/>
      <w:szCs w:val="28"/>
      <w14:ligatures w14:val="standardContextual"/>
    </w:rPr>
  </w:style>
  <w:style w:type="paragraph" w:styleId="5">
    <w:name w:val="heading 5"/>
    <w:basedOn w:val="a"/>
    <w:next w:val="a"/>
    <w:link w:val="50"/>
    <w:uiPriority w:val="9"/>
    <w:semiHidden/>
    <w:unhideWhenUsed/>
    <w:qFormat/>
    <w:rsid w:val="00283456"/>
    <w:pPr>
      <w:keepNext/>
      <w:keepLines/>
      <w:spacing w:before="80" w:after="40" w:line="278" w:lineRule="auto"/>
      <w:jc w:val="left"/>
      <w:outlineLvl w:val="4"/>
    </w:pPr>
    <w:rPr>
      <w:rFonts w:asciiTheme="minorHAnsi" w:hAnsiTheme="minorHAnsi" w:cstheme="majorBidi"/>
      <w:color w:val="2F5496" w:themeColor="accent1" w:themeShade="BF"/>
      <w:sz w:val="24"/>
      <w:szCs w:val="24"/>
      <w14:ligatures w14:val="standardContextual"/>
    </w:rPr>
  </w:style>
  <w:style w:type="paragraph" w:styleId="6">
    <w:name w:val="heading 6"/>
    <w:basedOn w:val="a"/>
    <w:next w:val="a"/>
    <w:link w:val="60"/>
    <w:uiPriority w:val="9"/>
    <w:semiHidden/>
    <w:unhideWhenUsed/>
    <w:qFormat/>
    <w:rsid w:val="00283456"/>
    <w:pPr>
      <w:keepNext/>
      <w:keepLines/>
      <w:spacing w:before="40" w:line="278" w:lineRule="auto"/>
      <w:jc w:val="left"/>
      <w:outlineLvl w:val="5"/>
    </w:pPr>
    <w:rPr>
      <w:rFonts w:asciiTheme="minorHAnsi" w:hAnsiTheme="minorHAnsi" w:cstheme="majorBidi"/>
      <w:b/>
      <w:bCs/>
      <w:color w:val="2F5496" w:themeColor="accent1" w:themeShade="BF"/>
      <w:sz w:val="22"/>
      <w:szCs w:val="24"/>
      <w14:ligatures w14:val="standardContextual"/>
    </w:rPr>
  </w:style>
  <w:style w:type="paragraph" w:styleId="7">
    <w:name w:val="heading 7"/>
    <w:basedOn w:val="a"/>
    <w:next w:val="a"/>
    <w:link w:val="70"/>
    <w:uiPriority w:val="9"/>
    <w:semiHidden/>
    <w:unhideWhenUsed/>
    <w:qFormat/>
    <w:rsid w:val="00283456"/>
    <w:pPr>
      <w:keepNext/>
      <w:keepLines/>
      <w:spacing w:before="40" w:line="278" w:lineRule="auto"/>
      <w:jc w:val="left"/>
      <w:outlineLvl w:val="6"/>
    </w:pPr>
    <w:rPr>
      <w:rFonts w:asciiTheme="minorHAnsi" w:hAnsiTheme="minorHAnsi" w:cstheme="majorBidi"/>
      <w:b/>
      <w:bCs/>
      <w:color w:val="595959" w:themeColor="text1" w:themeTint="A6"/>
      <w:sz w:val="22"/>
      <w:szCs w:val="24"/>
      <w14:ligatures w14:val="standardContextual"/>
    </w:rPr>
  </w:style>
  <w:style w:type="paragraph" w:styleId="8">
    <w:name w:val="heading 8"/>
    <w:basedOn w:val="a"/>
    <w:next w:val="a"/>
    <w:link w:val="80"/>
    <w:uiPriority w:val="9"/>
    <w:semiHidden/>
    <w:unhideWhenUsed/>
    <w:qFormat/>
    <w:rsid w:val="00283456"/>
    <w:pPr>
      <w:keepNext/>
      <w:keepLines/>
      <w:spacing w:line="278" w:lineRule="auto"/>
      <w:jc w:val="left"/>
      <w:outlineLvl w:val="7"/>
    </w:pPr>
    <w:rPr>
      <w:rFonts w:asciiTheme="minorHAnsi" w:hAnsiTheme="minorHAnsi" w:cstheme="majorBidi"/>
      <w:color w:val="595959" w:themeColor="text1" w:themeTint="A6"/>
      <w:sz w:val="22"/>
      <w:szCs w:val="24"/>
      <w14:ligatures w14:val="standardContextual"/>
    </w:rPr>
  </w:style>
  <w:style w:type="paragraph" w:styleId="9">
    <w:name w:val="heading 9"/>
    <w:basedOn w:val="a"/>
    <w:next w:val="a"/>
    <w:link w:val="90"/>
    <w:uiPriority w:val="9"/>
    <w:semiHidden/>
    <w:unhideWhenUsed/>
    <w:qFormat/>
    <w:rsid w:val="00283456"/>
    <w:pPr>
      <w:keepNext/>
      <w:keepLines/>
      <w:spacing w:line="278" w:lineRule="auto"/>
      <w:jc w:val="left"/>
      <w:outlineLvl w:val="8"/>
    </w:pPr>
    <w:rPr>
      <w:rFonts w:asciiTheme="minorHAnsi" w:eastAsiaTheme="majorEastAsia" w:hAnsiTheme="minorHAnsi" w:cstheme="majorBidi"/>
      <w:color w:val="595959" w:themeColor="text1" w:themeTint="A6"/>
      <w:sz w:val="22"/>
      <w:szCs w:val="24"/>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283456"/>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semiHidden/>
    <w:rsid w:val="00283456"/>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semiHidden/>
    <w:rsid w:val="00283456"/>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283456"/>
    <w:rPr>
      <w:rFonts w:cstheme="majorBidi"/>
      <w:color w:val="2F5496" w:themeColor="accent1" w:themeShade="BF"/>
      <w:sz w:val="28"/>
      <w:szCs w:val="28"/>
    </w:rPr>
  </w:style>
  <w:style w:type="character" w:customStyle="1" w:styleId="50">
    <w:name w:val="标题 5 字符"/>
    <w:basedOn w:val="a0"/>
    <w:link w:val="5"/>
    <w:uiPriority w:val="9"/>
    <w:semiHidden/>
    <w:rsid w:val="00283456"/>
    <w:rPr>
      <w:rFonts w:cstheme="majorBidi"/>
      <w:color w:val="2F5496" w:themeColor="accent1" w:themeShade="BF"/>
      <w:sz w:val="24"/>
    </w:rPr>
  </w:style>
  <w:style w:type="character" w:customStyle="1" w:styleId="60">
    <w:name w:val="标题 6 字符"/>
    <w:basedOn w:val="a0"/>
    <w:link w:val="6"/>
    <w:uiPriority w:val="9"/>
    <w:semiHidden/>
    <w:rsid w:val="00283456"/>
    <w:rPr>
      <w:rFonts w:cstheme="majorBidi"/>
      <w:b/>
      <w:bCs/>
      <w:color w:val="2F5496" w:themeColor="accent1" w:themeShade="BF"/>
    </w:rPr>
  </w:style>
  <w:style w:type="character" w:customStyle="1" w:styleId="70">
    <w:name w:val="标题 7 字符"/>
    <w:basedOn w:val="a0"/>
    <w:link w:val="7"/>
    <w:uiPriority w:val="9"/>
    <w:semiHidden/>
    <w:rsid w:val="00283456"/>
    <w:rPr>
      <w:rFonts w:cstheme="majorBidi"/>
      <w:b/>
      <w:bCs/>
      <w:color w:val="595959" w:themeColor="text1" w:themeTint="A6"/>
    </w:rPr>
  </w:style>
  <w:style w:type="character" w:customStyle="1" w:styleId="80">
    <w:name w:val="标题 8 字符"/>
    <w:basedOn w:val="a0"/>
    <w:link w:val="8"/>
    <w:uiPriority w:val="9"/>
    <w:semiHidden/>
    <w:rsid w:val="00283456"/>
    <w:rPr>
      <w:rFonts w:cstheme="majorBidi"/>
      <w:color w:val="595959" w:themeColor="text1" w:themeTint="A6"/>
    </w:rPr>
  </w:style>
  <w:style w:type="character" w:customStyle="1" w:styleId="90">
    <w:name w:val="标题 9 字符"/>
    <w:basedOn w:val="a0"/>
    <w:link w:val="9"/>
    <w:uiPriority w:val="9"/>
    <w:semiHidden/>
    <w:rsid w:val="00283456"/>
    <w:rPr>
      <w:rFonts w:eastAsiaTheme="majorEastAsia" w:cstheme="majorBidi"/>
      <w:color w:val="595959" w:themeColor="text1" w:themeTint="A6"/>
    </w:rPr>
  </w:style>
  <w:style w:type="paragraph" w:styleId="a3">
    <w:name w:val="Title"/>
    <w:basedOn w:val="a"/>
    <w:next w:val="a"/>
    <w:link w:val="a4"/>
    <w:uiPriority w:val="10"/>
    <w:qFormat/>
    <w:rsid w:val="00283456"/>
    <w:pPr>
      <w:spacing w:after="80"/>
      <w:contextualSpacing/>
      <w:jc w:val="center"/>
    </w:pPr>
    <w:rPr>
      <w:rFonts w:asciiTheme="majorHAnsi" w:eastAsiaTheme="majorEastAsia" w:hAnsiTheme="majorHAnsi" w:cstheme="majorBidi"/>
      <w:spacing w:val="-10"/>
      <w:kern w:val="28"/>
      <w:sz w:val="56"/>
      <w:szCs w:val="56"/>
      <w14:ligatures w14:val="standardContextual"/>
    </w:rPr>
  </w:style>
  <w:style w:type="character" w:customStyle="1" w:styleId="a4">
    <w:name w:val="标题 字符"/>
    <w:basedOn w:val="a0"/>
    <w:link w:val="a3"/>
    <w:uiPriority w:val="10"/>
    <w:rsid w:val="0028345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283456"/>
    <w:pPr>
      <w:numPr>
        <w:ilvl w:val="1"/>
      </w:numPr>
      <w:spacing w:after="160" w:line="278" w:lineRule="auto"/>
      <w:jc w:val="center"/>
    </w:pPr>
    <w:rPr>
      <w:rFonts w:asciiTheme="majorHAnsi" w:eastAsiaTheme="majorEastAsia" w:hAnsiTheme="majorHAnsi" w:cstheme="majorBidi"/>
      <w:color w:val="595959" w:themeColor="text1" w:themeTint="A6"/>
      <w:spacing w:val="15"/>
      <w:sz w:val="28"/>
      <w:szCs w:val="28"/>
      <w14:ligatures w14:val="standardContextual"/>
    </w:rPr>
  </w:style>
  <w:style w:type="character" w:customStyle="1" w:styleId="a6">
    <w:name w:val="副标题 字符"/>
    <w:basedOn w:val="a0"/>
    <w:link w:val="a5"/>
    <w:uiPriority w:val="11"/>
    <w:rsid w:val="00283456"/>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283456"/>
    <w:pPr>
      <w:spacing w:before="160" w:after="160" w:line="278" w:lineRule="auto"/>
      <w:jc w:val="center"/>
    </w:pPr>
    <w:rPr>
      <w:rFonts w:asciiTheme="minorHAnsi" w:hAnsiTheme="minorHAnsi" w:cstheme="minorBidi"/>
      <w:i/>
      <w:iCs/>
      <w:color w:val="404040" w:themeColor="text1" w:themeTint="BF"/>
      <w:sz w:val="22"/>
      <w:szCs w:val="24"/>
      <w14:ligatures w14:val="standardContextual"/>
    </w:rPr>
  </w:style>
  <w:style w:type="character" w:customStyle="1" w:styleId="a8">
    <w:name w:val="引用 字符"/>
    <w:basedOn w:val="a0"/>
    <w:link w:val="a7"/>
    <w:uiPriority w:val="29"/>
    <w:rsid w:val="00283456"/>
    <w:rPr>
      <w:i/>
      <w:iCs/>
      <w:color w:val="404040" w:themeColor="text1" w:themeTint="BF"/>
    </w:rPr>
  </w:style>
  <w:style w:type="paragraph" w:styleId="a9">
    <w:name w:val="List Paragraph"/>
    <w:basedOn w:val="a"/>
    <w:uiPriority w:val="34"/>
    <w:qFormat/>
    <w:rsid w:val="00283456"/>
    <w:pPr>
      <w:spacing w:after="160" w:line="278" w:lineRule="auto"/>
      <w:ind w:left="720"/>
      <w:contextualSpacing/>
      <w:jc w:val="left"/>
    </w:pPr>
    <w:rPr>
      <w:rFonts w:asciiTheme="minorHAnsi" w:hAnsiTheme="minorHAnsi" w:cstheme="minorBidi"/>
      <w:sz w:val="22"/>
      <w:szCs w:val="24"/>
      <w14:ligatures w14:val="standardContextual"/>
    </w:rPr>
  </w:style>
  <w:style w:type="character" w:styleId="aa">
    <w:name w:val="Intense Emphasis"/>
    <w:basedOn w:val="a0"/>
    <w:uiPriority w:val="21"/>
    <w:qFormat/>
    <w:rsid w:val="00283456"/>
    <w:rPr>
      <w:i/>
      <w:iCs/>
      <w:color w:val="2F5496" w:themeColor="accent1" w:themeShade="BF"/>
    </w:rPr>
  </w:style>
  <w:style w:type="paragraph" w:styleId="ab">
    <w:name w:val="Intense Quote"/>
    <w:basedOn w:val="a"/>
    <w:next w:val="a"/>
    <w:link w:val="ac"/>
    <w:uiPriority w:val="30"/>
    <w:qFormat/>
    <w:rsid w:val="00283456"/>
    <w:pPr>
      <w:pBdr>
        <w:top w:val="single" w:sz="4" w:space="10" w:color="2F5496" w:themeColor="accent1" w:themeShade="BF"/>
        <w:bottom w:val="single" w:sz="4" w:space="10" w:color="2F5496" w:themeColor="accent1" w:themeShade="BF"/>
      </w:pBdr>
      <w:spacing w:before="360" w:after="360" w:line="278" w:lineRule="auto"/>
      <w:ind w:left="864" w:right="864"/>
      <w:jc w:val="center"/>
    </w:pPr>
    <w:rPr>
      <w:rFonts w:asciiTheme="minorHAnsi" w:hAnsiTheme="minorHAnsi" w:cstheme="minorBidi"/>
      <w:i/>
      <w:iCs/>
      <w:color w:val="2F5496" w:themeColor="accent1" w:themeShade="BF"/>
      <w:sz w:val="22"/>
      <w:szCs w:val="24"/>
      <w14:ligatures w14:val="standardContextual"/>
    </w:rPr>
  </w:style>
  <w:style w:type="character" w:customStyle="1" w:styleId="ac">
    <w:name w:val="明显引用 字符"/>
    <w:basedOn w:val="a0"/>
    <w:link w:val="ab"/>
    <w:uiPriority w:val="30"/>
    <w:rsid w:val="00283456"/>
    <w:rPr>
      <w:i/>
      <w:iCs/>
      <w:color w:val="2F5496" w:themeColor="accent1" w:themeShade="BF"/>
    </w:rPr>
  </w:style>
  <w:style w:type="character" w:styleId="ad">
    <w:name w:val="Intense Reference"/>
    <w:basedOn w:val="a0"/>
    <w:uiPriority w:val="32"/>
    <w:qFormat/>
    <w:rsid w:val="00283456"/>
    <w:rPr>
      <w:b/>
      <w:bCs/>
      <w:smallCaps/>
      <w:color w:val="2F5496" w:themeColor="accent1" w:themeShade="BF"/>
      <w:spacing w:val="5"/>
    </w:rPr>
  </w:style>
  <w:style w:type="character" w:styleId="ae">
    <w:name w:val="Hyperlink"/>
    <w:basedOn w:val="a0"/>
    <w:uiPriority w:val="99"/>
    <w:unhideWhenUsed/>
    <w:rsid w:val="00CB0EBE"/>
    <w:rPr>
      <w:color w:val="0563C1" w:themeColor="hyperlink"/>
      <w:u w:val="single"/>
    </w:rPr>
  </w:style>
  <w:style w:type="paragraph" w:customStyle="1" w:styleId="SMHeading">
    <w:name w:val="SM Heading"/>
    <w:basedOn w:val="1"/>
    <w:qFormat/>
    <w:rsid w:val="00CB0EBE"/>
    <w:pPr>
      <w:keepLines w:val="0"/>
      <w:widowControl/>
      <w:spacing w:before="240" w:after="60" w:line="240" w:lineRule="auto"/>
      <w:jc w:val="both"/>
    </w:pPr>
    <w:rPr>
      <w:rFonts w:ascii="Times New Roman" w:eastAsiaTheme="minorEastAsia" w:hAnsi="Times New Roman" w:cs="Times New Roman"/>
      <w:b/>
      <w:bCs/>
      <w:color w:val="auto"/>
      <w:kern w:val="32"/>
      <w:sz w:val="24"/>
      <w:szCs w:val="24"/>
      <w:lang w:eastAsia="en-US"/>
      <w14:ligatures w14:val="none"/>
    </w:rPr>
  </w:style>
  <w:style w:type="paragraph" w:styleId="TOC">
    <w:name w:val="TOC Heading"/>
    <w:basedOn w:val="1"/>
    <w:next w:val="a"/>
    <w:uiPriority w:val="39"/>
    <w:unhideWhenUsed/>
    <w:qFormat/>
    <w:rsid w:val="00CB0EBE"/>
    <w:pPr>
      <w:widowControl/>
      <w:spacing w:before="240" w:after="0" w:line="259" w:lineRule="auto"/>
      <w:outlineLvl w:val="9"/>
    </w:pPr>
    <w:rPr>
      <w:kern w:val="0"/>
      <w:sz w:val="32"/>
      <w:szCs w:val="32"/>
      <w14:ligatures w14:val="none"/>
    </w:rPr>
  </w:style>
  <w:style w:type="paragraph" w:styleId="TOC1">
    <w:name w:val="toc 1"/>
    <w:basedOn w:val="a"/>
    <w:next w:val="a"/>
    <w:autoRedefine/>
    <w:uiPriority w:val="39"/>
    <w:unhideWhenUsed/>
    <w:rsid w:val="00CB0EBE"/>
  </w:style>
  <w:style w:type="character" w:styleId="af">
    <w:name w:val="line number"/>
    <w:basedOn w:val="a0"/>
    <w:uiPriority w:val="99"/>
    <w:semiHidden/>
    <w:unhideWhenUsed/>
    <w:rsid w:val="000641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fontTable" Target="fontTable.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theme" Target="theme/theme1.xml"/><Relationship Id="rId5" Type="http://schemas.openxmlformats.org/officeDocument/2006/relationships/hyperlink" Target="mailto:wangxw@hebeinu.edu.cn"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hyperlink" Target="mailto:wuhongyang0829@foxmail.com" TargetMode="Externa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webSettings" Target="web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48</Pages>
  <Words>7092</Words>
  <Characters>40212</Characters>
  <Application>Microsoft Office Word</Application>
  <DocSecurity>0</DocSecurity>
  <Lines>718</Lines>
  <Paragraphs>305</Paragraphs>
  <ScaleCrop>false</ScaleCrop>
  <Company/>
  <LinksUpToDate>false</LinksUpToDate>
  <CharactersWithSpaces>46999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鸿洋 吴</dc:creator>
  <cp:keywords/>
  <dc:description/>
  <cp:lastModifiedBy>潇阳 万</cp:lastModifiedBy>
  <cp:revision>5</cp:revision>
  <dcterms:created xsi:type="dcterms:W3CDTF">2025-12-16T00:41:00Z</dcterms:created>
  <dcterms:modified xsi:type="dcterms:W3CDTF">2025-12-20T04:41:00Z</dcterms:modified>
</cp:coreProperties>
</file>