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C606D" w14:textId="77777777" w:rsidR="00B761DA" w:rsidRDefault="00000000">
      <w:pPr>
        <w:pStyle w:val="Title"/>
      </w:pPr>
      <w:bookmarkStart w:id="0" w:name="_11achql2vh4l" w:colFirst="0" w:colLast="0"/>
      <w:bookmarkEnd w:id="0"/>
      <w:r>
        <w:t>Updated IPCC-assessed emissions scenarios cannot limit warming to 1.5</w:t>
      </w:r>
      <w:r>
        <w:rPr>
          <w:color w:val="202124"/>
          <w:sz w:val="48"/>
          <w:szCs w:val="48"/>
          <w:highlight w:val="white"/>
        </w:rPr>
        <w:t>°</w:t>
      </w:r>
      <w:r>
        <w:t>C: Supplementary material</w:t>
      </w:r>
    </w:p>
    <w:p w14:paraId="3D1C18E1" w14:textId="77777777" w:rsidR="00B761DA" w:rsidRDefault="00000000">
      <w:pPr>
        <w:rPr>
          <w:vertAlign w:val="superscript"/>
        </w:rPr>
      </w:pPr>
      <w:r>
        <w:t>Laila K. Gohar</w:t>
      </w:r>
      <w:r>
        <w:rPr>
          <w:vertAlign w:val="superscript"/>
        </w:rPr>
        <w:t>7</w:t>
      </w:r>
      <w:r>
        <w:t>, Camilla Mathison</w:t>
      </w:r>
      <w:r>
        <w:rPr>
          <w:vertAlign w:val="superscript"/>
        </w:rPr>
        <w:t>7,8</w:t>
      </w:r>
      <w:r>
        <w:t>, Benjamin M. Sanderson</w:t>
      </w:r>
      <w:r>
        <w:rPr>
          <w:vertAlign w:val="superscript"/>
        </w:rPr>
        <w:t>3</w:t>
      </w:r>
      <w:r>
        <w:t>, Marit Sandstad</w:t>
      </w:r>
      <w:r>
        <w:rPr>
          <w:vertAlign w:val="superscript"/>
        </w:rPr>
        <w:t>3</w:t>
      </w:r>
      <w:r>
        <w:t>, Chris Smith</w:t>
      </w:r>
      <w:r>
        <w:rPr>
          <w:vertAlign w:val="superscript"/>
        </w:rPr>
        <w:t>1,2</w:t>
      </w:r>
      <w:r>
        <w:t>, Tristram Walsh</w:t>
      </w:r>
      <w:r>
        <w:rPr>
          <w:vertAlign w:val="superscript"/>
        </w:rPr>
        <w:t>4</w:t>
      </w:r>
      <w:r>
        <w:t>, Nathan Gillett</w:t>
      </w:r>
      <w:r>
        <w:rPr>
          <w:vertAlign w:val="superscript"/>
        </w:rPr>
        <w:t>5</w:t>
      </w:r>
      <w:r>
        <w:t>, Aurélien Ribes</w:t>
      </w:r>
      <w:r>
        <w:rPr>
          <w:vertAlign w:val="superscript"/>
        </w:rPr>
        <w:t>6</w:t>
      </w:r>
      <w:r>
        <w:t>, Jarmo S. Kikstra</w:t>
      </w:r>
      <w:r>
        <w:rPr>
          <w:vertAlign w:val="superscript"/>
        </w:rPr>
        <w:t>2,9</w:t>
      </w:r>
      <w:r>
        <w:t>, Zebedee Nicholls</w:t>
      </w:r>
      <w:r>
        <w:rPr>
          <w:vertAlign w:val="superscript"/>
        </w:rPr>
        <w:t>2,10,11</w:t>
      </w:r>
      <w:r>
        <w:t>, Wim Thiery</w:t>
      </w:r>
      <w:r>
        <w:rPr>
          <w:vertAlign w:val="superscript"/>
        </w:rPr>
        <w:t>1</w:t>
      </w:r>
      <w:r>
        <w:t>, Carl-Friedrich Schleussner</w:t>
      </w:r>
      <w:r>
        <w:rPr>
          <w:vertAlign w:val="superscript"/>
        </w:rPr>
        <w:t>2,12</w:t>
      </w:r>
      <w:r>
        <w:t>, Joeri Rogelj</w:t>
      </w:r>
      <w:r>
        <w:rPr>
          <w:vertAlign w:val="superscript"/>
        </w:rPr>
        <w:t>2,9</w:t>
      </w:r>
    </w:p>
    <w:p w14:paraId="79F33D23" w14:textId="77777777" w:rsidR="00B761DA" w:rsidRDefault="00B761DA"/>
    <w:p w14:paraId="037D59E9" w14:textId="77777777" w:rsidR="00B761DA" w:rsidRDefault="00B761DA"/>
    <w:p w14:paraId="7AEEEC39" w14:textId="77777777" w:rsidR="00B761DA" w:rsidRDefault="00000000">
      <w:pPr>
        <w:numPr>
          <w:ilvl w:val="0"/>
          <w:numId w:val="1"/>
        </w:numPr>
      </w:pPr>
      <w:r>
        <w:t>Department of Water and Climate, Vrije Universiteit Brussel, 1050 Brussels, Belgium</w:t>
      </w:r>
    </w:p>
    <w:p w14:paraId="3AE949D5" w14:textId="77777777" w:rsidR="00B761DA" w:rsidRDefault="00000000">
      <w:pPr>
        <w:numPr>
          <w:ilvl w:val="0"/>
          <w:numId w:val="1"/>
        </w:numPr>
      </w:pPr>
      <w:r>
        <w:t>Energy, Climate and Environment Program, International Institute for Applied Systems Analysis (IIASA), 2361 Laxenburg, Austria</w:t>
      </w:r>
    </w:p>
    <w:p w14:paraId="22C2456D" w14:textId="77777777" w:rsidR="00B761DA" w:rsidRDefault="00000000">
      <w:pPr>
        <w:numPr>
          <w:ilvl w:val="0"/>
          <w:numId w:val="1"/>
        </w:numPr>
      </w:pPr>
      <w:r>
        <w:t xml:space="preserve">CICERO </w:t>
      </w:r>
      <w:proofErr w:type="spellStart"/>
      <w:r>
        <w:t>Center</w:t>
      </w:r>
      <w:proofErr w:type="spellEnd"/>
      <w:r>
        <w:t xml:space="preserve"> for International Climate Research, Oslo, Norway</w:t>
      </w:r>
    </w:p>
    <w:p w14:paraId="11EE204C" w14:textId="77777777" w:rsidR="00B761DA" w:rsidRDefault="00000000">
      <w:pPr>
        <w:numPr>
          <w:ilvl w:val="0"/>
          <w:numId w:val="1"/>
        </w:numPr>
      </w:pPr>
      <w:r>
        <w:t>University of Oxford, United Kingdom</w:t>
      </w:r>
    </w:p>
    <w:p w14:paraId="7759B1D6" w14:textId="77777777" w:rsidR="00B761DA" w:rsidRDefault="00000000">
      <w:pPr>
        <w:numPr>
          <w:ilvl w:val="0"/>
          <w:numId w:val="1"/>
        </w:numPr>
      </w:pPr>
      <w:r>
        <w:t>Canadian Centre for Climate Modelling and Analysis, Environment and Climate Change Canada, Victoria, BC, Canada</w:t>
      </w:r>
    </w:p>
    <w:p w14:paraId="470861B7" w14:textId="77777777" w:rsidR="00B761DA" w:rsidRDefault="00000000">
      <w:pPr>
        <w:numPr>
          <w:ilvl w:val="0"/>
          <w:numId w:val="1"/>
        </w:numPr>
      </w:pPr>
      <w:r>
        <w:t xml:space="preserve">CNRM, Université de Toulouse, </w:t>
      </w:r>
      <w:proofErr w:type="spellStart"/>
      <w:r>
        <w:t>Météo</w:t>
      </w:r>
      <w:proofErr w:type="spellEnd"/>
      <w:r>
        <w:t>-France, CNRS, Toulouse, France</w:t>
      </w:r>
    </w:p>
    <w:p w14:paraId="279996CD" w14:textId="77777777" w:rsidR="00B761DA" w:rsidRDefault="00000000">
      <w:pPr>
        <w:numPr>
          <w:ilvl w:val="0"/>
          <w:numId w:val="1"/>
        </w:numPr>
      </w:pPr>
      <w:r>
        <w:t>Met Office Hadley Centre, Exeter, EX1 3PB, United Kingdom</w:t>
      </w:r>
    </w:p>
    <w:p w14:paraId="4A3B10D6" w14:textId="77777777" w:rsidR="00B761DA" w:rsidRDefault="00000000">
      <w:pPr>
        <w:numPr>
          <w:ilvl w:val="0"/>
          <w:numId w:val="1"/>
        </w:numPr>
      </w:pPr>
      <w:r>
        <w:t>Department of Geography, University of Leeds, LS2 9JT, United Kingdom</w:t>
      </w:r>
    </w:p>
    <w:p w14:paraId="5701BDD4" w14:textId="77777777" w:rsidR="00B761DA" w:rsidRDefault="00000000">
      <w:pPr>
        <w:numPr>
          <w:ilvl w:val="0"/>
          <w:numId w:val="1"/>
        </w:numPr>
      </w:pPr>
      <w:r>
        <w:t>Imperial College, London, United Kingdom</w:t>
      </w:r>
    </w:p>
    <w:p w14:paraId="78DC50EB" w14:textId="77777777" w:rsidR="00B761DA" w:rsidRDefault="00000000">
      <w:pPr>
        <w:numPr>
          <w:ilvl w:val="0"/>
          <w:numId w:val="1"/>
        </w:numPr>
      </w:pPr>
      <w:r>
        <w:t>Climate Resource, Melbourne, Australia</w:t>
      </w:r>
    </w:p>
    <w:p w14:paraId="37193E95" w14:textId="77777777" w:rsidR="00B761DA" w:rsidRDefault="00000000">
      <w:pPr>
        <w:numPr>
          <w:ilvl w:val="0"/>
          <w:numId w:val="1"/>
        </w:numPr>
      </w:pPr>
      <w:r>
        <w:t>University of Melbourne, Australia</w:t>
      </w:r>
    </w:p>
    <w:p w14:paraId="5E82B3AB" w14:textId="77777777" w:rsidR="00B761DA" w:rsidRDefault="00000000">
      <w:pPr>
        <w:numPr>
          <w:ilvl w:val="0"/>
          <w:numId w:val="1"/>
        </w:numPr>
      </w:pPr>
      <w:r>
        <w:t xml:space="preserve">Humboldt University </w:t>
      </w:r>
      <w:proofErr w:type="spellStart"/>
      <w:r>
        <w:t>zu</w:t>
      </w:r>
      <w:proofErr w:type="spellEnd"/>
      <w:r>
        <w:t xml:space="preserve"> Berlin, Berlin, Germany</w:t>
      </w:r>
    </w:p>
    <w:p w14:paraId="57338348" w14:textId="77777777" w:rsidR="00B761DA" w:rsidRDefault="00B761DA">
      <w:pPr>
        <w:pStyle w:val="Title"/>
        <w:widowControl w:val="0"/>
        <w:spacing w:line="480" w:lineRule="auto"/>
        <w:ind w:left="264"/>
      </w:pPr>
      <w:bookmarkStart w:id="1" w:name="_z4jyqobgj2n8" w:colFirst="0" w:colLast="0"/>
      <w:bookmarkEnd w:id="1"/>
    </w:p>
    <w:p w14:paraId="6E404B07" w14:textId="77777777" w:rsidR="00B761DA" w:rsidRDefault="00000000">
      <w:r>
        <w:br w:type="page"/>
      </w:r>
    </w:p>
    <w:p w14:paraId="338B3EA2" w14:textId="77777777" w:rsidR="00B761DA" w:rsidRDefault="00000000">
      <w:r>
        <w:rPr>
          <w:noProof/>
        </w:rPr>
        <w:lastRenderedPageBreak/>
        <w:drawing>
          <wp:inline distT="114300" distB="114300" distL="114300" distR="114300" wp14:anchorId="7BE4974B" wp14:editId="0B8D0AAA">
            <wp:extent cx="5057775" cy="2524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057775" cy="2524125"/>
                    </a:xfrm>
                    <a:prstGeom prst="rect">
                      <a:avLst/>
                    </a:prstGeom>
                    <a:ln/>
                  </pic:spPr>
                </pic:pic>
              </a:graphicData>
            </a:graphic>
          </wp:inline>
        </w:drawing>
      </w:r>
    </w:p>
    <w:p w14:paraId="7FEEA6B0" w14:textId="77777777" w:rsidR="00B761DA" w:rsidRDefault="00000000">
      <w:r>
        <w:rPr>
          <w:b/>
          <w:bCs/>
          <w:sz w:val="20"/>
          <w:szCs w:val="20"/>
        </w:rPr>
        <w:t xml:space="preserve">Extended Data Figure 1 | Historical (to 2015) and future natural forcings in the AR6 assessment of scenario pathways. </w:t>
      </w:r>
      <w:r>
        <w:rPr>
          <w:sz w:val="20"/>
          <w:szCs w:val="20"/>
        </w:rPr>
        <w:t>Black line shows the combined solar (orange) and volcanic (blue) forcings.</w:t>
      </w:r>
      <w:r>
        <w:br w:type="page"/>
      </w:r>
    </w:p>
    <w:p w14:paraId="017DA5FA" w14:textId="77777777" w:rsidR="00B761DA" w:rsidRDefault="00000000">
      <w:pPr>
        <w:jc w:val="center"/>
      </w:pPr>
      <w:r>
        <w:rPr>
          <w:noProof/>
        </w:rPr>
        <w:lastRenderedPageBreak/>
        <w:drawing>
          <wp:inline distT="114300" distB="114300" distL="114300" distR="114300" wp14:anchorId="3CDEDD52" wp14:editId="4CDD6A28">
            <wp:extent cx="3240000" cy="324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240000" cy="3240000"/>
                    </a:xfrm>
                    <a:prstGeom prst="rect">
                      <a:avLst/>
                    </a:prstGeom>
                    <a:ln/>
                  </pic:spPr>
                </pic:pic>
              </a:graphicData>
            </a:graphic>
          </wp:inline>
        </w:drawing>
      </w:r>
    </w:p>
    <w:p w14:paraId="4C551AFF" w14:textId="77777777" w:rsidR="00B761DA" w:rsidRDefault="00B761DA"/>
    <w:p w14:paraId="77F984CC" w14:textId="77777777" w:rsidR="00B761DA" w:rsidRDefault="00000000">
      <w:r>
        <w:rPr>
          <w:b/>
          <w:bCs/>
          <w:sz w:val="20"/>
          <w:szCs w:val="20"/>
        </w:rPr>
        <w:t>Extended Data Figure 2 | Time evolution of the number of scenarios limiting warming to 1.5°C with low or no overshoot, and peak warming (50th percentile) below 1.6°C and 1.7°C.</w:t>
      </w:r>
      <w:r>
        <w:rPr>
          <w:sz w:val="20"/>
          <w:szCs w:val="20"/>
        </w:rPr>
        <w:t xml:space="preserve"> Results are presented for projections with anthropogenic forcings only, using the 2024 calibration of fair-2.2.2.</w:t>
      </w:r>
      <w:r>
        <w:br w:type="page"/>
      </w:r>
    </w:p>
    <w:p w14:paraId="3A687B73" w14:textId="77777777" w:rsidR="00B761DA" w:rsidRDefault="00000000">
      <w:r>
        <w:rPr>
          <w:noProof/>
        </w:rPr>
        <w:lastRenderedPageBreak/>
        <w:drawing>
          <wp:inline distT="114300" distB="114300" distL="114300" distR="114300" wp14:anchorId="653E526D" wp14:editId="22ED0DE5">
            <wp:extent cx="5731200" cy="4292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67" b="67"/>
                    <a:stretch>
                      <a:fillRect/>
                    </a:stretch>
                  </pic:blipFill>
                  <pic:spPr>
                    <a:xfrm>
                      <a:off x="0" y="0"/>
                      <a:ext cx="5731200" cy="4292600"/>
                    </a:xfrm>
                    <a:prstGeom prst="rect">
                      <a:avLst/>
                    </a:prstGeom>
                    <a:ln/>
                  </pic:spPr>
                </pic:pic>
              </a:graphicData>
            </a:graphic>
          </wp:inline>
        </w:drawing>
      </w:r>
    </w:p>
    <w:p w14:paraId="5554AFA3" w14:textId="77777777" w:rsidR="00B761DA" w:rsidRDefault="00000000">
      <w:pPr>
        <w:rPr>
          <w:sz w:val="20"/>
          <w:szCs w:val="20"/>
        </w:rPr>
      </w:pPr>
      <w:r>
        <w:rPr>
          <w:b/>
          <w:bCs/>
          <w:sz w:val="20"/>
          <w:szCs w:val="20"/>
        </w:rPr>
        <w:t xml:space="preserve">Extended Data Figure 3 | evolution over time of the scenario categorization </w:t>
      </w:r>
      <w:proofErr w:type="gramStart"/>
      <w:r>
        <w:rPr>
          <w:b/>
          <w:bCs/>
          <w:sz w:val="20"/>
          <w:szCs w:val="20"/>
        </w:rPr>
        <w:t>taking into account</w:t>
      </w:r>
      <w:proofErr w:type="gramEnd"/>
      <w:r>
        <w:rPr>
          <w:b/>
          <w:bCs/>
          <w:sz w:val="20"/>
          <w:szCs w:val="20"/>
        </w:rPr>
        <w:t xml:space="preserve"> reharmonization of historical emissions in years between 2014 and 2023.</w:t>
      </w:r>
      <w:r>
        <w:rPr>
          <w:sz w:val="20"/>
          <w:szCs w:val="20"/>
        </w:rPr>
        <w:t xml:space="preserve"> Results are presented using the 2023 calibration of fair-2.2.2 with anthropogenic forcings only. </w:t>
      </w:r>
      <w:r>
        <w:br w:type="page"/>
      </w:r>
    </w:p>
    <w:p w14:paraId="2CE2D748" w14:textId="77777777" w:rsidR="00B761DA" w:rsidRDefault="00000000">
      <w:r>
        <w:rPr>
          <w:noProof/>
        </w:rPr>
        <w:lastRenderedPageBreak/>
        <w:drawing>
          <wp:inline distT="114300" distB="114300" distL="114300" distR="114300" wp14:anchorId="7B3ACC0D" wp14:editId="19B301F7">
            <wp:extent cx="5731200" cy="4292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14:paraId="1569C18C" w14:textId="77777777" w:rsidR="00B761DA" w:rsidRDefault="00000000">
      <w:r>
        <w:rPr>
          <w:b/>
          <w:bCs/>
          <w:sz w:val="20"/>
          <w:szCs w:val="20"/>
        </w:rPr>
        <w:t xml:space="preserve">Extended Data Figure 4 | comparison of 2030 GHG emissions and peak warming </w:t>
      </w:r>
      <w:r>
        <w:rPr>
          <w:sz w:val="20"/>
          <w:szCs w:val="20"/>
        </w:rPr>
        <w:t>for AR6 WG3 scenarios (dark) and Network for Greening the Financial System (NGFS) Phase V scenarios (light)</w:t>
      </w:r>
      <w:r>
        <w:rPr>
          <w:b/>
          <w:bCs/>
          <w:sz w:val="20"/>
          <w:szCs w:val="20"/>
        </w:rPr>
        <w:t>.</w:t>
      </w:r>
      <w:r>
        <w:rPr>
          <w:sz w:val="20"/>
          <w:szCs w:val="20"/>
        </w:rPr>
        <w:t xml:space="preserve"> </w:t>
      </w:r>
      <w:r>
        <w:br w:type="page"/>
      </w:r>
    </w:p>
    <w:p w14:paraId="1532C9EA" w14:textId="77777777" w:rsidR="00B761DA" w:rsidRDefault="00000000">
      <w:pPr>
        <w:rPr>
          <w:sz w:val="20"/>
          <w:szCs w:val="20"/>
        </w:rPr>
      </w:pPr>
      <w:r>
        <w:rPr>
          <w:b/>
          <w:bCs/>
          <w:sz w:val="20"/>
          <w:szCs w:val="20"/>
        </w:rPr>
        <w:lastRenderedPageBreak/>
        <w:t>Extended Data Table 1 | Constraints used in the fair-2.2.2 ensemble in this paper.</w:t>
      </w:r>
      <w:r>
        <w:rPr>
          <w:sz w:val="20"/>
          <w:szCs w:val="20"/>
        </w:rPr>
        <w:t xml:space="preserve"> Calibration v1.5.1 is a set </w:t>
      </w:r>
      <w:proofErr w:type="gramStart"/>
      <w:r>
        <w:rPr>
          <w:sz w:val="20"/>
          <w:szCs w:val="20"/>
        </w:rPr>
        <w:t>similar to</w:t>
      </w:r>
      <w:proofErr w:type="gramEnd"/>
      <w:r>
        <w:rPr>
          <w:sz w:val="20"/>
          <w:szCs w:val="20"/>
        </w:rPr>
        <w:t xml:space="preserve"> the AR6 WG1 set of constraints for climate emulators that were used to run the emissions scenarios in AR6 WG3. Calibration v1.5.0 is the update using historical emissions up to 2024 and climate constraints from Indicators of Global Climate Change 2024. Ranges are quoted as 5‒95 percentiles. RMSD=root-mean-square difference.</w:t>
      </w:r>
    </w:p>
    <w:p w14:paraId="5878D65F" w14:textId="77777777" w:rsidR="00B761DA" w:rsidRDefault="00B761DA"/>
    <w:tbl>
      <w:tblPr>
        <w:tblStyle w:val="a"/>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15"/>
        <w:gridCol w:w="2235"/>
        <w:gridCol w:w="2235"/>
      </w:tblGrid>
      <w:tr w:rsidR="00B761DA" w14:paraId="0C2280B6" w14:textId="77777777">
        <w:tc>
          <w:tcPr>
            <w:tcW w:w="1455" w:type="dxa"/>
            <w:tcMar>
              <w:top w:w="100" w:type="dxa"/>
              <w:left w:w="100" w:type="dxa"/>
              <w:bottom w:w="100" w:type="dxa"/>
              <w:right w:w="100" w:type="dxa"/>
            </w:tcMar>
          </w:tcPr>
          <w:p w14:paraId="2EC4D57A" w14:textId="77777777" w:rsidR="00B761DA" w:rsidRDefault="00000000">
            <w:pPr>
              <w:widowControl w:val="0"/>
              <w:spacing w:line="240" w:lineRule="auto"/>
            </w:pPr>
            <w:r>
              <w:t>Constraining step</w:t>
            </w:r>
          </w:p>
        </w:tc>
        <w:tc>
          <w:tcPr>
            <w:tcW w:w="3015" w:type="dxa"/>
            <w:tcMar>
              <w:top w:w="100" w:type="dxa"/>
              <w:left w:w="100" w:type="dxa"/>
              <w:bottom w:w="100" w:type="dxa"/>
              <w:right w:w="100" w:type="dxa"/>
            </w:tcMar>
          </w:tcPr>
          <w:p w14:paraId="503E706D" w14:textId="77777777" w:rsidR="00B761DA" w:rsidRDefault="00000000">
            <w:pPr>
              <w:widowControl w:val="0"/>
              <w:spacing w:line="240" w:lineRule="auto"/>
            </w:pPr>
            <w:r>
              <w:t>Metric</w:t>
            </w:r>
          </w:p>
        </w:tc>
        <w:tc>
          <w:tcPr>
            <w:tcW w:w="2235" w:type="dxa"/>
            <w:tcMar>
              <w:top w:w="100" w:type="dxa"/>
              <w:left w:w="100" w:type="dxa"/>
              <w:bottom w:w="100" w:type="dxa"/>
              <w:right w:w="100" w:type="dxa"/>
            </w:tcMar>
          </w:tcPr>
          <w:p w14:paraId="066BEDE7" w14:textId="77777777" w:rsidR="00B761DA" w:rsidRDefault="00000000">
            <w:pPr>
              <w:widowControl w:val="0"/>
              <w:spacing w:line="240" w:lineRule="auto"/>
            </w:pPr>
            <w:r>
              <w:t>v1.5.1 (AR6 WG3-like)</w:t>
            </w:r>
          </w:p>
        </w:tc>
        <w:tc>
          <w:tcPr>
            <w:tcW w:w="2235" w:type="dxa"/>
            <w:tcMar>
              <w:top w:w="100" w:type="dxa"/>
              <w:left w:w="100" w:type="dxa"/>
              <w:bottom w:w="100" w:type="dxa"/>
              <w:right w:w="100" w:type="dxa"/>
            </w:tcMar>
          </w:tcPr>
          <w:p w14:paraId="75926466" w14:textId="77777777" w:rsidR="00B761DA" w:rsidRDefault="00000000">
            <w:pPr>
              <w:widowControl w:val="0"/>
              <w:spacing w:line="240" w:lineRule="auto"/>
            </w:pPr>
            <w:r>
              <w:t>v1.5.0 (2024 calibration)</w:t>
            </w:r>
          </w:p>
        </w:tc>
      </w:tr>
      <w:tr w:rsidR="00B761DA" w14:paraId="76D01E7D" w14:textId="77777777">
        <w:tc>
          <w:tcPr>
            <w:tcW w:w="1455" w:type="dxa"/>
            <w:tcMar>
              <w:top w:w="100" w:type="dxa"/>
              <w:left w:w="100" w:type="dxa"/>
              <w:bottom w:w="100" w:type="dxa"/>
              <w:right w:w="100" w:type="dxa"/>
            </w:tcMar>
          </w:tcPr>
          <w:p w14:paraId="22B09013" w14:textId="77777777" w:rsidR="00B761DA" w:rsidRDefault="00000000">
            <w:pPr>
              <w:widowControl w:val="0"/>
              <w:spacing w:line="240" w:lineRule="auto"/>
            </w:pPr>
            <w:r>
              <w:t>1</w:t>
            </w:r>
          </w:p>
        </w:tc>
        <w:tc>
          <w:tcPr>
            <w:tcW w:w="3015" w:type="dxa"/>
            <w:tcMar>
              <w:top w:w="100" w:type="dxa"/>
              <w:left w:w="100" w:type="dxa"/>
              <w:bottom w:w="100" w:type="dxa"/>
              <w:right w:w="100" w:type="dxa"/>
            </w:tcMar>
          </w:tcPr>
          <w:p w14:paraId="6A93E717" w14:textId="77777777" w:rsidR="00B761DA" w:rsidRDefault="00000000">
            <w:pPr>
              <w:widowControl w:val="0"/>
              <w:spacing w:line="240" w:lineRule="auto"/>
            </w:pPr>
            <w:r>
              <w:t>Historical global mean surface temperature timeseries</w:t>
            </w:r>
          </w:p>
        </w:tc>
        <w:tc>
          <w:tcPr>
            <w:tcW w:w="2235" w:type="dxa"/>
            <w:tcMar>
              <w:top w:w="100" w:type="dxa"/>
              <w:left w:w="100" w:type="dxa"/>
              <w:bottom w:w="100" w:type="dxa"/>
              <w:right w:w="100" w:type="dxa"/>
            </w:tcMar>
          </w:tcPr>
          <w:p w14:paraId="4715546B" w14:textId="77777777" w:rsidR="00B761DA" w:rsidRDefault="00000000">
            <w:pPr>
              <w:widowControl w:val="0"/>
              <w:spacing w:line="240" w:lineRule="auto"/>
            </w:pPr>
            <w:r>
              <w:t>RMSD to best estimate observations 1850‒2020 &lt; 0.19°C, run with CMIP6 historical emissions extended with SSP2-4.5</w:t>
            </w:r>
          </w:p>
        </w:tc>
        <w:tc>
          <w:tcPr>
            <w:tcW w:w="2235" w:type="dxa"/>
            <w:tcMar>
              <w:top w:w="100" w:type="dxa"/>
              <w:left w:w="100" w:type="dxa"/>
              <w:bottom w:w="100" w:type="dxa"/>
              <w:right w:w="100" w:type="dxa"/>
            </w:tcMar>
          </w:tcPr>
          <w:p w14:paraId="18545867" w14:textId="77777777" w:rsidR="00B761DA" w:rsidRDefault="00000000">
            <w:pPr>
              <w:widowControl w:val="0"/>
              <w:spacing w:line="240" w:lineRule="auto"/>
            </w:pPr>
            <w:r>
              <w:t>RMSD to best estimate observations 1850‒2024 &lt; 0.19°C, run with CMIP7 historical emissions extended to 2024</w:t>
            </w:r>
          </w:p>
        </w:tc>
      </w:tr>
      <w:tr w:rsidR="00B761DA" w14:paraId="3635F2AA" w14:textId="77777777">
        <w:tc>
          <w:tcPr>
            <w:tcW w:w="1455" w:type="dxa"/>
            <w:tcMar>
              <w:top w:w="100" w:type="dxa"/>
              <w:left w:w="100" w:type="dxa"/>
              <w:bottom w:w="100" w:type="dxa"/>
              <w:right w:w="100" w:type="dxa"/>
            </w:tcMar>
          </w:tcPr>
          <w:p w14:paraId="292E8EA8"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7A239693" w14:textId="77777777" w:rsidR="00B761DA" w:rsidRDefault="00000000">
            <w:pPr>
              <w:widowControl w:val="0"/>
              <w:spacing w:line="240" w:lineRule="auto"/>
            </w:pPr>
            <w:r>
              <w:t>Recent 20-year warming with respect to 1850‒1900</w:t>
            </w:r>
          </w:p>
        </w:tc>
        <w:tc>
          <w:tcPr>
            <w:tcW w:w="2235" w:type="dxa"/>
            <w:tcMar>
              <w:top w:w="100" w:type="dxa"/>
              <w:left w:w="100" w:type="dxa"/>
              <w:bottom w:w="100" w:type="dxa"/>
              <w:right w:w="100" w:type="dxa"/>
            </w:tcMar>
          </w:tcPr>
          <w:p w14:paraId="4254738C" w14:textId="77777777" w:rsidR="00B761DA" w:rsidRDefault="00000000">
            <w:pPr>
              <w:widowControl w:val="0"/>
              <w:spacing w:line="240" w:lineRule="auto"/>
            </w:pPr>
            <w:r>
              <w:t>0.85 [0.67‒0.</w:t>
            </w:r>
            <w:proofErr w:type="gramStart"/>
            <w:r>
              <w:t>98]°</w:t>
            </w:r>
            <w:proofErr w:type="gramEnd"/>
            <w:r>
              <w:t>C (1995‒2014)</w:t>
            </w:r>
          </w:p>
        </w:tc>
        <w:tc>
          <w:tcPr>
            <w:tcW w:w="2235" w:type="dxa"/>
            <w:tcMar>
              <w:top w:w="100" w:type="dxa"/>
              <w:left w:w="100" w:type="dxa"/>
              <w:bottom w:w="100" w:type="dxa"/>
              <w:right w:w="100" w:type="dxa"/>
            </w:tcMar>
          </w:tcPr>
          <w:p w14:paraId="3CE19C4C" w14:textId="77777777" w:rsidR="00B761DA" w:rsidRDefault="00000000">
            <w:pPr>
              <w:widowControl w:val="0"/>
              <w:spacing w:line="240" w:lineRule="auto"/>
            </w:pPr>
            <w:r>
              <w:t>1.09 [0.93‒1.</w:t>
            </w:r>
            <w:proofErr w:type="gramStart"/>
            <w:r>
              <w:t>20]°</w:t>
            </w:r>
            <w:proofErr w:type="gramEnd"/>
            <w:r>
              <w:t>C (2005‒2024)</w:t>
            </w:r>
          </w:p>
        </w:tc>
      </w:tr>
      <w:tr w:rsidR="00B761DA" w14:paraId="4D01ADF6" w14:textId="77777777">
        <w:tc>
          <w:tcPr>
            <w:tcW w:w="1455" w:type="dxa"/>
            <w:tcMar>
              <w:top w:w="100" w:type="dxa"/>
              <w:left w:w="100" w:type="dxa"/>
              <w:bottom w:w="100" w:type="dxa"/>
              <w:right w:w="100" w:type="dxa"/>
            </w:tcMar>
          </w:tcPr>
          <w:p w14:paraId="4EAB428B"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1B249FB9" w14:textId="77777777" w:rsidR="00B761DA" w:rsidRDefault="00000000">
            <w:pPr>
              <w:widowControl w:val="0"/>
              <w:spacing w:line="240" w:lineRule="auto"/>
            </w:pPr>
            <w:r>
              <w:t>Earth’s energy uptake relative to 1971</w:t>
            </w:r>
          </w:p>
        </w:tc>
        <w:tc>
          <w:tcPr>
            <w:tcW w:w="2235" w:type="dxa"/>
            <w:tcMar>
              <w:top w:w="100" w:type="dxa"/>
              <w:left w:w="100" w:type="dxa"/>
              <w:bottom w:w="100" w:type="dxa"/>
              <w:right w:w="100" w:type="dxa"/>
            </w:tcMar>
          </w:tcPr>
          <w:p w14:paraId="67102BC9" w14:textId="77777777" w:rsidR="00B761DA" w:rsidRDefault="00000000">
            <w:pPr>
              <w:widowControl w:val="0"/>
              <w:spacing w:line="240" w:lineRule="auto"/>
            </w:pPr>
            <w:r>
              <w:t xml:space="preserve">434.9 ± 110.4 ZJ (2018) </w:t>
            </w:r>
          </w:p>
        </w:tc>
        <w:tc>
          <w:tcPr>
            <w:tcW w:w="2235" w:type="dxa"/>
            <w:tcMar>
              <w:top w:w="100" w:type="dxa"/>
              <w:left w:w="100" w:type="dxa"/>
              <w:bottom w:w="100" w:type="dxa"/>
              <w:right w:w="100" w:type="dxa"/>
            </w:tcMar>
          </w:tcPr>
          <w:p w14:paraId="726CA4F8" w14:textId="77777777" w:rsidR="00B761DA" w:rsidRDefault="00000000">
            <w:pPr>
              <w:widowControl w:val="0"/>
              <w:spacing w:line="240" w:lineRule="auto"/>
            </w:pPr>
            <w:r>
              <w:t>465.3 ± 108.5 ZJ (2020)</w:t>
            </w:r>
          </w:p>
        </w:tc>
      </w:tr>
      <w:tr w:rsidR="00B761DA" w14:paraId="72ECCF20" w14:textId="77777777">
        <w:tc>
          <w:tcPr>
            <w:tcW w:w="1455" w:type="dxa"/>
            <w:tcMar>
              <w:top w:w="100" w:type="dxa"/>
              <w:left w:w="100" w:type="dxa"/>
              <w:bottom w:w="100" w:type="dxa"/>
              <w:right w:w="100" w:type="dxa"/>
            </w:tcMar>
          </w:tcPr>
          <w:p w14:paraId="547B978C"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2471C641" w14:textId="77777777" w:rsidR="00B761DA" w:rsidRDefault="00000000">
            <w:pPr>
              <w:widowControl w:val="0"/>
              <w:spacing w:line="240" w:lineRule="auto"/>
            </w:pPr>
            <w:r>
              <w:t>CO</w:t>
            </w:r>
            <w:r>
              <w:rPr>
                <w:vertAlign w:val="subscript"/>
              </w:rPr>
              <w:t>2</w:t>
            </w:r>
            <w:r>
              <w:t xml:space="preserve"> concentration</w:t>
            </w:r>
          </w:p>
        </w:tc>
        <w:tc>
          <w:tcPr>
            <w:tcW w:w="2235" w:type="dxa"/>
            <w:tcMar>
              <w:top w:w="100" w:type="dxa"/>
              <w:left w:w="100" w:type="dxa"/>
              <w:bottom w:w="100" w:type="dxa"/>
              <w:right w:w="100" w:type="dxa"/>
            </w:tcMar>
          </w:tcPr>
          <w:p w14:paraId="3BCF70C6" w14:textId="77777777" w:rsidR="00B761DA" w:rsidRDefault="00000000">
            <w:pPr>
              <w:widowControl w:val="0"/>
              <w:spacing w:line="240" w:lineRule="auto"/>
            </w:pPr>
            <w:r>
              <w:t>397.55 ± 0.4 ppm (2014)</w:t>
            </w:r>
          </w:p>
        </w:tc>
        <w:tc>
          <w:tcPr>
            <w:tcW w:w="2235" w:type="dxa"/>
            <w:tcMar>
              <w:top w:w="100" w:type="dxa"/>
              <w:left w:w="100" w:type="dxa"/>
              <w:bottom w:w="100" w:type="dxa"/>
              <w:right w:w="100" w:type="dxa"/>
            </w:tcMar>
          </w:tcPr>
          <w:p w14:paraId="20262882" w14:textId="77777777" w:rsidR="00B761DA" w:rsidRDefault="00000000">
            <w:pPr>
              <w:widowControl w:val="0"/>
              <w:spacing w:line="240" w:lineRule="auto"/>
            </w:pPr>
            <w:r>
              <w:t>422.77 ± 0.4 ppm (2024)</w:t>
            </w:r>
          </w:p>
        </w:tc>
      </w:tr>
      <w:tr w:rsidR="00B761DA" w14:paraId="30B0F571" w14:textId="77777777">
        <w:tc>
          <w:tcPr>
            <w:tcW w:w="1455" w:type="dxa"/>
            <w:tcMar>
              <w:top w:w="100" w:type="dxa"/>
              <w:left w:w="100" w:type="dxa"/>
              <w:bottom w:w="100" w:type="dxa"/>
              <w:right w:w="100" w:type="dxa"/>
            </w:tcMar>
          </w:tcPr>
          <w:p w14:paraId="01D2FEE8"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1689BC90" w14:textId="77777777" w:rsidR="00B761DA" w:rsidRDefault="00000000">
            <w:pPr>
              <w:widowControl w:val="0"/>
              <w:spacing w:line="240" w:lineRule="auto"/>
            </w:pPr>
            <w:r>
              <w:t>Effective radiative forcing from aerosol-radiation interactions (1750 to 2005‒14 mean)</w:t>
            </w:r>
          </w:p>
        </w:tc>
        <w:tc>
          <w:tcPr>
            <w:tcW w:w="2235" w:type="dxa"/>
            <w:tcMar>
              <w:top w:w="100" w:type="dxa"/>
              <w:left w:w="100" w:type="dxa"/>
              <w:bottom w:w="100" w:type="dxa"/>
              <w:right w:w="100" w:type="dxa"/>
            </w:tcMar>
          </w:tcPr>
          <w:p w14:paraId="3D138F38" w14:textId="77777777" w:rsidR="00B761DA" w:rsidRDefault="00000000">
            <w:pPr>
              <w:widowControl w:val="0"/>
              <w:spacing w:line="240" w:lineRule="auto"/>
            </w:pPr>
            <w:r>
              <w:t>‒0.28 ± 0.28 W m</w:t>
            </w:r>
            <w:r>
              <w:rPr>
                <w:vertAlign w:val="superscript"/>
              </w:rPr>
              <w:t>‒2</w:t>
            </w:r>
          </w:p>
        </w:tc>
        <w:tc>
          <w:tcPr>
            <w:tcW w:w="2235" w:type="dxa"/>
            <w:tcMar>
              <w:top w:w="100" w:type="dxa"/>
              <w:left w:w="100" w:type="dxa"/>
              <w:bottom w:w="100" w:type="dxa"/>
              <w:right w:w="100" w:type="dxa"/>
            </w:tcMar>
          </w:tcPr>
          <w:p w14:paraId="326A3CF3" w14:textId="77777777" w:rsidR="00B761DA" w:rsidRDefault="00000000">
            <w:pPr>
              <w:widowControl w:val="0"/>
              <w:spacing w:line="240" w:lineRule="auto"/>
              <w:rPr>
                <w:vertAlign w:val="superscript"/>
              </w:rPr>
            </w:pPr>
            <w:r>
              <w:t>‒0.3 ± 0.3 W m</w:t>
            </w:r>
            <w:r>
              <w:rPr>
                <w:vertAlign w:val="superscript"/>
              </w:rPr>
              <w:t>‒2</w:t>
            </w:r>
          </w:p>
        </w:tc>
      </w:tr>
      <w:tr w:rsidR="00B761DA" w14:paraId="5D4CDE15" w14:textId="77777777">
        <w:tc>
          <w:tcPr>
            <w:tcW w:w="1455" w:type="dxa"/>
            <w:tcMar>
              <w:top w:w="100" w:type="dxa"/>
              <w:left w:w="100" w:type="dxa"/>
              <w:bottom w:w="100" w:type="dxa"/>
              <w:right w:w="100" w:type="dxa"/>
            </w:tcMar>
          </w:tcPr>
          <w:p w14:paraId="0FC4CE9D"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0C37195B" w14:textId="77777777" w:rsidR="00B761DA" w:rsidRDefault="00000000">
            <w:pPr>
              <w:widowControl w:val="0"/>
              <w:spacing w:line="240" w:lineRule="auto"/>
            </w:pPr>
            <w:r>
              <w:t>Effective radiative forcing from aerosol-cloud interactions (1750 to 2005‒14 mean)</w:t>
            </w:r>
          </w:p>
        </w:tc>
        <w:tc>
          <w:tcPr>
            <w:tcW w:w="2235" w:type="dxa"/>
            <w:tcMar>
              <w:top w:w="100" w:type="dxa"/>
              <w:left w:w="100" w:type="dxa"/>
              <w:bottom w:w="100" w:type="dxa"/>
              <w:right w:w="100" w:type="dxa"/>
            </w:tcMar>
          </w:tcPr>
          <w:p w14:paraId="38D47401" w14:textId="77777777" w:rsidR="00B761DA" w:rsidRDefault="00000000">
            <w:pPr>
              <w:widowControl w:val="0"/>
              <w:spacing w:line="240" w:lineRule="auto"/>
            </w:pPr>
            <w:r>
              <w:t>‒0.87 [‒1.41 to ‒0.33] W m</w:t>
            </w:r>
            <w:r>
              <w:rPr>
                <w:vertAlign w:val="superscript"/>
              </w:rPr>
              <w:t>‒2</w:t>
            </w:r>
          </w:p>
        </w:tc>
        <w:tc>
          <w:tcPr>
            <w:tcW w:w="2235" w:type="dxa"/>
            <w:tcMar>
              <w:top w:w="100" w:type="dxa"/>
              <w:left w:w="100" w:type="dxa"/>
              <w:bottom w:w="100" w:type="dxa"/>
              <w:right w:w="100" w:type="dxa"/>
            </w:tcMar>
          </w:tcPr>
          <w:p w14:paraId="497309D4" w14:textId="77777777" w:rsidR="00B761DA" w:rsidRDefault="00000000">
            <w:pPr>
              <w:widowControl w:val="0"/>
              <w:spacing w:line="240" w:lineRule="auto"/>
            </w:pPr>
            <w:r>
              <w:t>‒1.0 ± 0.7 W m</w:t>
            </w:r>
            <w:r>
              <w:rPr>
                <w:vertAlign w:val="superscript"/>
              </w:rPr>
              <w:t>‒2</w:t>
            </w:r>
          </w:p>
        </w:tc>
      </w:tr>
      <w:tr w:rsidR="00B761DA" w14:paraId="67FA7AD3" w14:textId="77777777">
        <w:tc>
          <w:tcPr>
            <w:tcW w:w="1455" w:type="dxa"/>
            <w:tcMar>
              <w:top w:w="100" w:type="dxa"/>
              <w:left w:w="100" w:type="dxa"/>
              <w:bottom w:w="100" w:type="dxa"/>
              <w:right w:w="100" w:type="dxa"/>
            </w:tcMar>
          </w:tcPr>
          <w:p w14:paraId="68F0C430"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77A3493D" w14:textId="77777777" w:rsidR="00B761DA" w:rsidRDefault="00000000">
            <w:pPr>
              <w:widowControl w:val="0"/>
              <w:spacing w:line="240" w:lineRule="auto"/>
            </w:pPr>
            <w:r>
              <w:t>Effective radiative forcing from aerosols, total (1750 to 2005‒14 mean)</w:t>
            </w:r>
          </w:p>
        </w:tc>
        <w:tc>
          <w:tcPr>
            <w:tcW w:w="2235" w:type="dxa"/>
            <w:tcMar>
              <w:top w:w="100" w:type="dxa"/>
              <w:left w:w="100" w:type="dxa"/>
              <w:bottom w:w="100" w:type="dxa"/>
              <w:right w:w="100" w:type="dxa"/>
            </w:tcMar>
          </w:tcPr>
          <w:p w14:paraId="4E3DA744" w14:textId="77777777" w:rsidR="00B761DA" w:rsidRDefault="00000000">
            <w:pPr>
              <w:widowControl w:val="0"/>
              <w:spacing w:line="240" w:lineRule="auto"/>
            </w:pPr>
            <w:r>
              <w:t>‒1.15 [‒1.68 to ‒0.60] W m</w:t>
            </w:r>
            <w:r>
              <w:rPr>
                <w:vertAlign w:val="superscript"/>
              </w:rPr>
              <w:t>‒2</w:t>
            </w:r>
          </w:p>
        </w:tc>
        <w:tc>
          <w:tcPr>
            <w:tcW w:w="2235" w:type="dxa"/>
            <w:tcMar>
              <w:top w:w="100" w:type="dxa"/>
              <w:left w:w="100" w:type="dxa"/>
              <w:bottom w:w="100" w:type="dxa"/>
              <w:right w:w="100" w:type="dxa"/>
            </w:tcMar>
          </w:tcPr>
          <w:p w14:paraId="2E46AA28" w14:textId="77777777" w:rsidR="00B761DA" w:rsidRDefault="00000000">
            <w:pPr>
              <w:widowControl w:val="0"/>
              <w:spacing w:line="240" w:lineRule="auto"/>
            </w:pPr>
            <w:r>
              <w:t>‒1.3 ± 0.7 W m</w:t>
            </w:r>
            <w:r>
              <w:rPr>
                <w:vertAlign w:val="superscript"/>
              </w:rPr>
              <w:t>‒2</w:t>
            </w:r>
          </w:p>
        </w:tc>
      </w:tr>
      <w:tr w:rsidR="00B761DA" w14:paraId="54E660E9" w14:textId="77777777">
        <w:trPr>
          <w:trHeight w:val="420"/>
        </w:trPr>
        <w:tc>
          <w:tcPr>
            <w:tcW w:w="1455" w:type="dxa"/>
            <w:tcMar>
              <w:top w:w="100" w:type="dxa"/>
              <w:left w:w="100" w:type="dxa"/>
              <w:bottom w:w="100" w:type="dxa"/>
              <w:right w:w="100" w:type="dxa"/>
            </w:tcMar>
          </w:tcPr>
          <w:p w14:paraId="0F46D6A2"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2BA4C07F" w14:textId="77777777" w:rsidR="00B761DA" w:rsidRDefault="00000000">
            <w:pPr>
              <w:widowControl w:val="0"/>
              <w:spacing w:line="240" w:lineRule="auto"/>
            </w:pPr>
            <w:r>
              <w:t>Equilibrium climate sensitivity (ECS)</w:t>
            </w:r>
          </w:p>
        </w:tc>
        <w:tc>
          <w:tcPr>
            <w:tcW w:w="4470" w:type="dxa"/>
            <w:gridSpan w:val="2"/>
            <w:tcMar>
              <w:top w:w="100" w:type="dxa"/>
              <w:left w:w="100" w:type="dxa"/>
              <w:bottom w:w="100" w:type="dxa"/>
              <w:right w:w="100" w:type="dxa"/>
            </w:tcMar>
          </w:tcPr>
          <w:p w14:paraId="6A799217" w14:textId="77777777" w:rsidR="00B761DA" w:rsidRDefault="00000000">
            <w:pPr>
              <w:widowControl w:val="0"/>
              <w:spacing w:line="240" w:lineRule="auto"/>
            </w:pPr>
            <w:r>
              <w:t>3 [2‒</w:t>
            </w:r>
            <w:proofErr w:type="gramStart"/>
            <w:r>
              <w:t>5]°</w:t>
            </w:r>
            <w:proofErr w:type="gramEnd"/>
            <w:r>
              <w:t>C</w:t>
            </w:r>
          </w:p>
        </w:tc>
      </w:tr>
      <w:tr w:rsidR="00B761DA" w14:paraId="6027195C" w14:textId="77777777">
        <w:trPr>
          <w:trHeight w:val="420"/>
        </w:trPr>
        <w:tc>
          <w:tcPr>
            <w:tcW w:w="1455" w:type="dxa"/>
            <w:tcMar>
              <w:top w:w="100" w:type="dxa"/>
              <w:left w:w="100" w:type="dxa"/>
              <w:bottom w:w="100" w:type="dxa"/>
              <w:right w:w="100" w:type="dxa"/>
            </w:tcMar>
          </w:tcPr>
          <w:p w14:paraId="25209B58"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6EF44A7E" w14:textId="77777777" w:rsidR="00B761DA" w:rsidRDefault="00000000">
            <w:pPr>
              <w:widowControl w:val="0"/>
              <w:spacing w:line="240" w:lineRule="auto"/>
            </w:pPr>
            <w:r>
              <w:t>Transient climate response (TCR)</w:t>
            </w:r>
          </w:p>
        </w:tc>
        <w:tc>
          <w:tcPr>
            <w:tcW w:w="4470" w:type="dxa"/>
            <w:gridSpan w:val="2"/>
            <w:tcMar>
              <w:top w:w="100" w:type="dxa"/>
              <w:left w:w="100" w:type="dxa"/>
              <w:bottom w:w="100" w:type="dxa"/>
              <w:right w:w="100" w:type="dxa"/>
            </w:tcMar>
          </w:tcPr>
          <w:p w14:paraId="2CDAC793" w14:textId="77777777" w:rsidR="00B761DA" w:rsidRDefault="00000000">
            <w:pPr>
              <w:widowControl w:val="0"/>
              <w:spacing w:line="240" w:lineRule="auto"/>
            </w:pPr>
            <w:r>
              <w:t>1.8 ± 0.6 °C</w:t>
            </w:r>
          </w:p>
        </w:tc>
      </w:tr>
      <w:tr w:rsidR="00B761DA" w14:paraId="53885E54" w14:textId="77777777">
        <w:trPr>
          <w:trHeight w:val="420"/>
        </w:trPr>
        <w:tc>
          <w:tcPr>
            <w:tcW w:w="1455" w:type="dxa"/>
            <w:tcMar>
              <w:top w:w="100" w:type="dxa"/>
              <w:left w:w="100" w:type="dxa"/>
              <w:bottom w:w="100" w:type="dxa"/>
              <w:right w:w="100" w:type="dxa"/>
            </w:tcMar>
          </w:tcPr>
          <w:p w14:paraId="5704B8C9" w14:textId="77777777" w:rsidR="00B761DA" w:rsidRDefault="00000000">
            <w:pPr>
              <w:widowControl w:val="0"/>
              <w:spacing w:line="240" w:lineRule="auto"/>
            </w:pPr>
            <w:r>
              <w:t>2</w:t>
            </w:r>
          </w:p>
        </w:tc>
        <w:tc>
          <w:tcPr>
            <w:tcW w:w="3015" w:type="dxa"/>
            <w:tcMar>
              <w:top w:w="100" w:type="dxa"/>
              <w:left w:w="100" w:type="dxa"/>
              <w:bottom w:w="100" w:type="dxa"/>
              <w:right w:w="100" w:type="dxa"/>
            </w:tcMar>
          </w:tcPr>
          <w:p w14:paraId="6B31D31B" w14:textId="77777777" w:rsidR="00B761DA" w:rsidRDefault="00000000">
            <w:pPr>
              <w:widowControl w:val="0"/>
              <w:spacing w:line="240" w:lineRule="auto"/>
              <w:rPr>
                <w:vertAlign w:val="subscript"/>
              </w:rPr>
            </w:pPr>
            <w:r>
              <w:t>Airborne fraction of CO</w:t>
            </w:r>
            <w:r>
              <w:rPr>
                <w:vertAlign w:val="subscript"/>
              </w:rPr>
              <w:t>2</w:t>
            </w:r>
          </w:p>
        </w:tc>
        <w:tc>
          <w:tcPr>
            <w:tcW w:w="4470" w:type="dxa"/>
            <w:gridSpan w:val="2"/>
            <w:tcMar>
              <w:top w:w="100" w:type="dxa"/>
              <w:left w:w="100" w:type="dxa"/>
              <w:bottom w:w="100" w:type="dxa"/>
              <w:right w:w="100" w:type="dxa"/>
            </w:tcMar>
          </w:tcPr>
          <w:p w14:paraId="717C95B6" w14:textId="77777777" w:rsidR="00B761DA" w:rsidRDefault="00000000">
            <w:pPr>
              <w:widowControl w:val="0"/>
              <w:spacing w:line="240" w:lineRule="auto"/>
              <w:rPr>
                <w:vertAlign w:val="subscript"/>
              </w:rPr>
            </w:pPr>
            <w:r>
              <w:t>AF</w:t>
            </w:r>
            <w:r>
              <w:rPr>
                <w:vertAlign w:val="subscript"/>
              </w:rPr>
              <w:t>8×CO2</w:t>
            </w:r>
            <w:r>
              <w:t xml:space="preserve"> &gt; AF</w:t>
            </w:r>
            <w:r>
              <w:rPr>
                <w:vertAlign w:val="subscript"/>
              </w:rPr>
              <w:t>4×CO2</w:t>
            </w:r>
            <w:r>
              <w:t xml:space="preserve"> &gt; AF</w:t>
            </w:r>
            <w:r>
              <w:rPr>
                <w:vertAlign w:val="subscript"/>
              </w:rPr>
              <w:t>2×CO2</w:t>
            </w:r>
          </w:p>
        </w:tc>
      </w:tr>
    </w:tbl>
    <w:p w14:paraId="3197960E" w14:textId="77777777" w:rsidR="00B761DA" w:rsidRDefault="00000000">
      <w:r>
        <w:br w:type="page"/>
      </w:r>
      <w:r>
        <w:rPr>
          <w:b/>
          <w:bCs/>
          <w:sz w:val="20"/>
          <w:szCs w:val="20"/>
        </w:rPr>
        <w:lastRenderedPageBreak/>
        <w:t xml:space="preserve">Extended Data Table 2 | 10-year mean Global Warming Index (GWI) values </w:t>
      </w:r>
      <w:r>
        <w:rPr>
          <w:sz w:val="20"/>
          <w:szCs w:val="20"/>
        </w:rPr>
        <w:t>used as the baseline to determine future anthropogenic warming for each harmonization year</w:t>
      </w:r>
      <w:r>
        <w:rPr>
          <w:b/>
          <w:bCs/>
          <w:sz w:val="20"/>
          <w:szCs w:val="20"/>
        </w:rPr>
        <w:t>.</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761DA" w14:paraId="62BEA684" w14:textId="77777777">
        <w:tc>
          <w:tcPr>
            <w:tcW w:w="1805" w:type="dxa"/>
            <w:tcMar>
              <w:top w:w="100" w:type="dxa"/>
              <w:left w:w="100" w:type="dxa"/>
              <w:bottom w:w="100" w:type="dxa"/>
              <w:right w:w="100" w:type="dxa"/>
            </w:tcMar>
          </w:tcPr>
          <w:p w14:paraId="1F647340" w14:textId="77777777" w:rsidR="00B761DA" w:rsidRDefault="00000000">
            <w:pPr>
              <w:widowControl w:val="0"/>
              <w:pBdr>
                <w:top w:val="nil"/>
                <w:left w:val="nil"/>
                <w:bottom w:val="nil"/>
                <w:right w:val="nil"/>
                <w:between w:val="nil"/>
              </w:pBdr>
              <w:spacing w:line="240" w:lineRule="auto"/>
            </w:pPr>
            <w:r>
              <w:t>Harmonization year</w:t>
            </w:r>
          </w:p>
        </w:tc>
        <w:tc>
          <w:tcPr>
            <w:tcW w:w="1805" w:type="dxa"/>
            <w:tcMar>
              <w:top w:w="100" w:type="dxa"/>
              <w:left w:w="100" w:type="dxa"/>
              <w:bottom w:w="100" w:type="dxa"/>
              <w:right w:w="100" w:type="dxa"/>
            </w:tcMar>
          </w:tcPr>
          <w:p w14:paraId="6BA621C2" w14:textId="77777777" w:rsidR="00B761DA" w:rsidRDefault="00000000">
            <w:pPr>
              <w:widowControl w:val="0"/>
              <w:pBdr>
                <w:top w:val="nil"/>
                <w:left w:val="nil"/>
                <w:bottom w:val="nil"/>
                <w:right w:val="nil"/>
                <w:between w:val="nil"/>
              </w:pBdr>
              <w:spacing w:line="240" w:lineRule="auto"/>
            </w:pPr>
            <w:r>
              <w:t>All forcings baseline period</w:t>
            </w:r>
          </w:p>
        </w:tc>
        <w:tc>
          <w:tcPr>
            <w:tcW w:w="1805" w:type="dxa"/>
            <w:tcMar>
              <w:top w:w="100" w:type="dxa"/>
              <w:left w:w="100" w:type="dxa"/>
              <w:bottom w:w="100" w:type="dxa"/>
              <w:right w:w="100" w:type="dxa"/>
            </w:tcMar>
          </w:tcPr>
          <w:p w14:paraId="5F6A0291" w14:textId="77777777" w:rsidR="00B761DA" w:rsidRDefault="00000000">
            <w:pPr>
              <w:widowControl w:val="0"/>
              <w:pBdr>
                <w:top w:val="nil"/>
                <w:left w:val="nil"/>
                <w:bottom w:val="nil"/>
                <w:right w:val="nil"/>
                <w:between w:val="nil"/>
              </w:pBdr>
              <w:spacing w:line="240" w:lineRule="auto"/>
            </w:pPr>
            <w:r>
              <w:t>All forcings temperature anomaly relative to 1850‒1900 (°C)</w:t>
            </w:r>
          </w:p>
        </w:tc>
        <w:tc>
          <w:tcPr>
            <w:tcW w:w="1805" w:type="dxa"/>
            <w:tcMar>
              <w:top w:w="100" w:type="dxa"/>
              <w:left w:w="100" w:type="dxa"/>
              <w:bottom w:w="100" w:type="dxa"/>
              <w:right w:w="100" w:type="dxa"/>
            </w:tcMar>
          </w:tcPr>
          <w:p w14:paraId="00F14E85" w14:textId="77777777" w:rsidR="00B761DA" w:rsidRDefault="00000000">
            <w:pPr>
              <w:widowControl w:val="0"/>
              <w:pBdr>
                <w:top w:val="nil"/>
                <w:left w:val="nil"/>
                <w:bottom w:val="nil"/>
                <w:right w:val="nil"/>
                <w:between w:val="nil"/>
              </w:pBdr>
              <w:spacing w:line="240" w:lineRule="auto"/>
            </w:pPr>
            <w:r>
              <w:t>Anthropogenic baseline period</w:t>
            </w:r>
          </w:p>
        </w:tc>
        <w:tc>
          <w:tcPr>
            <w:tcW w:w="1805" w:type="dxa"/>
            <w:tcMar>
              <w:top w:w="100" w:type="dxa"/>
              <w:left w:w="100" w:type="dxa"/>
              <w:bottom w:w="100" w:type="dxa"/>
              <w:right w:w="100" w:type="dxa"/>
            </w:tcMar>
          </w:tcPr>
          <w:p w14:paraId="445DEFA0" w14:textId="77777777" w:rsidR="00B761DA" w:rsidRDefault="00000000">
            <w:pPr>
              <w:widowControl w:val="0"/>
              <w:pBdr>
                <w:top w:val="nil"/>
                <w:left w:val="nil"/>
                <w:bottom w:val="nil"/>
                <w:right w:val="nil"/>
                <w:between w:val="nil"/>
              </w:pBdr>
              <w:spacing w:line="240" w:lineRule="auto"/>
            </w:pPr>
            <w:r>
              <w:t>Anthropogenic temperature anomaly relative to 1850‒1900 (°C)</w:t>
            </w:r>
          </w:p>
        </w:tc>
      </w:tr>
      <w:tr w:rsidR="00B761DA" w14:paraId="1B54EC05" w14:textId="77777777">
        <w:tc>
          <w:tcPr>
            <w:tcW w:w="1805" w:type="dxa"/>
            <w:tcMar>
              <w:top w:w="100" w:type="dxa"/>
              <w:left w:w="100" w:type="dxa"/>
              <w:bottom w:w="100" w:type="dxa"/>
              <w:right w:w="100" w:type="dxa"/>
            </w:tcMar>
          </w:tcPr>
          <w:p w14:paraId="4706EFA4" w14:textId="77777777" w:rsidR="00B761DA" w:rsidRDefault="00000000">
            <w:pPr>
              <w:widowControl w:val="0"/>
              <w:pBdr>
                <w:top w:val="nil"/>
                <w:left w:val="nil"/>
                <w:bottom w:val="nil"/>
                <w:right w:val="nil"/>
                <w:between w:val="nil"/>
              </w:pBdr>
              <w:spacing w:line="240" w:lineRule="auto"/>
            </w:pPr>
            <w:r>
              <w:t>2014</w:t>
            </w:r>
          </w:p>
        </w:tc>
        <w:tc>
          <w:tcPr>
            <w:tcW w:w="1805" w:type="dxa"/>
            <w:tcMar>
              <w:top w:w="100" w:type="dxa"/>
              <w:left w:w="100" w:type="dxa"/>
              <w:bottom w:w="100" w:type="dxa"/>
              <w:right w:w="100" w:type="dxa"/>
            </w:tcMar>
          </w:tcPr>
          <w:p w14:paraId="702450AD" w14:textId="77777777" w:rsidR="00B761DA" w:rsidRDefault="00000000">
            <w:pPr>
              <w:widowControl w:val="0"/>
              <w:pBdr>
                <w:top w:val="nil"/>
                <w:left w:val="nil"/>
                <w:bottom w:val="nil"/>
                <w:right w:val="nil"/>
                <w:between w:val="nil"/>
              </w:pBdr>
              <w:spacing w:line="240" w:lineRule="auto"/>
            </w:pPr>
            <w:r>
              <w:t>1995‒2014</w:t>
            </w:r>
          </w:p>
        </w:tc>
        <w:tc>
          <w:tcPr>
            <w:tcW w:w="1805" w:type="dxa"/>
            <w:tcMar>
              <w:top w:w="100" w:type="dxa"/>
              <w:left w:w="100" w:type="dxa"/>
              <w:bottom w:w="100" w:type="dxa"/>
              <w:right w:w="100" w:type="dxa"/>
            </w:tcMar>
          </w:tcPr>
          <w:p w14:paraId="3C37DE7B" w14:textId="77777777" w:rsidR="00B761DA" w:rsidRDefault="00000000">
            <w:pPr>
              <w:widowControl w:val="0"/>
              <w:pBdr>
                <w:top w:val="nil"/>
                <w:left w:val="nil"/>
                <w:bottom w:val="nil"/>
                <w:right w:val="nil"/>
                <w:between w:val="nil"/>
              </w:pBdr>
              <w:spacing w:line="240" w:lineRule="auto"/>
            </w:pPr>
            <w:r>
              <w:t>0.85</w:t>
            </w:r>
          </w:p>
        </w:tc>
        <w:tc>
          <w:tcPr>
            <w:tcW w:w="1805" w:type="dxa"/>
            <w:tcMar>
              <w:top w:w="100" w:type="dxa"/>
              <w:left w:w="100" w:type="dxa"/>
              <w:bottom w:w="100" w:type="dxa"/>
              <w:right w:w="100" w:type="dxa"/>
            </w:tcMar>
          </w:tcPr>
          <w:p w14:paraId="465EE23C" w14:textId="77777777" w:rsidR="00B761DA" w:rsidRDefault="00000000">
            <w:pPr>
              <w:widowControl w:val="0"/>
              <w:pBdr>
                <w:top w:val="nil"/>
                <w:left w:val="nil"/>
                <w:bottom w:val="nil"/>
                <w:right w:val="nil"/>
                <w:between w:val="nil"/>
              </w:pBdr>
              <w:spacing w:line="240" w:lineRule="auto"/>
            </w:pPr>
            <w:r>
              <w:t>2005‒2014</w:t>
            </w:r>
          </w:p>
        </w:tc>
        <w:tc>
          <w:tcPr>
            <w:tcW w:w="1805" w:type="dxa"/>
            <w:tcMar>
              <w:top w:w="100" w:type="dxa"/>
              <w:left w:w="100" w:type="dxa"/>
              <w:bottom w:w="100" w:type="dxa"/>
              <w:right w:w="100" w:type="dxa"/>
            </w:tcMar>
          </w:tcPr>
          <w:p w14:paraId="4119F190" w14:textId="77777777" w:rsidR="00B761DA" w:rsidRDefault="00000000">
            <w:pPr>
              <w:widowControl w:val="0"/>
              <w:pBdr>
                <w:top w:val="nil"/>
                <w:left w:val="nil"/>
                <w:bottom w:val="nil"/>
                <w:right w:val="nil"/>
                <w:between w:val="nil"/>
              </w:pBdr>
              <w:spacing w:line="240" w:lineRule="auto"/>
            </w:pPr>
            <w:r>
              <w:t>0.966</w:t>
            </w:r>
          </w:p>
        </w:tc>
      </w:tr>
      <w:tr w:rsidR="00B761DA" w14:paraId="54157FB9" w14:textId="77777777">
        <w:tc>
          <w:tcPr>
            <w:tcW w:w="1805" w:type="dxa"/>
            <w:tcMar>
              <w:top w:w="100" w:type="dxa"/>
              <w:left w:w="100" w:type="dxa"/>
              <w:bottom w:w="100" w:type="dxa"/>
              <w:right w:w="100" w:type="dxa"/>
            </w:tcMar>
          </w:tcPr>
          <w:p w14:paraId="23EF32F7" w14:textId="77777777" w:rsidR="00B761DA" w:rsidRDefault="00000000">
            <w:pPr>
              <w:widowControl w:val="0"/>
              <w:pBdr>
                <w:top w:val="nil"/>
                <w:left w:val="nil"/>
                <w:bottom w:val="nil"/>
                <w:right w:val="nil"/>
                <w:between w:val="nil"/>
              </w:pBdr>
              <w:spacing w:line="240" w:lineRule="auto"/>
            </w:pPr>
            <w:r>
              <w:t>2015</w:t>
            </w:r>
          </w:p>
        </w:tc>
        <w:tc>
          <w:tcPr>
            <w:tcW w:w="1805" w:type="dxa"/>
            <w:tcMar>
              <w:top w:w="100" w:type="dxa"/>
              <w:left w:w="100" w:type="dxa"/>
              <w:bottom w:w="100" w:type="dxa"/>
              <w:right w:w="100" w:type="dxa"/>
            </w:tcMar>
          </w:tcPr>
          <w:p w14:paraId="2A82FB95"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7DFA5266"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7381A01" w14:textId="77777777" w:rsidR="00B761DA" w:rsidRDefault="00000000">
            <w:pPr>
              <w:widowControl w:val="0"/>
              <w:pBdr>
                <w:top w:val="nil"/>
                <w:left w:val="nil"/>
                <w:bottom w:val="nil"/>
                <w:right w:val="nil"/>
                <w:between w:val="nil"/>
              </w:pBdr>
              <w:spacing w:line="240" w:lineRule="auto"/>
            </w:pPr>
            <w:r>
              <w:t>2006‒2015</w:t>
            </w:r>
          </w:p>
        </w:tc>
        <w:tc>
          <w:tcPr>
            <w:tcW w:w="1805" w:type="dxa"/>
            <w:tcMar>
              <w:top w:w="100" w:type="dxa"/>
              <w:left w:w="100" w:type="dxa"/>
              <w:bottom w:w="100" w:type="dxa"/>
              <w:right w:w="100" w:type="dxa"/>
            </w:tcMar>
          </w:tcPr>
          <w:p w14:paraId="0E4A5116" w14:textId="77777777" w:rsidR="00B761DA" w:rsidRDefault="00000000">
            <w:pPr>
              <w:widowControl w:val="0"/>
              <w:pBdr>
                <w:top w:val="nil"/>
                <w:left w:val="nil"/>
                <w:bottom w:val="nil"/>
                <w:right w:val="nil"/>
                <w:between w:val="nil"/>
              </w:pBdr>
              <w:spacing w:line="240" w:lineRule="auto"/>
            </w:pPr>
            <w:r>
              <w:t>0.988</w:t>
            </w:r>
          </w:p>
        </w:tc>
      </w:tr>
      <w:tr w:rsidR="00B761DA" w14:paraId="543907A9" w14:textId="77777777">
        <w:tc>
          <w:tcPr>
            <w:tcW w:w="1805" w:type="dxa"/>
            <w:tcMar>
              <w:top w:w="100" w:type="dxa"/>
              <w:left w:w="100" w:type="dxa"/>
              <w:bottom w:w="100" w:type="dxa"/>
              <w:right w:w="100" w:type="dxa"/>
            </w:tcMar>
          </w:tcPr>
          <w:p w14:paraId="57D1C807" w14:textId="77777777" w:rsidR="00B761DA" w:rsidRDefault="00000000">
            <w:pPr>
              <w:widowControl w:val="0"/>
              <w:pBdr>
                <w:top w:val="nil"/>
                <w:left w:val="nil"/>
                <w:bottom w:val="nil"/>
                <w:right w:val="nil"/>
                <w:between w:val="nil"/>
              </w:pBdr>
              <w:spacing w:line="240" w:lineRule="auto"/>
            </w:pPr>
            <w:r>
              <w:t>2016</w:t>
            </w:r>
          </w:p>
        </w:tc>
        <w:tc>
          <w:tcPr>
            <w:tcW w:w="1805" w:type="dxa"/>
            <w:tcMar>
              <w:top w:w="100" w:type="dxa"/>
              <w:left w:w="100" w:type="dxa"/>
              <w:bottom w:w="100" w:type="dxa"/>
              <w:right w:w="100" w:type="dxa"/>
            </w:tcMar>
          </w:tcPr>
          <w:p w14:paraId="25F39CFF"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DDA9E0F"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16EE5A80" w14:textId="77777777" w:rsidR="00B761DA" w:rsidRDefault="00000000">
            <w:pPr>
              <w:widowControl w:val="0"/>
              <w:spacing w:line="240" w:lineRule="auto"/>
            </w:pPr>
            <w:r>
              <w:t>2007‒2016</w:t>
            </w:r>
          </w:p>
        </w:tc>
        <w:tc>
          <w:tcPr>
            <w:tcW w:w="1805" w:type="dxa"/>
            <w:tcMar>
              <w:top w:w="100" w:type="dxa"/>
              <w:left w:w="100" w:type="dxa"/>
              <w:bottom w:w="100" w:type="dxa"/>
              <w:right w:w="100" w:type="dxa"/>
            </w:tcMar>
          </w:tcPr>
          <w:p w14:paraId="5112AB0E" w14:textId="77777777" w:rsidR="00B761DA" w:rsidRDefault="00000000">
            <w:pPr>
              <w:widowControl w:val="0"/>
              <w:pBdr>
                <w:top w:val="nil"/>
                <w:left w:val="nil"/>
                <w:bottom w:val="nil"/>
                <w:right w:val="nil"/>
                <w:between w:val="nil"/>
              </w:pBdr>
              <w:spacing w:line="240" w:lineRule="auto"/>
            </w:pPr>
            <w:r>
              <w:t>1.010</w:t>
            </w:r>
          </w:p>
        </w:tc>
      </w:tr>
      <w:tr w:rsidR="00B761DA" w14:paraId="11FC833C" w14:textId="77777777">
        <w:tc>
          <w:tcPr>
            <w:tcW w:w="1805" w:type="dxa"/>
            <w:tcMar>
              <w:top w:w="100" w:type="dxa"/>
              <w:left w:w="100" w:type="dxa"/>
              <w:bottom w:w="100" w:type="dxa"/>
              <w:right w:w="100" w:type="dxa"/>
            </w:tcMar>
          </w:tcPr>
          <w:p w14:paraId="2AE7B47D" w14:textId="77777777" w:rsidR="00B761DA" w:rsidRDefault="00000000">
            <w:pPr>
              <w:widowControl w:val="0"/>
              <w:pBdr>
                <w:top w:val="nil"/>
                <w:left w:val="nil"/>
                <w:bottom w:val="nil"/>
                <w:right w:val="nil"/>
                <w:between w:val="nil"/>
              </w:pBdr>
              <w:spacing w:line="240" w:lineRule="auto"/>
            </w:pPr>
            <w:r>
              <w:t>2017</w:t>
            </w:r>
          </w:p>
        </w:tc>
        <w:tc>
          <w:tcPr>
            <w:tcW w:w="1805" w:type="dxa"/>
            <w:tcMar>
              <w:top w:w="100" w:type="dxa"/>
              <w:left w:w="100" w:type="dxa"/>
              <w:bottom w:w="100" w:type="dxa"/>
              <w:right w:w="100" w:type="dxa"/>
            </w:tcMar>
          </w:tcPr>
          <w:p w14:paraId="1603EDF0"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2FCBD174"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392F0AA2" w14:textId="77777777" w:rsidR="00B761DA" w:rsidRDefault="00000000">
            <w:pPr>
              <w:widowControl w:val="0"/>
              <w:spacing w:line="240" w:lineRule="auto"/>
            </w:pPr>
            <w:r>
              <w:t>2008‒2017</w:t>
            </w:r>
          </w:p>
        </w:tc>
        <w:tc>
          <w:tcPr>
            <w:tcW w:w="1805" w:type="dxa"/>
            <w:tcMar>
              <w:top w:w="100" w:type="dxa"/>
              <w:left w:w="100" w:type="dxa"/>
              <w:bottom w:w="100" w:type="dxa"/>
              <w:right w:w="100" w:type="dxa"/>
            </w:tcMar>
          </w:tcPr>
          <w:p w14:paraId="5CB7CB3B" w14:textId="77777777" w:rsidR="00B761DA" w:rsidRDefault="00000000">
            <w:pPr>
              <w:widowControl w:val="0"/>
              <w:pBdr>
                <w:top w:val="nil"/>
                <w:left w:val="nil"/>
                <w:bottom w:val="nil"/>
                <w:right w:val="nil"/>
                <w:between w:val="nil"/>
              </w:pBdr>
              <w:spacing w:line="240" w:lineRule="auto"/>
            </w:pPr>
            <w:r>
              <w:t>1.035</w:t>
            </w:r>
          </w:p>
        </w:tc>
      </w:tr>
      <w:tr w:rsidR="00B761DA" w14:paraId="36DC0FEC" w14:textId="77777777">
        <w:tc>
          <w:tcPr>
            <w:tcW w:w="1805" w:type="dxa"/>
            <w:tcMar>
              <w:top w:w="100" w:type="dxa"/>
              <w:left w:w="100" w:type="dxa"/>
              <w:bottom w:w="100" w:type="dxa"/>
              <w:right w:w="100" w:type="dxa"/>
            </w:tcMar>
          </w:tcPr>
          <w:p w14:paraId="1F433E62" w14:textId="77777777" w:rsidR="00B761DA" w:rsidRDefault="00000000">
            <w:pPr>
              <w:widowControl w:val="0"/>
              <w:pBdr>
                <w:top w:val="nil"/>
                <w:left w:val="nil"/>
                <w:bottom w:val="nil"/>
                <w:right w:val="nil"/>
                <w:between w:val="nil"/>
              </w:pBdr>
              <w:spacing w:line="240" w:lineRule="auto"/>
            </w:pPr>
            <w:r>
              <w:t>2018</w:t>
            </w:r>
          </w:p>
        </w:tc>
        <w:tc>
          <w:tcPr>
            <w:tcW w:w="1805" w:type="dxa"/>
            <w:tcMar>
              <w:top w:w="100" w:type="dxa"/>
              <w:left w:w="100" w:type="dxa"/>
              <w:bottom w:w="100" w:type="dxa"/>
              <w:right w:w="100" w:type="dxa"/>
            </w:tcMar>
          </w:tcPr>
          <w:p w14:paraId="71BD082B"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7BEF6044"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294CFA47" w14:textId="77777777" w:rsidR="00B761DA" w:rsidRDefault="00000000">
            <w:pPr>
              <w:widowControl w:val="0"/>
              <w:spacing w:line="240" w:lineRule="auto"/>
            </w:pPr>
            <w:r>
              <w:t>2009‒2018</w:t>
            </w:r>
          </w:p>
        </w:tc>
        <w:tc>
          <w:tcPr>
            <w:tcW w:w="1805" w:type="dxa"/>
            <w:tcMar>
              <w:top w:w="100" w:type="dxa"/>
              <w:left w:w="100" w:type="dxa"/>
              <w:bottom w:w="100" w:type="dxa"/>
              <w:right w:w="100" w:type="dxa"/>
            </w:tcMar>
          </w:tcPr>
          <w:p w14:paraId="092A4D17" w14:textId="77777777" w:rsidR="00B761DA" w:rsidRDefault="00000000">
            <w:pPr>
              <w:widowControl w:val="0"/>
              <w:pBdr>
                <w:top w:val="nil"/>
                <w:left w:val="nil"/>
                <w:bottom w:val="nil"/>
                <w:right w:val="nil"/>
                <w:between w:val="nil"/>
              </w:pBdr>
              <w:spacing w:line="240" w:lineRule="auto"/>
            </w:pPr>
            <w:r>
              <w:t>1.061</w:t>
            </w:r>
          </w:p>
        </w:tc>
      </w:tr>
      <w:tr w:rsidR="00B761DA" w14:paraId="73E6BC4E" w14:textId="77777777">
        <w:tc>
          <w:tcPr>
            <w:tcW w:w="1805" w:type="dxa"/>
            <w:tcMar>
              <w:top w:w="100" w:type="dxa"/>
              <w:left w:w="100" w:type="dxa"/>
              <w:bottom w:w="100" w:type="dxa"/>
              <w:right w:w="100" w:type="dxa"/>
            </w:tcMar>
          </w:tcPr>
          <w:p w14:paraId="335B9CCA" w14:textId="77777777" w:rsidR="00B761DA" w:rsidRDefault="00000000">
            <w:pPr>
              <w:widowControl w:val="0"/>
              <w:pBdr>
                <w:top w:val="nil"/>
                <w:left w:val="nil"/>
                <w:bottom w:val="nil"/>
                <w:right w:val="nil"/>
                <w:between w:val="nil"/>
              </w:pBdr>
              <w:spacing w:line="240" w:lineRule="auto"/>
            </w:pPr>
            <w:r>
              <w:t>2019</w:t>
            </w:r>
          </w:p>
        </w:tc>
        <w:tc>
          <w:tcPr>
            <w:tcW w:w="1805" w:type="dxa"/>
            <w:tcMar>
              <w:top w:w="100" w:type="dxa"/>
              <w:left w:w="100" w:type="dxa"/>
              <w:bottom w:w="100" w:type="dxa"/>
              <w:right w:w="100" w:type="dxa"/>
            </w:tcMar>
          </w:tcPr>
          <w:p w14:paraId="5C9AB2DE"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35CCE569"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1089C32A" w14:textId="77777777" w:rsidR="00B761DA" w:rsidRDefault="00000000">
            <w:pPr>
              <w:widowControl w:val="0"/>
              <w:spacing w:line="240" w:lineRule="auto"/>
            </w:pPr>
            <w:r>
              <w:t>2010‒2019</w:t>
            </w:r>
          </w:p>
        </w:tc>
        <w:tc>
          <w:tcPr>
            <w:tcW w:w="1805" w:type="dxa"/>
            <w:tcMar>
              <w:top w:w="100" w:type="dxa"/>
              <w:left w:w="100" w:type="dxa"/>
              <w:bottom w:w="100" w:type="dxa"/>
              <w:right w:w="100" w:type="dxa"/>
            </w:tcMar>
          </w:tcPr>
          <w:p w14:paraId="1010E9D1" w14:textId="77777777" w:rsidR="00B761DA" w:rsidRDefault="00000000">
            <w:pPr>
              <w:widowControl w:val="0"/>
              <w:pBdr>
                <w:top w:val="nil"/>
                <w:left w:val="nil"/>
                <w:bottom w:val="nil"/>
                <w:right w:val="nil"/>
                <w:between w:val="nil"/>
              </w:pBdr>
              <w:spacing w:line="240" w:lineRule="auto"/>
            </w:pPr>
            <w:r>
              <w:t>1.087</w:t>
            </w:r>
          </w:p>
        </w:tc>
      </w:tr>
      <w:tr w:rsidR="00B761DA" w14:paraId="759CE8CA" w14:textId="77777777">
        <w:tc>
          <w:tcPr>
            <w:tcW w:w="1805" w:type="dxa"/>
            <w:tcMar>
              <w:top w:w="100" w:type="dxa"/>
              <w:left w:w="100" w:type="dxa"/>
              <w:bottom w:w="100" w:type="dxa"/>
              <w:right w:w="100" w:type="dxa"/>
            </w:tcMar>
          </w:tcPr>
          <w:p w14:paraId="75D3042E" w14:textId="77777777" w:rsidR="00B761DA" w:rsidRDefault="00000000">
            <w:pPr>
              <w:widowControl w:val="0"/>
              <w:pBdr>
                <w:top w:val="nil"/>
                <w:left w:val="nil"/>
                <w:bottom w:val="nil"/>
                <w:right w:val="nil"/>
                <w:between w:val="nil"/>
              </w:pBdr>
              <w:spacing w:line="240" w:lineRule="auto"/>
            </w:pPr>
            <w:r>
              <w:t>2020</w:t>
            </w:r>
          </w:p>
        </w:tc>
        <w:tc>
          <w:tcPr>
            <w:tcW w:w="1805" w:type="dxa"/>
            <w:tcMar>
              <w:top w:w="100" w:type="dxa"/>
              <w:left w:w="100" w:type="dxa"/>
              <w:bottom w:w="100" w:type="dxa"/>
              <w:right w:w="100" w:type="dxa"/>
            </w:tcMar>
          </w:tcPr>
          <w:p w14:paraId="3B543EB0"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29F5C805"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550738BD" w14:textId="77777777" w:rsidR="00B761DA" w:rsidRDefault="00000000">
            <w:pPr>
              <w:widowControl w:val="0"/>
              <w:spacing w:line="240" w:lineRule="auto"/>
            </w:pPr>
            <w:r>
              <w:t>2011‒2020</w:t>
            </w:r>
          </w:p>
        </w:tc>
        <w:tc>
          <w:tcPr>
            <w:tcW w:w="1805" w:type="dxa"/>
            <w:tcMar>
              <w:top w:w="100" w:type="dxa"/>
              <w:left w:w="100" w:type="dxa"/>
              <w:bottom w:w="100" w:type="dxa"/>
              <w:right w:w="100" w:type="dxa"/>
            </w:tcMar>
          </w:tcPr>
          <w:p w14:paraId="11188B19" w14:textId="77777777" w:rsidR="00B761DA" w:rsidRDefault="00000000">
            <w:pPr>
              <w:widowControl w:val="0"/>
              <w:pBdr>
                <w:top w:val="nil"/>
                <w:left w:val="nil"/>
                <w:bottom w:val="nil"/>
                <w:right w:val="nil"/>
                <w:between w:val="nil"/>
              </w:pBdr>
              <w:spacing w:line="240" w:lineRule="auto"/>
            </w:pPr>
            <w:r>
              <w:t>1.114</w:t>
            </w:r>
          </w:p>
        </w:tc>
      </w:tr>
      <w:tr w:rsidR="00B761DA" w14:paraId="65DAD482" w14:textId="77777777">
        <w:tc>
          <w:tcPr>
            <w:tcW w:w="1805" w:type="dxa"/>
            <w:tcMar>
              <w:top w:w="100" w:type="dxa"/>
              <w:left w:w="100" w:type="dxa"/>
              <w:bottom w:w="100" w:type="dxa"/>
              <w:right w:w="100" w:type="dxa"/>
            </w:tcMar>
          </w:tcPr>
          <w:p w14:paraId="1F9B7BC1" w14:textId="77777777" w:rsidR="00B761DA" w:rsidRDefault="00000000">
            <w:pPr>
              <w:widowControl w:val="0"/>
              <w:pBdr>
                <w:top w:val="nil"/>
                <w:left w:val="nil"/>
                <w:bottom w:val="nil"/>
                <w:right w:val="nil"/>
                <w:between w:val="nil"/>
              </w:pBdr>
              <w:spacing w:line="240" w:lineRule="auto"/>
            </w:pPr>
            <w:r>
              <w:t>2021</w:t>
            </w:r>
          </w:p>
        </w:tc>
        <w:tc>
          <w:tcPr>
            <w:tcW w:w="1805" w:type="dxa"/>
            <w:tcMar>
              <w:top w:w="100" w:type="dxa"/>
              <w:left w:w="100" w:type="dxa"/>
              <w:bottom w:w="100" w:type="dxa"/>
              <w:right w:w="100" w:type="dxa"/>
            </w:tcMar>
          </w:tcPr>
          <w:p w14:paraId="2AE76405"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9F4E38B"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12CA092A" w14:textId="77777777" w:rsidR="00B761DA" w:rsidRDefault="00000000">
            <w:pPr>
              <w:widowControl w:val="0"/>
              <w:spacing w:line="240" w:lineRule="auto"/>
            </w:pPr>
            <w:r>
              <w:t>2012‒2021</w:t>
            </w:r>
          </w:p>
        </w:tc>
        <w:tc>
          <w:tcPr>
            <w:tcW w:w="1805" w:type="dxa"/>
            <w:tcMar>
              <w:top w:w="100" w:type="dxa"/>
              <w:left w:w="100" w:type="dxa"/>
              <w:bottom w:w="100" w:type="dxa"/>
              <w:right w:w="100" w:type="dxa"/>
            </w:tcMar>
          </w:tcPr>
          <w:p w14:paraId="6BCE568A" w14:textId="77777777" w:rsidR="00B761DA" w:rsidRDefault="00000000">
            <w:pPr>
              <w:widowControl w:val="0"/>
              <w:pBdr>
                <w:top w:val="nil"/>
                <w:left w:val="nil"/>
                <w:bottom w:val="nil"/>
                <w:right w:val="nil"/>
                <w:between w:val="nil"/>
              </w:pBdr>
              <w:spacing w:line="240" w:lineRule="auto"/>
            </w:pPr>
            <w:r>
              <w:t>1.142</w:t>
            </w:r>
          </w:p>
        </w:tc>
      </w:tr>
      <w:tr w:rsidR="00B761DA" w14:paraId="21CDF853" w14:textId="77777777">
        <w:tc>
          <w:tcPr>
            <w:tcW w:w="1805" w:type="dxa"/>
            <w:tcMar>
              <w:top w:w="100" w:type="dxa"/>
              <w:left w:w="100" w:type="dxa"/>
              <w:bottom w:w="100" w:type="dxa"/>
              <w:right w:w="100" w:type="dxa"/>
            </w:tcMar>
          </w:tcPr>
          <w:p w14:paraId="17175A1E" w14:textId="77777777" w:rsidR="00B761DA" w:rsidRDefault="00000000">
            <w:pPr>
              <w:widowControl w:val="0"/>
              <w:pBdr>
                <w:top w:val="nil"/>
                <w:left w:val="nil"/>
                <w:bottom w:val="nil"/>
                <w:right w:val="nil"/>
                <w:between w:val="nil"/>
              </w:pBdr>
              <w:spacing w:line="240" w:lineRule="auto"/>
            </w:pPr>
            <w:r>
              <w:t>2022</w:t>
            </w:r>
          </w:p>
        </w:tc>
        <w:tc>
          <w:tcPr>
            <w:tcW w:w="1805" w:type="dxa"/>
            <w:tcMar>
              <w:top w:w="100" w:type="dxa"/>
              <w:left w:w="100" w:type="dxa"/>
              <w:bottom w:w="100" w:type="dxa"/>
              <w:right w:w="100" w:type="dxa"/>
            </w:tcMar>
          </w:tcPr>
          <w:p w14:paraId="75E8F109"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473D2B2"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6A66A3D8" w14:textId="77777777" w:rsidR="00B761DA" w:rsidRDefault="00000000">
            <w:pPr>
              <w:widowControl w:val="0"/>
              <w:spacing w:line="240" w:lineRule="auto"/>
            </w:pPr>
            <w:r>
              <w:t>2013‒2022</w:t>
            </w:r>
          </w:p>
        </w:tc>
        <w:tc>
          <w:tcPr>
            <w:tcW w:w="1805" w:type="dxa"/>
            <w:tcMar>
              <w:top w:w="100" w:type="dxa"/>
              <w:left w:w="100" w:type="dxa"/>
              <w:bottom w:w="100" w:type="dxa"/>
              <w:right w:w="100" w:type="dxa"/>
            </w:tcMar>
          </w:tcPr>
          <w:p w14:paraId="7EA8839C" w14:textId="77777777" w:rsidR="00B761DA" w:rsidRDefault="00000000">
            <w:pPr>
              <w:widowControl w:val="0"/>
              <w:pBdr>
                <w:top w:val="nil"/>
                <w:left w:val="nil"/>
                <w:bottom w:val="nil"/>
                <w:right w:val="nil"/>
                <w:between w:val="nil"/>
              </w:pBdr>
              <w:spacing w:line="240" w:lineRule="auto"/>
            </w:pPr>
            <w:r>
              <w:t>1.168</w:t>
            </w:r>
          </w:p>
        </w:tc>
      </w:tr>
      <w:tr w:rsidR="00B761DA" w14:paraId="449900F4" w14:textId="77777777">
        <w:tc>
          <w:tcPr>
            <w:tcW w:w="1805" w:type="dxa"/>
            <w:tcMar>
              <w:top w:w="100" w:type="dxa"/>
              <w:left w:w="100" w:type="dxa"/>
              <w:bottom w:w="100" w:type="dxa"/>
              <w:right w:w="100" w:type="dxa"/>
            </w:tcMar>
          </w:tcPr>
          <w:p w14:paraId="75BC5D58" w14:textId="77777777" w:rsidR="00B761DA" w:rsidRDefault="00000000">
            <w:pPr>
              <w:widowControl w:val="0"/>
              <w:pBdr>
                <w:top w:val="nil"/>
                <w:left w:val="nil"/>
                <w:bottom w:val="nil"/>
                <w:right w:val="nil"/>
                <w:between w:val="nil"/>
              </w:pBdr>
              <w:spacing w:line="240" w:lineRule="auto"/>
            </w:pPr>
            <w:r>
              <w:t>2023</w:t>
            </w:r>
          </w:p>
        </w:tc>
        <w:tc>
          <w:tcPr>
            <w:tcW w:w="1805" w:type="dxa"/>
            <w:tcMar>
              <w:top w:w="100" w:type="dxa"/>
              <w:left w:w="100" w:type="dxa"/>
              <w:bottom w:w="100" w:type="dxa"/>
              <w:right w:w="100" w:type="dxa"/>
            </w:tcMar>
          </w:tcPr>
          <w:p w14:paraId="5655E6F6"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388A5E15" w14:textId="77777777" w:rsidR="00B761DA" w:rsidRDefault="00B761DA">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2F4828FE" w14:textId="77777777" w:rsidR="00B761DA" w:rsidRDefault="00000000">
            <w:pPr>
              <w:widowControl w:val="0"/>
              <w:spacing w:line="240" w:lineRule="auto"/>
            </w:pPr>
            <w:r>
              <w:t>2014‒2023</w:t>
            </w:r>
          </w:p>
        </w:tc>
        <w:tc>
          <w:tcPr>
            <w:tcW w:w="1805" w:type="dxa"/>
            <w:tcMar>
              <w:top w:w="100" w:type="dxa"/>
              <w:left w:w="100" w:type="dxa"/>
              <w:bottom w:w="100" w:type="dxa"/>
              <w:right w:w="100" w:type="dxa"/>
            </w:tcMar>
          </w:tcPr>
          <w:p w14:paraId="7E59582F" w14:textId="77777777" w:rsidR="00B761DA" w:rsidRDefault="00000000">
            <w:pPr>
              <w:widowControl w:val="0"/>
              <w:pBdr>
                <w:top w:val="nil"/>
                <w:left w:val="nil"/>
                <w:bottom w:val="nil"/>
                <w:right w:val="nil"/>
                <w:between w:val="nil"/>
              </w:pBdr>
              <w:spacing w:line="240" w:lineRule="auto"/>
            </w:pPr>
            <w:r>
              <w:t>1.194</w:t>
            </w:r>
          </w:p>
        </w:tc>
      </w:tr>
    </w:tbl>
    <w:p w14:paraId="3CC67079" w14:textId="77777777" w:rsidR="00B761DA" w:rsidRDefault="00B761DA"/>
    <w:p w14:paraId="23D5B803" w14:textId="77777777" w:rsidR="00B761DA" w:rsidRDefault="00000000">
      <w:pPr>
        <w:widowControl w:val="0"/>
        <w:rPr>
          <w:sz w:val="20"/>
          <w:szCs w:val="20"/>
        </w:rPr>
      </w:pPr>
      <w:r>
        <w:rPr>
          <w:b/>
          <w:bCs/>
          <w:sz w:val="20"/>
          <w:szCs w:val="20"/>
        </w:rPr>
        <w:t xml:space="preserve">Extended Data Table 3 | Scenario category definitions as used in SR1.5 and AR6 WG3. </w:t>
      </w:r>
      <w:r>
        <w:rPr>
          <w:sz w:val="20"/>
          <w:szCs w:val="20"/>
        </w:rPr>
        <w:t>This is reproduced from the AR6 report. Table 14 | Classification of global pathways into warming levels using MAGICC (Chapter 3, Section 3.2)</w:t>
      </w:r>
    </w:p>
    <w:tbl>
      <w:tblPr>
        <w:tblStyle w:val="a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595"/>
        <w:gridCol w:w="1875"/>
        <w:gridCol w:w="2745"/>
      </w:tblGrid>
      <w:tr w:rsidR="00B761DA" w14:paraId="7678E857" w14:textId="77777777">
        <w:trPr>
          <w:trHeight w:val="410"/>
        </w:trPr>
        <w:tc>
          <w:tcPr>
            <w:tcW w:w="1800" w:type="dxa"/>
            <w:tcMar>
              <w:top w:w="99" w:type="dxa"/>
              <w:left w:w="99" w:type="dxa"/>
              <w:bottom w:w="99" w:type="dxa"/>
              <w:right w:w="99" w:type="dxa"/>
            </w:tcMar>
          </w:tcPr>
          <w:p w14:paraId="59010DB3" w14:textId="77777777" w:rsidR="00B761DA" w:rsidRDefault="00000000">
            <w:pPr>
              <w:spacing w:line="240" w:lineRule="auto"/>
            </w:pPr>
            <w:r>
              <w:t>AR6 Scenarios</w:t>
            </w:r>
          </w:p>
          <w:p w14:paraId="1877783A" w14:textId="77777777" w:rsidR="00B761DA" w:rsidRDefault="00000000">
            <w:pPr>
              <w:spacing w:line="240" w:lineRule="auto"/>
            </w:pPr>
            <w:r>
              <w:t>Categories (Model group</w:t>
            </w:r>
          </w:p>
        </w:tc>
        <w:tc>
          <w:tcPr>
            <w:tcW w:w="2595" w:type="dxa"/>
            <w:tcMar>
              <w:top w:w="99" w:type="dxa"/>
              <w:left w:w="99" w:type="dxa"/>
              <w:bottom w:w="99" w:type="dxa"/>
              <w:right w:w="99" w:type="dxa"/>
            </w:tcMar>
          </w:tcPr>
          <w:p w14:paraId="3A4C07A3" w14:textId="77777777" w:rsidR="00B761DA" w:rsidRDefault="00000000">
            <w:pPr>
              <w:spacing w:line="240" w:lineRule="auto"/>
            </w:pPr>
            <w:r>
              <w:t>AR6 Scenario description</w:t>
            </w:r>
          </w:p>
        </w:tc>
        <w:tc>
          <w:tcPr>
            <w:tcW w:w="1875" w:type="dxa"/>
            <w:tcMar>
              <w:top w:w="99" w:type="dxa"/>
              <w:left w:w="99" w:type="dxa"/>
              <w:bottom w:w="99" w:type="dxa"/>
              <w:right w:w="99" w:type="dxa"/>
            </w:tcMar>
          </w:tcPr>
          <w:p w14:paraId="11CDC565" w14:textId="77777777" w:rsidR="00B761DA" w:rsidRDefault="00000000">
            <w:pPr>
              <w:spacing w:line="240" w:lineRule="auto"/>
            </w:pPr>
            <w:r>
              <w:t>SR 1.5 scenarios</w:t>
            </w:r>
          </w:p>
        </w:tc>
        <w:tc>
          <w:tcPr>
            <w:tcW w:w="2745" w:type="dxa"/>
            <w:tcMar>
              <w:top w:w="99" w:type="dxa"/>
              <w:left w:w="99" w:type="dxa"/>
              <w:bottom w:w="99" w:type="dxa"/>
              <w:right w:w="99" w:type="dxa"/>
            </w:tcMar>
          </w:tcPr>
          <w:p w14:paraId="1E1A6A9E" w14:textId="77777777" w:rsidR="00B761DA" w:rsidRDefault="00000000">
            <w:pPr>
              <w:spacing w:line="240" w:lineRule="auto"/>
            </w:pPr>
            <w:r>
              <w:t>SR1.5 Scenario description</w:t>
            </w:r>
          </w:p>
        </w:tc>
      </w:tr>
      <w:tr w:rsidR="00B761DA" w14:paraId="2EFF1AC5" w14:textId="77777777">
        <w:trPr>
          <w:trHeight w:val="419"/>
        </w:trPr>
        <w:tc>
          <w:tcPr>
            <w:tcW w:w="1800" w:type="dxa"/>
            <w:vMerge w:val="restart"/>
            <w:tcMar>
              <w:top w:w="99" w:type="dxa"/>
              <w:left w:w="99" w:type="dxa"/>
              <w:bottom w:w="99" w:type="dxa"/>
              <w:right w:w="99" w:type="dxa"/>
            </w:tcMar>
          </w:tcPr>
          <w:p w14:paraId="1776539C" w14:textId="77777777" w:rsidR="00B761DA" w:rsidRDefault="00000000">
            <w:pPr>
              <w:spacing w:line="240" w:lineRule="auto"/>
            </w:pPr>
            <w:r>
              <w:t>C1</w:t>
            </w:r>
          </w:p>
        </w:tc>
        <w:tc>
          <w:tcPr>
            <w:tcW w:w="2595" w:type="dxa"/>
            <w:vMerge w:val="restart"/>
            <w:tcMar>
              <w:top w:w="99" w:type="dxa"/>
              <w:left w:w="99" w:type="dxa"/>
              <w:bottom w:w="99" w:type="dxa"/>
              <w:right w:w="99" w:type="dxa"/>
            </w:tcMar>
          </w:tcPr>
          <w:p w14:paraId="317240D8" w14:textId="77777777" w:rsidR="00B761DA" w:rsidRDefault="00000000">
            <w:pPr>
              <w:spacing w:line="240" w:lineRule="auto"/>
            </w:pPr>
            <w:r>
              <w:t>Limit to 1.5°C (&gt;50%) with no or limited OS</w:t>
            </w:r>
          </w:p>
          <w:p w14:paraId="072E68A7" w14:textId="77777777" w:rsidR="00B761DA" w:rsidRDefault="00B761DA">
            <w:pPr>
              <w:spacing w:line="240" w:lineRule="auto"/>
            </w:pPr>
          </w:p>
          <w:p w14:paraId="1A717B67" w14:textId="77777777" w:rsidR="00B761DA" w:rsidRDefault="00000000">
            <w:pPr>
              <w:spacing w:line="240" w:lineRule="auto"/>
            </w:pPr>
            <w:r>
              <w:rPr>
                <w:rFonts w:ascii="Arial Unicode MS" w:eastAsia="Arial Unicode MS" w:hAnsi="Arial Unicode MS" w:cs="Arial Unicode MS"/>
              </w:rPr>
              <w:t>Reach or exceed 1.5°C during the 21st century with a likelihood of ≤67%, and limit</w:t>
            </w:r>
          </w:p>
          <w:p w14:paraId="0E97E2C2" w14:textId="77777777" w:rsidR="00B761DA" w:rsidRDefault="00000000">
            <w:pPr>
              <w:spacing w:line="240" w:lineRule="auto"/>
            </w:pPr>
            <w:r>
              <w:t>warming to 1.5°C in 2100 with a likelihood &gt;50%.</w:t>
            </w:r>
          </w:p>
          <w:p w14:paraId="73E2D2C3" w14:textId="77777777" w:rsidR="00B761DA" w:rsidRDefault="00B761DA">
            <w:pPr>
              <w:spacing w:line="240" w:lineRule="auto"/>
            </w:pPr>
          </w:p>
          <w:p w14:paraId="5FBC7C12" w14:textId="77777777" w:rsidR="00B761DA" w:rsidRDefault="00000000">
            <w:pPr>
              <w:spacing w:line="240" w:lineRule="auto"/>
            </w:pPr>
            <w:r>
              <w:t>Limited overshoot refers to exceeding 1.5°C by up to about 0.1°C and for up to several decades</w:t>
            </w:r>
          </w:p>
        </w:tc>
        <w:tc>
          <w:tcPr>
            <w:tcW w:w="1875" w:type="dxa"/>
            <w:vMerge w:val="restart"/>
            <w:tcMar>
              <w:top w:w="99" w:type="dxa"/>
              <w:left w:w="99" w:type="dxa"/>
              <w:bottom w:w="99" w:type="dxa"/>
              <w:right w:w="99" w:type="dxa"/>
            </w:tcMar>
          </w:tcPr>
          <w:p w14:paraId="5CF0BAD8" w14:textId="77777777" w:rsidR="00B761DA" w:rsidRDefault="00000000">
            <w:pPr>
              <w:spacing w:line="240" w:lineRule="auto"/>
            </w:pPr>
            <w:r>
              <w:t xml:space="preserve">1.5°C or </w:t>
            </w:r>
          </w:p>
          <w:p w14:paraId="1A3CD76C" w14:textId="77777777" w:rsidR="00B761DA" w:rsidRDefault="00000000">
            <w:pPr>
              <w:spacing w:line="240" w:lineRule="auto"/>
            </w:pPr>
            <w:r>
              <w:t xml:space="preserve">1.5°C-consistent </w:t>
            </w:r>
          </w:p>
        </w:tc>
        <w:tc>
          <w:tcPr>
            <w:tcW w:w="2745" w:type="dxa"/>
            <w:tcMar>
              <w:top w:w="99" w:type="dxa"/>
              <w:left w:w="99" w:type="dxa"/>
              <w:bottom w:w="99" w:type="dxa"/>
              <w:right w:w="99" w:type="dxa"/>
            </w:tcMar>
          </w:tcPr>
          <w:p w14:paraId="2B2113BE" w14:textId="77777777" w:rsidR="00B761DA" w:rsidRDefault="00000000">
            <w:pPr>
              <w:spacing w:line="240" w:lineRule="auto"/>
            </w:pPr>
            <w:r>
              <w:t>Below-1.5°C pathways limiting peak warming to below 1.5°C during the entire 21st century with 50–66% likelihood</w:t>
            </w:r>
          </w:p>
        </w:tc>
      </w:tr>
      <w:tr w:rsidR="00B761DA" w14:paraId="61925C6D" w14:textId="77777777">
        <w:trPr>
          <w:trHeight w:val="419"/>
        </w:trPr>
        <w:tc>
          <w:tcPr>
            <w:tcW w:w="1800" w:type="dxa"/>
            <w:vMerge/>
            <w:tcMar>
              <w:top w:w="99" w:type="dxa"/>
              <w:left w:w="99" w:type="dxa"/>
              <w:bottom w:w="99" w:type="dxa"/>
              <w:right w:w="99" w:type="dxa"/>
            </w:tcMar>
          </w:tcPr>
          <w:p w14:paraId="0BB2BAA1" w14:textId="77777777" w:rsidR="00B761DA" w:rsidRDefault="00B761DA">
            <w:pPr>
              <w:spacing w:line="240" w:lineRule="auto"/>
            </w:pPr>
          </w:p>
        </w:tc>
        <w:tc>
          <w:tcPr>
            <w:tcW w:w="2595" w:type="dxa"/>
            <w:vMerge/>
            <w:tcMar>
              <w:top w:w="99" w:type="dxa"/>
              <w:left w:w="99" w:type="dxa"/>
              <w:bottom w:w="99" w:type="dxa"/>
              <w:right w:w="99" w:type="dxa"/>
            </w:tcMar>
          </w:tcPr>
          <w:p w14:paraId="62AE7BC4" w14:textId="77777777" w:rsidR="00B761DA" w:rsidRDefault="00B761DA">
            <w:pPr>
              <w:spacing w:line="240" w:lineRule="auto"/>
            </w:pPr>
          </w:p>
        </w:tc>
        <w:tc>
          <w:tcPr>
            <w:tcW w:w="1875" w:type="dxa"/>
            <w:vMerge/>
            <w:tcMar>
              <w:top w:w="99" w:type="dxa"/>
              <w:left w:w="99" w:type="dxa"/>
              <w:bottom w:w="99" w:type="dxa"/>
              <w:right w:w="99" w:type="dxa"/>
            </w:tcMar>
          </w:tcPr>
          <w:p w14:paraId="5ACF00C4" w14:textId="77777777" w:rsidR="00B761DA" w:rsidRDefault="00B761DA">
            <w:pPr>
              <w:spacing w:line="240" w:lineRule="auto"/>
            </w:pPr>
          </w:p>
        </w:tc>
        <w:tc>
          <w:tcPr>
            <w:tcW w:w="2745" w:type="dxa"/>
            <w:tcMar>
              <w:top w:w="99" w:type="dxa"/>
              <w:left w:w="99" w:type="dxa"/>
              <w:bottom w:w="99" w:type="dxa"/>
              <w:right w:w="99" w:type="dxa"/>
            </w:tcMar>
          </w:tcPr>
          <w:p w14:paraId="525D54FD" w14:textId="77777777" w:rsidR="00B761DA" w:rsidRDefault="00000000">
            <w:pPr>
              <w:spacing w:line="240" w:lineRule="auto"/>
            </w:pPr>
            <w:r>
              <w:t>1.5°C-low-OS pathways limiting median warming to below 1.5°C in 2100 and with a 50–67% probability of temporarily overshooting that level earlier, generally implying less than 0.1°C higher peak warming than Below-1.5°C pathways</w:t>
            </w:r>
          </w:p>
        </w:tc>
      </w:tr>
      <w:tr w:rsidR="00B761DA" w14:paraId="313983EF" w14:textId="77777777">
        <w:trPr>
          <w:trHeight w:val="419"/>
        </w:trPr>
        <w:tc>
          <w:tcPr>
            <w:tcW w:w="1800" w:type="dxa"/>
            <w:tcMar>
              <w:top w:w="99" w:type="dxa"/>
              <w:left w:w="99" w:type="dxa"/>
              <w:bottom w:w="99" w:type="dxa"/>
              <w:right w:w="99" w:type="dxa"/>
            </w:tcMar>
          </w:tcPr>
          <w:p w14:paraId="46F0BEBA" w14:textId="77777777" w:rsidR="00B761DA" w:rsidRDefault="00000000">
            <w:pPr>
              <w:spacing w:line="240" w:lineRule="auto"/>
            </w:pPr>
            <w:r>
              <w:t>C2</w:t>
            </w:r>
          </w:p>
        </w:tc>
        <w:tc>
          <w:tcPr>
            <w:tcW w:w="2595" w:type="dxa"/>
            <w:tcMar>
              <w:top w:w="99" w:type="dxa"/>
              <w:left w:w="99" w:type="dxa"/>
              <w:bottom w:w="99" w:type="dxa"/>
              <w:right w:w="99" w:type="dxa"/>
            </w:tcMar>
          </w:tcPr>
          <w:p w14:paraId="1CD1CC73" w14:textId="77777777" w:rsidR="00B761DA" w:rsidRDefault="00000000">
            <w:pPr>
              <w:spacing w:line="240" w:lineRule="auto"/>
            </w:pPr>
            <w:r>
              <w:t xml:space="preserve">Return to 1.5°C (&gt;50%) after high OS </w:t>
            </w:r>
          </w:p>
        </w:tc>
        <w:tc>
          <w:tcPr>
            <w:tcW w:w="1875" w:type="dxa"/>
            <w:vMerge/>
            <w:tcMar>
              <w:top w:w="99" w:type="dxa"/>
              <w:left w:w="99" w:type="dxa"/>
              <w:bottom w:w="99" w:type="dxa"/>
              <w:right w:w="99" w:type="dxa"/>
            </w:tcMar>
          </w:tcPr>
          <w:p w14:paraId="379D1A51" w14:textId="77777777" w:rsidR="00B761DA" w:rsidRDefault="00B761DA">
            <w:pPr>
              <w:spacing w:line="240" w:lineRule="auto"/>
            </w:pPr>
          </w:p>
        </w:tc>
        <w:tc>
          <w:tcPr>
            <w:tcW w:w="2745" w:type="dxa"/>
            <w:tcMar>
              <w:top w:w="99" w:type="dxa"/>
              <w:left w:w="99" w:type="dxa"/>
              <w:bottom w:w="99" w:type="dxa"/>
              <w:right w:w="99" w:type="dxa"/>
            </w:tcMar>
          </w:tcPr>
          <w:p w14:paraId="2107544B" w14:textId="77777777" w:rsidR="00B761DA" w:rsidRDefault="00000000">
            <w:pPr>
              <w:spacing w:line="240" w:lineRule="auto"/>
            </w:pPr>
            <w:r>
              <w:t xml:space="preserve">1.5°C-high-OS pathways limiting median warming </w:t>
            </w:r>
            <w:r>
              <w:lastRenderedPageBreak/>
              <w:t>to below 1.5°C in 2100 and with a &gt;67% probability of temporarily overshooting that level earlier, generally implying 0.1‒0.4°C higher peak warming than Below-1.5°C pathways</w:t>
            </w:r>
          </w:p>
        </w:tc>
      </w:tr>
      <w:tr w:rsidR="00B761DA" w14:paraId="5919EE48" w14:textId="77777777">
        <w:trPr>
          <w:trHeight w:val="419"/>
        </w:trPr>
        <w:tc>
          <w:tcPr>
            <w:tcW w:w="1800" w:type="dxa"/>
            <w:tcMar>
              <w:top w:w="99" w:type="dxa"/>
              <w:left w:w="99" w:type="dxa"/>
              <w:bottom w:w="99" w:type="dxa"/>
              <w:right w:w="99" w:type="dxa"/>
            </w:tcMar>
          </w:tcPr>
          <w:p w14:paraId="068734A1" w14:textId="77777777" w:rsidR="00B761DA" w:rsidRDefault="00000000">
            <w:pPr>
              <w:spacing w:line="240" w:lineRule="auto"/>
            </w:pPr>
            <w:r>
              <w:lastRenderedPageBreak/>
              <w:t>C3</w:t>
            </w:r>
          </w:p>
        </w:tc>
        <w:tc>
          <w:tcPr>
            <w:tcW w:w="2595" w:type="dxa"/>
            <w:tcMar>
              <w:top w:w="99" w:type="dxa"/>
              <w:left w:w="99" w:type="dxa"/>
              <w:bottom w:w="99" w:type="dxa"/>
              <w:right w:w="99" w:type="dxa"/>
            </w:tcMar>
          </w:tcPr>
          <w:p w14:paraId="0BFABEF0" w14:textId="77777777" w:rsidR="00B761DA" w:rsidRDefault="00000000">
            <w:pPr>
              <w:spacing w:line="240" w:lineRule="auto"/>
            </w:pPr>
            <w:r>
              <w:t xml:space="preserve"> Limit to 2°C (&gt;67%)</w:t>
            </w:r>
          </w:p>
        </w:tc>
        <w:tc>
          <w:tcPr>
            <w:tcW w:w="1875" w:type="dxa"/>
            <w:vMerge w:val="restart"/>
            <w:tcMar>
              <w:top w:w="99" w:type="dxa"/>
              <w:left w:w="99" w:type="dxa"/>
              <w:bottom w:w="99" w:type="dxa"/>
              <w:right w:w="99" w:type="dxa"/>
            </w:tcMar>
          </w:tcPr>
          <w:p w14:paraId="2D7BA460" w14:textId="77777777" w:rsidR="00B761DA" w:rsidRDefault="00000000">
            <w:pPr>
              <w:spacing w:line="240" w:lineRule="auto"/>
            </w:pPr>
            <w:r>
              <w:t xml:space="preserve">2°C or 2°C-consistent </w:t>
            </w:r>
          </w:p>
        </w:tc>
        <w:tc>
          <w:tcPr>
            <w:tcW w:w="2745" w:type="dxa"/>
            <w:tcMar>
              <w:top w:w="99" w:type="dxa"/>
              <w:left w:w="99" w:type="dxa"/>
              <w:bottom w:w="99" w:type="dxa"/>
              <w:right w:w="99" w:type="dxa"/>
            </w:tcMar>
            <w:vAlign w:val="center"/>
          </w:tcPr>
          <w:p w14:paraId="7B5DD0A3" w14:textId="77777777" w:rsidR="00B761DA" w:rsidRDefault="00000000">
            <w:pPr>
              <w:spacing w:line="240" w:lineRule="auto"/>
              <w:rPr>
                <w:vertAlign w:val="superscript"/>
              </w:rPr>
            </w:pPr>
            <w:r>
              <w:t xml:space="preserve">Lower-2°C pathways limiting peak warming to below 2°C during the entire 21st century with greater than 66% </w:t>
            </w:r>
            <w:proofErr w:type="spellStart"/>
            <w:r>
              <w:t>likelihood</w:t>
            </w:r>
            <w:r>
              <w:rPr>
                <w:vertAlign w:val="superscript"/>
              </w:rPr>
              <w:t>a</w:t>
            </w:r>
            <w:proofErr w:type="spellEnd"/>
          </w:p>
        </w:tc>
      </w:tr>
      <w:tr w:rsidR="00B761DA" w14:paraId="40303155" w14:textId="77777777">
        <w:trPr>
          <w:trHeight w:val="419"/>
        </w:trPr>
        <w:tc>
          <w:tcPr>
            <w:tcW w:w="1800" w:type="dxa"/>
            <w:tcMar>
              <w:top w:w="99" w:type="dxa"/>
              <w:left w:w="99" w:type="dxa"/>
              <w:bottom w:w="99" w:type="dxa"/>
              <w:right w:w="99" w:type="dxa"/>
            </w:tcMar>
          </w:tcPr>
          <w:p w14:paraId="52D71DBE" w14:textId="77777777" w:rsidR="00B761DA" w:rsidRDefault="00000000">
            <w:pPr>
              <w:spacing w:line="240" w:lineRule="auto"/>
            </w:pPr>
            <w:r>
              <w:t>C4</w:t>
            </w:r>
          </w:p>
        </w:tc>
        <w:tc>
          <w:tcPr>
            <w:tcW w:w="2595" w:type="dxa"/>
            <w:tcMar>
              <w:top w:w="99" w:type="dxa"/>
              <w:left w:w="99" w:type="dxa"/>
              <w:bottom w:w="99" w:type="dxa"/>
              <w:right w:w="99" w:type="dxa"/>
            </w:tcMar>
          </w:tcPr>
          <w:p w14:paraId="219CD6D8" w14:textId="77777777" w:rsidR="00B761DA" w:rsidRDefault="00000000">
            <w:pPr>
              <w:spacing w:line="240" w:lineRule="auto"/>
            </w:pPr>
            <w:r>
              <w:t xml:space="preserve">Limit to 2°C (&gt;50%) </w:t>
            </w:r>
          </w:p>
        </w:tc>
        <w:tc>
          <w:tcPr>
            <w:tcW w:w="1875" w:type="dxa"/>
            <w:vMerge/>
            <w:tcMar>
              <w:top w:w="99" w:type="dxa"/>
              <w:left w:w="99" w:type="dxa"/>
              <w:bottom w:w="99" w:type="dxa"/>
              <w:right w:w="99" w:type="dxa"/>
            </w:tcMar>
          </w:tcPr>
          <w:p w14:paraId="18EAE7A0" w14:textId="77777777" w:rsidR="00B761DA" w:rsidRDefault="00B761DA">
            <w:pPr>
              <w:spacing w:line="240" w:lineRule="auto"/>
            </w:pPr>
          </w:p>
        </w:tc>
        <w:tc>
          <w:tcPr>
            <w:tcW w:w="2745" w:type="dxa"/>
            <w:tcMar>
              <w:top w:w="99" w:type="dxa"/>
              <w:left w:w="99" w:type="dxa"/>
              <w:bottom w:w="99" w:type="dxa"/>
              <w:right w:w="99" w:type="dxa"/>
            </w:tcMar>
          </w:tcPr>
          <w:p w14:paraId="06C49FB9" w14:textId="77777777" w:rsidR="00B761DA" w:rsidRDefault="00000000">
            <w:pPr>
              <w:spacing w:line="240" w:lineRule="auto"/>
            </w:pPr>
            <w:r>
              <w:t>Higher-2°C pathways assessed to keep peak warming to below 2°C during the entire 21st century with 50–66% likelihood</w:t>
            </w:r>
          </w:p>
        </w:tc>
      </w:tr>
      <w:tr w:rsidR="00B761DA" w14:paraId="3DB85DF5" w14:textId="77777777">
        <w:trPr>
          <w:trHeight w:val="419"/>
        </w:trPr>
        <w:tc>
          <w:tcPr>
            <w:tcW w:w="1800" w:type="dxa"/>
            <w:tcMar>
              <w:top w:w="99" w:type="dxa"/>
              <w:left w:w="99" w:type="dxa"/>
              <w:bottom w:w="99" w:type="dxa"/>
              <w:right w:w="99" w:type="dxa"/>
            </w:tcMar>
          </w:tcPr>
          <w:p w14:paraId="13E15B67" w14:textId="77777777" w:rsidR="00B761DA" w:rsidRDefault="00000000">
            <w:pPr>
              <w:spacing w:line="240" w:lineRule="auto"/>
            </w:pPr>
            <w:r>
              <w:t>C5</w:t>
            </w:r>
          </w:p>
        </w:tc>
        <w:tc>
          <w:tcPr>
            <w:tcW w:w="2595" w:type="dxa"/>
            <w:tcMar>
              <w:top w:w="99" w:type="dxa"/>
              <w:left w:w="99" w:type="dxa"/>
              <w:bottom w:w="99" w:type="dxa"/>
              <w:right w:w="99" w:type="dxa"/>
            </w:tcMar>
          </w:tcPr>
          <w:p w14:paraId="477C49DF" w14:textId="77777777" w:rsidR="00B761DA" w:rsidRDefault="00000000">
            <w:pPr>
              <w:spacing w:line="240" w:lineRule="auto"/>
            </w:pPr>
            <w:r>
              <w:t xml:space="preserve">Limit to 2.5°C (&gt;50%) </w:t>
            </w:r>
          </w:p>
        </w:tc>
        <w:tc>
          <w:tcPr>
            <w:tcW w:w="1875" w:type="dxa"/>
            <w:vMerge w:val="restart"/>
            <w:tcMar>
              <w:top w:w="99" w:type="dxa"/>
              <w:left w:w="99" w:type="dxa"/>
              <w:bottom w:w="99" w:type="dxa"/>
              <w:right w:w="99" w:type="dxa"/>
            </w:tcMar>
          </w:tcPr>
          <w:p w14:paraId="062AC67C" w14:textId="77777777" w:rsidR="00B761DA" w:rsidRDefault="00000000">
            <w:pPr>
              <w:spacing w:line="240" w:lineRule="auto"/>
            </w:pPr>
            <w:r>
              <w:t>Above 2°C</w:t>
            </w:r>
          </w:p>
        </w:tc>
        <w:tc>
          <w:tcPr>
            <w:tcW w:w="2745" w:type="dxa"/>
            <w:tcMar>
              <w:top w:w="99" w:type="dxa"/>
              <w:left w:w="99" w:type="dxa"/>
              <w:bottom w:w="99" w:type="dxa"/>
              <w:right w:w="99" w:type="dxa"/>
            </w:tcMar>
          </w:tcPr>
          <w:p w14:paraId="320D27B0" w14:textId="77777777" w:rsidR="00B761DA" w:rsidRDefault="00B761DA">
            <w:pPr>
              <w:spacing w:line="240" w:lineRule="auto"/>
            </w:pPr>
          </w:p>
        </w:tc>
      </w:tr>
      <w:tr w:rsidR="00B761DA" w14:paraId="34FB9CC0" w14:textId="77777777">
        <w:trPr>
          <w:trHeight w:val="419"/>
        </w:trPr>
        <w:tc>
          <w:tcPr>
            <w:tcW w:w="1800" w:type="dxa"/>
            <w:tcMar>
              <w:top w:w="99" w:type="dxa"/>
              <w:left w:w="99" w:type="dxa"/>
              <w:bottom w:w="99" w:type="dxa"/>
              <w:right w:w="99" w:type="dxa"/>
            </w:tcMar>
          </w:tcPr>
          <w:p w14:paraId="64F963BB" w14:textId="77777777" w:rsidR="00B761DA" w:rsidRDefault="00000000">
            <w:pPr>
              <w:spacing w:line="240" w:lineRule="auto"/>
            </w:pPr>
            <w:r>
              <w:t>C6</w:t>
            </w:r>
          </w:p>
        </w:tc>
        <w:tc>
          <w:tcPr>
            <w:tcW w:w="2595" w:type="dxa"/>
            <w:tcMar>
              <w:top w:w="99" w:type="dxa"/>
              <w:left w:w="99" w:type="dxa"/>
              <w:bottom w:w="99" w:type="dxa"/>
              <w:right w:w="99" w:type="dxa"/>
            </w:tcMar>
          </w:tcPr>
          <w:p w14:paraId="4E73F412" w14:textId="77777777" w:rsidR="00B761DA" w:rsidRDefault="00000000">
            <w:pPr>
              <w:spacing w:line="240" w:lineRule="auto"/>
            </w:pPr>
            <w:r>
              <w:t xml:space="preserve">Limit to 3.0°C (&gt;50%) </w:t>
            </w:r>
          </w:p>
        </w:tc>
        <w:tc>
          <w:tcPr>
            <w:tcW w:w="1875" w:type="dxa"/>
            <w:vMerge/>
            <w:tcMar>
              <w:top w:w="99" w:type="dxa"/>
              <w:left w:w="99" w:type="dxa"/>
              <w:bottom w:w="99" w:type="dxa"/>
              <w:right w:w="99" w:type="dxa"/>
            </w:tcMar>
          </w:tcPr>
          <w:p w14:paraId="51672909" w14:textId="77777777" w:rsidR="00B761DA" w:rsidRDefault="00B761DA">
            <w:pPr>
              <w:spacing w:line="240" w:lineRule="auto"/>
            </w:pPr>
          </w:p>
        </w:tc>
        <w:tc>
          <w:tcPr>
            <w:tcW w:w="2745" w:type="dxa"/>
            <w:tcMar>
              <w:top w:w="99" w:type="dxa"/>
              <w:left w:w="99" w:type="dxa"/>
              <w:bottom w:w="99" w:type="dxa"/>
              <w:right w:w="99" w:type="dxa"/>
            </w:tcMar>
          </w:tcPr>
          <w:p w14:paraId="7D9E1795" w14:textId="77777777" w:rsidR="00B761DA" w:rsidRDefault="00B761DA">
            <w:pPr>
              <w:spacing w:line="240" w:lineRule="auto"/>
            </w:pPr>
          </w:p>
        </w:tc>
      </w:tr>
      <w:tr w:rsidR="00B761DA" w14:paraId="6375B944" w14:textId="77777777">
        <w:trPr>
          <w:trHeight w:val="419"/>
        </w:trPr>
        <w:tc>
          <w:tcPr>
            <w:tcW w:w="1800" w:type="dxa"/>
            <w:tcMar>
              <w:top w:w="99" w:type="dxa"/>
              <w:left w:w="99" w:type="dxa"/>
              <w:bottom w:w="99" w:type="dxa"/>
              <w:right w:w="99" w:type="dxa"/>
            </w:tcMar>
          </w:tcPr>
          <w:p w14:paraId="33B941B3" w14:textId="77777777" w:rsidR="00B761DA" w:rsidRDefault="00000000">
            <w:pPr>
              <w:spacing w:line="240" w:lineRule="auto"/>
            </w:pPr>
            <w:r>
              <w:t>C7</w:t>
            </w:r>
          </w:p>
        </w:tc>
        <w:tc>
          <w:tcPr>
            <w:tcW w:w="2595" w:type="dxa"/>
            <w:tcMar>
              <w:top w:w="99" w:type="dxa"/>
              <w:left w:w="99" w:type="dxa"/>
              <w:bottom w:w="99" w:type="dxa"/>
              <w:right w:w="99" w:type="dxa"/>
            </w:tcMar>
          </w:tcPr>
          <w:p w14:paraId="651A4299" w14:textId="77777777" w:rsidR="00B761DA" w:rsidRDefault="00000000">
            <w:pPr>
              <w:spacing w:line="240" w:lineRule="auto"/>
            </w:pPr>
            <w:r>
              <w:t>Limit to 4.0°C (&gt;50%)</w:t>
            </w:r>
          </w:p>
        </w:tc>
        <w:tc>
          <w:tcPr>
            <w:tcW w:w="1875" w:type="dxa"/>
            <w:vMerge/>
            <w:tcMar>
              <w:top w:w="99" w:type="dxa"/>
              <w:left w:w="99" w:type="dxa"/>
              <w:bottom w:w="99" w:type="dxa"/>
              <w:right w:w="99" w:type="dxa"/>
            </w:tcMar>
          </w:tcPr>
          <w:p w14:paraId="3B79C7DE" w14:textId="77777777" w:rsidR="00B761DA" w:rsidRDefault="00B761DA">
            <w:pPr>
              <w:spacing w:line="240" w:lineRule="auto"/>
            </w:pPr>
          </w:p>
        </w:tc>
        <w:tc>
          <w:tcPr>
            <w:tcW w:w="2745" w:type="dxa"/>
            <w:tcMar>
              <w:top w:w="99" w:type="dxa"/>
              <w:left w:w="99" w:type="dxa"/>
              <w:bottom w:w="99" w:type="dxa"/>
              <w:right w:w="99" w:type="dxa"/>
            </w:tcMar>
          </w:tcPr>
          <w:p w14:paraId="49F552C9" w14:textId="77777777" w:rsidR="00B761DA" w:rsidRDefault="00B761DA">
            <w:pPr>
              <w:spacing w:line="240" w:lineRule="auto"/>
            </w:pPr>
          </w:p>
        </w:tc>
      </w:tr>
      <w:tr w:rsidR="00B761DA" w14:paraId="06E176A8" w14:textId="77777777">
        <w:trPr>
          <w:trHeight w:val="419"/>
        </w:trPr>
        <w:tc>
          <w:tcPr>
            <w:tcW w:w="1800" w:type="dxa"/>
            <w:tcMar>
              <w:top w:w="99" w:type="dxa"/>
              <w:left w:w="99" w:type="dxa"/>
              <w:bottom w:w="99" w:type="dxa"/>
              <w:right w:w="99" w:type="dxa"/>
            </w:tcMar>
          </w:tcPr>
          <w:p w14:paraId="36515426" w14:textId="77777777" w:rsidR="00B761DA" w:rsidRDefault="00000000">
            <w:pPr>
              <w:spacing w:line="240" w:lineRule="auto"/>
            </w:pPr>
            <w:r>
              <w:t>C8</w:t>
            </w:r>
          </w:p>
        </w:tc>
        <w:tc>
          <w:tcPr>
            <w:tcW w:w="2595" w:type="dxa"/>
            <w:tcMar>
              <w:top w:w="99" w:type="dxa"/>
              <w:left w:w="99" w:type="dxa"/>
              <w:bottom w:w="99" w:type="dxa"/>
              <w:right w:w="99" w:type="dxa"/>
            </w:tcMar>
          </w:tcPr>
          <w:p w14:paraId="6916059A" w14:textId="77777777" w:rsidR="00B761DA" w:rsidRDefault="00000000">
            <w:pPr>
              <w:spacing w:line="240" w:lineRule="auto"/>
            </w:pPr>
            <w:r>
              <w:rPr>
                <w:rFonts w:ascii="Arial Unicode MS" w:eastAsia="Arial Unicode MS" w:hAnsi="Arial Unicode MS" w:cs="Arial Unicode MS"/>
              </w:rPr>
              <w:t xml:space="preserve">Exceed 4.0°C (≥50%) </w:t>
            </w:r>
          </w:p>
        </w:tc>
        <w:tc>
          <w:tcPr>
            <w:tcW w:w="1875" w:type="dxa"/>
            <w:vMerge/>
            <w:tcMar>
              <w:top w:w="99" w:type="dxa"/>
              <w:left w:w="99" w:type="dxa"/>
              <w:bottom w:w="99" w:type="dxa"/>
              <w:right w:w="99" w:type="dxa"/>
            </w:tcMar>
          </w:tcPr>
          <w:p w14:paraId="0CE1CFF2" w14:textId="77777777" w:rsidR="00B761DA" w:rsidRDefault="00B761DA">
            <w:pPr>
              <w:spacing w:line="240" w:lineRule="auto"/>
            </w:pPr>
          </w:p>
        </w:tc>
        <w:tc>
          <w:tcPr>
            <w:tcW w:w="2745" w:type="dxa"/>
            <w:tcMar>
              <w:top w:w="99" w:type="dxa"/>
              <w:left w:w="99" w:type="dxa"/>
              <w:bottom w:w="99" w:type="dxa"/>
              <w:right w:w="99" w:type="dxa"/>
            </w:tcMar>
          </w:tcPr>
          <w:p w14:paraId="4DF33913" w14:textId="77777777" w:rsidR="00B761DA" w:rsidRDefault="00B761DA">
            <w:pPr>
              <w:spacing w:line="240" w:lineRule="auto"/>
            </w:pPr>
          </w:p>
        </w:tc>
      </w:tr>
    </w:tbl>
    <w:p w14:paraId="1291BBF6" w14:textId="77777777" w:rsidR="00B761DA" w:rsidRDefault="00000000">
      <w:pPr>
        <w:rPr>
          <w:sz w:val="20"/>
          <w:szCs w:val="20"/>
        </w:rPr>
      </w:pPr>
      <w:r>
        <w:rPr>
          <w:sz w:val="20"/>
          <w:szCs w:val="20"/>
          <w:vertAlign w:val="superscript"/>
        </w:rPr>
        <w:t>a</w:t>
      </w:r>
      <w:r>
        <w:rPr>
          <w:sz w:val="20"/>
          <w:szCs w:val="20"/>
        </w:rPr>
        <w:t>AR6 defined the boundary as a 67% likelihood and SR1.5 a 66% likelihood of remaining below 2°C, which has been interpreted to be equivalent in intent if not in implementation.</w:t>
      </w:r>
    </w:p>
    <w:sectPr w:rsidR="00B761D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DB2BFE2-83C1-4A74-98AA-09FEB678E2BB}"/>
  </w:font>
  <w:font w:name="Cambria">
    <w:panose1 w:val="02040503050406030204"/>
    <w:charset w:val="00"/>
    <w:family w:val="roman"/>
    <w:pitch w:val="variable"/>
    <w:sig w:usb0="E00006FF" w:usb1="420024FF" w:usb2="02000000" w:usb3="00000000" w:csb0="0000019F" w:csb1="00000000"/>
    <w:embedRegular r:id="rId2" w:fontKey="{905D34D4-A4C6-4DB1-B5B0-691230B951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2E0C3C"/>
    <w:multiLevelType w:val="multilevel"/>
    <w:tmpl w:val="FCD88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0856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1DA"/>
    <w:rsid w:val="00382C2A"/>
    <w:rsid w:val="00B761DA"/>
    <w:rsid w:val="00FC7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EED5"/>
  <w15:docId w15:val="{343A1DB9-BE5A-4BD4-A909-4825EEF7E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924</Words>
  <Characters>5189</Characters>
  <Application>Microsoft Office Word</Application>
  <DocSecurity>0</DocSecurity>
  <Lines>293</Lines>
  <Paragraphs>133</Paragraphs>
  <ScaleCrop>false</ScaleCrop>
  <Company>Met Office</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Laila Gohar</cp:lastModifiedBy>
  <cp:revision>2</cp:revision>
  <dcterms:created xsi:type="dcterms:W3CDTF">2025-12-19T16:55:00Z</dcterms:created>
  <dcterms:modified xsi:type="dcterms:W3CDTF">2025-12-19T16:55:00Z</dcterms:modified>
</cp:coreProperties>
</file>