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EE09D" w14:textId="77777777" w:rsidR="00056390" w:rsidRDefault="00056390" w:rsidP="00056390">
      <w:pPr>
        <w:spacing w:after="160" w:line="479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highlight w:val="white"/>
        </w:rPr>
        <w:t>Extended Figures:</w:t>
      </w:r>
    </w:p>
    <w:p w14:paraId="71AB8E72" w14:textId="77777777" w:rsidR="00056390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18"/>
          <w:szCs w:val="18"/>
        </w:rPr>
        <w:drawing>
          <wp:inline distT="0" distB="0" distL="0" distR="0" wp14:anchorId="4AB0BB93" wp14:editId="7918C646">
            <wp:extent cx="6476089" cy="3612253"/>
            <wp:effectExtent l="0" t="0" r="1270" b="0"/>
            <wp:docPr id="2050999891" name="Grafik 10" descr="Ein Bild, das Kinderkunst, Zeichnung, Diagramm, Kuns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999891" name="Grafik 10" descr="Ein Bild, das Kinderkunst, Zeichnung, Diagramm, Kunst enthält.&#10;&#10;KI-generierte Inhalte können fehlerhaft sein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1" b="39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127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849A15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Extended Figure 1: Cell types of pig-to-baboon cohort. (a)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UMAP embedding of 186,947 nuclei revealing eleven major cardiac cell types, including seven of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and four of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Papio anubis/hamadryas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origin (indicated by ‘_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papio’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)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 xml:space="preserve">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all cell types across conditions.</w:t>
      </w:r>
    </w:p>
    <w:p w14:paraId="4317FC6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  <w:r w:rsidRPr="00EC7EC3">
        <w:rPr>
          <w:rFonts w:ascii="Times New Roman" w:eastAsia="Times New Roman" w:hAnsi="Times New Roman" w:cs="Times New Roman"/>
          <w:sz w:val="18"/>
          <w:szCs w:val="18"/>
        </w:rPr>
        <w:t xml:space="preserve">CM: Cardiomyocytes, NC: Neuronal cells, Res_Immune: Resident immune cells, Endo/Lymph: Endocardial/Lymphatic, Vasc: Vascular, EC: Endothelial cells, MC: Mural cells, FB: Fibroblasts, Mast: Mast cells, Mye: Myeloids, Lymph: Lymphoids,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UMAP: Uniform manifold approximation and projection.</w:t>
      </w:r>
    </w:p>
    <w:p w14:paraId="0A3B076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1597202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61B8708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7BC28D8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71BCC97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7288B38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015BA31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338CCF5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3BFA637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0FC5C58D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313865C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5BA5359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6C04F74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1590604D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5ECB324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3454B27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</w:rPr>
      </w:pPr>
    </w:p>
    <w:p w14:paraId="305090C6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67B5D65" wp14:editId="05BAD02D">
            <wp:extent cx="5727539" cy="4978400"/>
            <wp:effectExtent l="0" t="0" r="635" b="0"/>
            <wp:docPr id="1986726584" name="Grafik 11" descr="Ein Bild, das Text, Diagramm, Plan, Kart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726584" name="Grafik 11" descr="Ein Bild, das Text, Diagramm, Plan, Karte enthält.&#10;&#10;KI-generierte Inhalte können fehlerhaft sein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755" cy="4999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EBF38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Extended Figure 2: Infiltrating myeloids (Mye_papio) and macrophages (MPs). (a)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UMAP embedding reveals seven Mye_papio infiltrating myeloids cell states and nine MP cell states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 xml:space="preserve">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Insets display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subclusters comprising nine MP cell states of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 xml:space="preserve">Papio anubis/hamadryas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origin.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(b)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Matrix plot indicating differentially expressed genes across infiltrating mye_papio</w:t>
      </w: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cell states. Mean normalized expression calculated based on expression inside vs outside each dedicated cell state.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mye_papio and MP cell states across conditions.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Comparative box plots showing MP polarization gene set scores across different MP states in rejection and ‘3-month protocol’. Proportion of cell types across all control and transplanted samples. Statistical testing was done by Mann-Whitney U test and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value&lt;0.05 was considered statistically significant. Dots represent individual samples.</w:t>
      </w:r>
    </w:p>
    <w:p w14:paraId="1F8A7F2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Mye: Myeloids, Mast: Mast cells, DC: Dendritic cells, Prolif: Proliferating, MP: Macrophages, ISG: Interferon stimulated genes, Papio: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Papio anubis/hamadryas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, UMAP: Uniform manifold approximation and projection.</w:t>
      </w:r>
    </w:p>
    <w:p w14:paraId="1F3D547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EDE036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635DD7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B7DDD8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6A90A1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</w:pPr>
    </w:p>
    <w:p w14:paraId="4DF40F95" w14:textId="77777777" w:rsidR="00056390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18"/>
          <w:szCs w:val="18"/>
        </w:rPr>
        <w:lastRenderedPageBreak/>
        <w:drawing>
          <wp:inline distT="0" distB="0" distL="0" distR="0" wp14:anchorId="6AD0F1B6" wp14:editId="6CD5C920">
            <wp:extent cx="5797333" cy="4645891"/>
            <wp:effectExtent l="0" t="0" r="0" b="2540"/>
            <wp:docPr id="1367693534" name="Grafik 12" descr="Ein Bild, das Text, Diagramm, Plan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693534" name="Grafik 12" descr="Ein Bild, das Text, Diagramm, Plan, Screenshot enthält.&#10;&#10;KI-generierte Inhalte können fehlerhaft sein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436" cy="4667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06A611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Extended Figure 3: Infiltrating lymphoids (Lymph_papio). (a)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UMAP embedding reveals seven infiltrating Lymph_papio cell states.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(b)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Matrix plot indicating differentially expressed genes across infiltrating Lymph_papio cell states. Mean normalized expression calculated based on expression inside vs outside each dedicated cell state.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different lymph_papio cell states across conditions. </w:t>
      </w:r>
    </w:p>
    <w:p w14:paraId="451D92F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CD4T: CD4 positive T-cells, CD8T: CD8 positive T-cells, MAIT: Mucosal-associated invariant T-cells, NK: Natural killer cells, Reg: Regulatory, Act: Activated, Cytox: Cytotoxic, Prolif: Proliferating, Papio: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Papio anubis/hamadryas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, UMAP: Uniform manifold approximation and projection.</w:t>
      </w:r>
    </w:p>
    <w:p w14:paraId="1A9C282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3BD6E3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53AB64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86EE04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0A02AD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B98429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B3E5A9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226293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D09404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6F407A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AD6C1B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BD3B70C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lastRenderedPageBreak/>
        <w:drawing>
          <wp:inline distT="0" distB="0" distL="0" distR="0" wp14:anchorId="6091D41F" wp14:editId="5583A112">
            <wp:extent cx="5624946" cy="5223075"/>
            <wp:effectExtent l="0" t="0" r="1270" b="0"/>
            <wp:docPr id="2126330434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330434" name="Grafik 21263304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3236" cy="5258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2082D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4: Cardiomyocytes (CM).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UMAP of CMs showing seven cell states.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Matrix plot indicating differentially expressed genes across vCM cell states. Mean normalized expression calculated based on expression inside vs outside each dedicated cell state.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all vCM cell states across conditions.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Heatmap indicating Pearson correlations between metabolic pathways gene set scores across all conditions.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(e)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Box plots showing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plasma proteomics changes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in rejection vs ‘3-month protocol’ and ‘6-month protocol’ vs ‘3-month protocol’ xenografts.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Statistical testing was done by Mann-Whitney U test, and a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value&lt;0.05 was considered statistically significant. Dots represent individual samples.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(f)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Violin plots of CM genes in ‘6-month protocol’ vs ‘3-month protocol’ xenografts.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Statistics as in (e).</w:t>
      </w:r>
    </w:p>
    <w:p w14:paraId="48A05E6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vCM: Ventricular cardiomyocytes, Prolif: Proliferating, ISG: Interferon stimulated genes, term.: terminated, UMAP: Uniform manifold approximation and projection, CPM: Counts per million. </w:t>
      </w:r>
    </w:p>
    <w:p w14:paraId="4B521D6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84015E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D93F11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F94DA7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C8E02A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F08075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20EBCE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A7175A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DBC81E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3D0781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F9D2B1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B8B8F9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410531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150A53F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drawing>
          <wp:inline distT="0" distB="0" distL="0" distR="0" wp14:anchorId="35C71A63" wp14:editId="324C228E">
            <wp:extent cx="6578600" cy="6108700"/>
            <wp:effectExtent l="0" t="0" r="0" b="0"/>
            <wp:docPr id="977020247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020247" name="Grafik 97702024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86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04073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5: Vascular endothelial cells (Vasc_EC). 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UMAP of Vasc_ECs showing ten cell states.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Matrix plot indicating differentially expressed genes across Vasc_ECs cell states. Mean normalized expression calculated based on expression inside vs outside each dedicated cell state.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all Vasc_ECs cell states across conditions.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Pathway enrichment in Vasc_ECs of PCMV/PRV vs ‘3-month protocol’ grafts. Bars represent combined enrichment scores (red, upregulated; blue, downregulated).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(e)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Violin plots of Vasc_EC genes in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PCMV/PRV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vs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‘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>3-month protocol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’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xenografts.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Statistical testing was done by Mann-Whitney U test, and a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value&lt;0.05 was considered statistically significant. Dots represent individual samples.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(f)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Box plots showing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plasma proteomics changes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in ‘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PCMV/PRV’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vs ‘3-month protocol’ xenografts.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Statistics as in (e).</w:t>
      </w:r>
    </w:p>
    <w:p w14:paraId="3F15381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EC: Endothelial cells, Meso: Mesothelial, Prolif: Proliferating, Antiinflam: Antiinflammatory, Cap: Capillary, ISG: Interferon stimulated genes, EMT: </w:t>
      </w:r>
      <w:r w:rsidRPr="00EC7EC3">
        <w:rPr>
          <w:rFonts w:ascii="Times New Roman" w:eastAsia="Times New Roman" w:hAnsi="Times New Roman" w:cs="Times New Roman"/>
          <w:sz w:val="18"/>
          <w:szCs w:val="18"/>
        </w:rPr>
        <w:t xml:space="preserve">Epithelial-to-mesenchymal transition,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PCMV/PRV: Porcine cytomegalovirus/porcine roseolovirus, PCMV/PRV: Porcine cytomegalovirus/porcine roseolovirus, UMAP: Uniform manifold approximation and projection, CPM: Counts per million. </w:t>
      </w:r>
    </w:p>
    <w:p w14:paraId="2C15D30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C4D730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241E7C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5664F4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0FD4724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F9F07D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2FBD1A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1A7407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8603F84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drawing>
          <wp:inline distT="0" distB="0" distL="0" distR="0" wp14:anchorId="2DD66C37" wp14:editId="16025087">
            <wp:extent cx="6578600" cy="5227782"/>
            <wp:effectExtent l="0" t="0" r="0" b="5080"/>
            <wp:docPr id="289224708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224708" name="Grafik 289224708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5227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716638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6: Fibroblasts (FB).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(a)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UMAP of FBs showing ten cell states.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Matrix plot indicating differentially expressed genes across FBs cell states. Mean normalized expression calculated based on expression inside vs outside each dedicated cell state.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all FBs cell states across conditions.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Box plots showing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plasma proteomics changes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in ‘rejection’ vs ‘3-month protocol’ and ‘6-month protocol’ vs ‘3-month protocol’ xenografts.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Statistical testing was done by Mann-Whitney U test, and a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value&lt;0.05 was considered statistically significant. Dots represent individual samples.</w:t>
      </w:r>
    </w:p>
    <w:p w14:paraId="6C6B71A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vFB: Ventricular Fibroblasts, Myo_FB: Myofibroblasts, Prolif: Proliferating, ISG: Interferon stimulated genes, PCMV/PRV: Porcine cytomegalovirus/porcine roseolovirus, UMAP: Uniform manifold approximation and projection, CPM: Counts per million. </w:t>
      </w:r>
    </w:p>
    <w:p w14:paraId="70F5280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80E871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06052E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A58EC1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066F4F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8D09F3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679DC8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C0CDF3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4DBE3B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2BCFB0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6F6A01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E698CA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24659E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FF4E93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1A2954D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drawing>
          <wp:inline distT="0" distB="0" distL="0" distR="0" wp14:anchorId="71D7F6A6" wp14:editId="051E3392">
            <wp:extent cx="6477000" cy="5754255"/>
            <wp:effectExtent l="0" t="0" r="0" b="0"/>
            <wp:docPr id="1546049831" name="Grafik 16" descr="Ein Bild, das Text, Diagramm, Screenshot, Reih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049831" name="Grafik 16" descr="Ein Bild, das Text, Diagramm, Screenshot, Reihe enthält.&#10;&#10;KI-generierte Inhalte können fehlerhaft sein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754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69406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lastRenderedPageBreak/>
        <w:t>Extended Figure 7: Resident pig-derived immune cells (Res_immune) (1).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UMAP of Res_Immune showing nine cell states (dashed circles highlight macrophages and lymphoids that were further investigated at higher resolution)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Higher resolution UMAP of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originated MPs showing eight cell states.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Higher resolution UMAP of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originated lymphoids showing nine cell states.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Matrix plot indicating differentially expressed genes across Res_Immune cell states. Mean normalized expression calculated based on expression inside vs outside each dedicated cell state. </w:t>
      </w:r>
    </w:p>
    <w:p w14:paraId="4FA976F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DC: Dendritic cells, Sus: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, Prolif: Proliferating, MO: Monocytes, NK: Natural killer cells, CD4T: CD4 positive T-cells, CD8T: CD8 positive T-cells, MP: Macrophages, Cytotox: Cytotoxic, PCMV/PRV: Porcine cytomegalovirus/porcine roseolovirus, UMAP: Uniform manifold approximation and projection. </w:t>
      </w:r>
    </w:p>
    <w:p w14:paraId="33465BF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D43ECD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1E1346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7A4B79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5235FE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92361D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D6E043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0A3D2C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7D8C87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28F90B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8AEA74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F53861C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lastRenderedPageBreak/>
        <w:drawing>
          <wp:inline distT="0" distB="0" distL="0" distR="0" wp14:anchorId="72AD25DA" wp14:editId="779216C6">
            <wp:extent cx="6477000" cy="6108700"/>
            <wp:effectExtent l="0" t="0" r="0" b="0"/>
            <wp:docPr id="253874412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74412" name="Grafik 2538744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CD908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8: Resident pig-derived immune cells (2).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Bar plots displaying proportions of all Resident immune cell states across conditions.</w:t>
      </w:r>
    </w:p>
    <w:p w14:paraId="192EE14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Sus: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, CD4T: CD4 positive T-cells, CD8T: CD8 positive T-cells, Cytotox: Cytotoxic, DC: Dendritic cells, MO: Monocytes, MP: Macrophages, ISG: Interferon stimulated genes, PCMV/PRV: Porcine cytomegalovirus/porcine roseolovirus, NK: Natural killer cells, Prolif: Proliferating. </w:t>
      </w:r>
    </w:p>
    <w:p w14:paraId="3685EED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B28537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517FB1D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409686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7F7A564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290C2F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694958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D3982C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25A2C1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85A192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383490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E9679CD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DCB6D89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drawing>
          <wp:inline distT="0" distB="0" distL="0" distR="0" wp14:anchorId="3A80B06D" wp14:editId="75FD213B">
            <wp:extent cx="6477000" cy="6108700"/>
            <wp:effectExtent l="0" t="0" r="0" b="0"/>
            <wp:docPr id="1537910222" name="Grafik 18" descr="Ein Bild, das Diagramm, Text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910222" name="Grafik 18" descr="Ein Bild, das Diagramm, Text, Screenshot enthält.&#10;&#10;KI-generierte Inhalte können fehlerhaft sein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60639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9: Cell Chat in Rejection.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Comparative barplot of differential CellChat analysis displaying communication probabilities of different pathways in ‘rejection’ and ‘3-month protocol’ cohorts.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Circos plots of VISFATIN and TGFβ pathway source-target interaction probabilities among different cell types in rejection.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>Arrows indicate signaling direction. Line thickness reflects interaction strength. Significance was determined by non-parametric permutation testing (</w:t>
      </w:r>
      <w:r w:rsidRPr="00EC7EC3">
        <w:rPr>
          <w:rFonts w:ascii="Times New Roman" w:eastAsia="Times New Roman" w:hAnsi="Times New Roman" w:cs="Times New Roman"/>
          <w:i/>
          <w:iCs/>
          <w:color w:val="222222"/>
          <w:sz w:val="18"/>
          <w:szCs w:val="18"/>
          <w:highlight w:val="white"/>
        </w:rPr>
        <w:t xml:space="preserve">P </w:t>
      </w:r>
      <w:r w:rsidRPr="00BE6A9D"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>values</w:t>
      </w:r>
      <w:r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BE6A9D"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>≤</w:t>
      </w:r>
      <w:r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0.05)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Differential heatmap showing the number of signaling pathways received or sent from FBs in ‘rejection’ and ‘3-month protocol’ cohorts.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Differential cell-cell communication chord plots between ‘6-month protocol’ and ‘3-month protocol’ xenografts.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Statistics as in (c).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>Salmon: higher in rejection; blue: higher in ‘3-month protocol’.</w:t>
      </w:r>
    </w:p>
    <w:p w14:paraId="1399904D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EC7EC3">
        <w:rPr>
          <w:rFonts w:ascii="Times New Roman" w:eastAsia="Times New Roman" w:hAnsi="Times New Roman" w:cs="Times New Roman"/>
          <w:sz w:val="18"/>
          <w:szCs w:val="18"/>
        </w:rPr>
        <w:t xml:space="preserve">CM: Cardiomyocytes, NC: Neuronal cells, Res_Immune: Resident immune cells, Endo/Lymph: Endocardial/Lymphatic, Vasc: Vascular, EC: Endothelial cells, MC: Mural cells, FB: Fibroblasts, Mast: Mast cells, Mye: Myeloids, Lymph: Lymphoids, Papio: </w:t>
      </w:r>
      <w:r w:rsidRPr="00EC7EC3">
        <w:rPr>
          <w:rFonts w:ascii="Times New Roman" w:eastAsia="Times New Roman" w:hAnsi="Times New Roman" w:cs="Times New Roman"/>
          <w:i/>
          <w:iCs/>
          <w:sz w:val="18"/>
          <w:szCs w:val="18"/>
        </w:rPr>
        <w:t>Papio anubis/hamadryas,</w:t>
      </w:r>
    </w:p>
    <w:p w14:paraId="05419A6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40CD901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291D124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5B5209E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7553996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23319349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3FEC234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6112006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0AA676A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2F232C47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222222"/>
          <w:sz w:val="18"/>
          <w:szCs w:val="18"/>
        </w:rPr>
        <w:drawing>
          <wp:inline distT="0" distB="0" distL="0" distR="0" wp14:anchorId="0AF0DA42" wp14:editId="54F1D956">
            <wp:extent cx="6477000" cy="5870961"/>
            <wp:effectExtent l="0" t="0" r="0" b="0"/>
            <wp:docPr id="148461157" name="Grafik 19" descr="Ein Bild, das Text, Diagramm, Screenshot, Darstell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61157" name="Grafik 19" descr="Ein Bild, das Text, Diagramm, Screenshot, Darstellung enthält.&#10;&#10;KI-generierte Inhalte können fehlerhaft sein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870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66756F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10: Unfolded Protein Response (UPR) system.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Schematic of the UPR system.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Violin plots of UPR-related genes in ‘rejection’ vs ‘3-month protocol’ xenografts.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 xml:space="preserve">P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values calculated by Mann-Whitney U-test and multiple testing correction by Benjamini-Hochberg (* FDR</w:t>
      </w:r>
      <w:r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BE6A9D"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>≤</w:t>
      </w:r>
      <w:r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0.05).</w:t>
      </w:r>
    </w:p>
    <w:p w14:paraId="3CB414C4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UPR: Unfolded protein response, ER: Endoplasmic reticulum, CPM: Counts per million, FDR: False discovery rate.</w:t>
      </w:r>
    </w:p>
    <w:p w14:paraId="638D7D5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60E6027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08B811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2E385A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D8A2F2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93FD7E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14A0ED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126F1E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E1A97BD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7D3BFFD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1D1E86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CCE8A9E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AA8B441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4517FEE6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lastRenderedPageBreak/>
        <w:drawing>
          <wp:inline distT="0" distB="0" distL="0" distR="0" wp14:anchorId="5D2B9D65" wp14:editId="6D420DC5">
            <wp:extent cx="6578600" cy="6121400"/>
            <wp:effectExtent l="0" t="0" r="0" b="0"/>
            <wp:docPr id="133938687" name="Grafik 20" descr="Ein Bild, das Text, Diagramm, Screenshot, Farbigkei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38687" name="Grafik 20" descr="Ein Bild, das Text, Diagramm, Screenshot, Farbigkeit enthält.&#10;&#10;KI-generierte Inhalte können fehlerhaft sein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8600" cy="612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A9CDD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11: Cell Chat in ‘6-month protocol’.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Comparative barplot of differential CellChat analysis displaying communication probabilities of different pathways in ‘6-month protocol’ and ‘3-month protocol’.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Circos plots of VISFATIN, RELN, IL1, HSPG pathways source-target interaction probabilities among different cell types in ‘6-month protocol’.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>Arrows indicate signaling direction. Line thickness reflects interaction strength. Significance was determined by non-parametric permutation testing (</w:t>
      </w:r>
      <w:r w:rsidRPr="00EC7EC3">
        <w:rPr>
          <w:rFonts w:ascii="Times New Roman" w:eastAsia="Times New Roman" w:hAnsi="Times New Roman" w:cs="Times New Roman"/>
          <w:i/>
          <w:iCs/>
          <w:color w:val="222222"/>
          <w:sz w:val="18"/>
          <w:szCs w:val="18"/>
          <w:highlight w:val="white"/>
        </w:rPr>
        <w:t xml:space="preserve">P </w:t>
      </w:r>
      <w:r w:rsidRPr="00BE6A9D"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>values</w:t>
      </w:r>
      <w:r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BE6A9D"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>≤</w:t>
      </w:r>
      <w:r>
        <w:rPr>
          <w:rFonts w:ascii="Times New Roman" w:eastAsia="Gungsuh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0.05)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. </w:t>
      </w:r>
      <w:r w:rsidRPr="00EC7EC3"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Bubble plot showing ligand-receptor pairs for VEGF signaling among different cell types in </w:t>
      </w:r>
      <w:r w:rsidRPr="00BE6A9D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6-month protocol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Bubble plot showing ligand-receptor pairs for GHRELIN signaling among different cell types in </w:t>
      </w:r>
      <w:r w:rsidRPr="00BE6A9D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6-month protocol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(e)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 xml:space="preserve">Differential cell-cell communication chord plots between ‘6-month protocol’ and ‘3-month protocol’ xenografts.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Statistics as in (b). </w:t>
      </w:r>
      <w:r w:rsidRPr="00EC7EC3"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  <w:t>Salmon: higher in rejection; blue: higher in ‘3-month protocol’.</w:t>
      </w:r>
    </w:p>
    <w:p w14:paraId="7A80A5E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EC7EC3">
        <w:rPr>
          <w:rFonts w:ascii="Times New Roman" w:eastAsia="Times New Roman" w:hAnsi="Times New Roman" w:cs="Times New Roman"/>
          <w:sz w:val="18"/>
          <w:szCs w:val="18"/>
        </w:rPr>
        <w:t xml:space="preserve">CM: Cardiomyocytes, NC: Neuronal cells, Res_Immune: Resident immune cells, Endo/Lymph: Endocardial/Lymphatic, Vasc: Vascular, EC: Endothelial cells, MC: Mural cells, FB: Fibroblasts, Mast: Mast cells, Mye: Myeloids, Lymph: Lymphoids, Papio: </w:t>
      </w:r>
      <w:r w:rsidRPr="00EC7EC3">
        <w:rPr>
          <w:rFonts w:ascii="Times New Roman" w:eastAsia="Times New Roman" w:hAnsi="Times New Roman" w:cs="Times New Roman"/>
          <w:i/>
          <w:iCs/>
          <w:sz w:val="18"/>
          <w:szCs w:val="18"/>
        </w:rPr>
        <w:t>Papio anubis/hamadryas,</w:t>
      </w:r>
    </w:p>
    <w:p w14:paraId="346A2E3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687AF786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5076B4D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7504317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3CEA4CC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0390C1D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63683FF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316C080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187BFD8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67BB1FB4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222222"/>
          <w:sz w:val="18"/>
          <w:szCs w:val="18"/>
        </w:rPr>
        <w:drawing>
          <wp:inline distT="0" distB="0" distL="0" distR="0" wp14:anchorId="1A1735DB" wp14:editId="0779CCA2">
            <wp:extent cx="6477000" cy="6108700"/>
            <wp:effectExtent l="0" t="0" r="0" b="0"/>
            <wp:docPr id="1935806966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806966" name="Grafik 193580696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C248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Extended Figure 12: Plasma proteomics risk prediction model.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(a)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Total number of detected baboon (red) and pig (purple) proteins per sample preparation workflow. Proteins that could not be assigned uniquely to one species are shown in light blue.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(b, 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Top 20 features of L1 logistic regression coefficient models with coefficients comparing ‘3-month protocol’ vs. (b) PCMV/PRV-positive and (c) rejecting baboons. Features with a positive coefficient are shown in blue, while proteins with a negative coefficient are shown in red. The species origin is indicated in the suffix of each gene (x-axis; PIG: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, PAPAN: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Papio anubis/hamadryas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).</w:t>
      </w:r>
    </w:p>
    <w:p w14:paraId="1CD2AE6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9799150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27C8997C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5B4E158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1735C8C2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5638183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56C398F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33E8FAE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BEEC64B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6239D235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5F42267A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7CAED64" w14:textId="77777777" w:rsidR="00056390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</w:p>
    <w:p w14:paraId="0F01CB5B" w14:textId="77777777" w:rsidR="00056390" w:rsidRPr="00EC7EC3" w:rsidRDefault="00056390" w:rsidP="00056390">
      <w:pPr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noProof/>
          <w:color w:val="333333"/>
          <w:sz w:val="18"/>
          <w:szCs w:val="18"/>
        </w:rPr>
        <w:drawing>
          <wp:inline distT="0" distB="0" distL="0" distR="0" wp14:anchorId="66AC0D8F" wp14:editId="71911551">
            <wp:extent cx="6477000" cy="5896598"/>
            <wp:effectExtent l="0" t="0" r="0" b="0"/>
            <wp:docPr id="324781478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781478" name="Grafik 324781478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896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3141C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Extended Figure 13: Clinical xHTx samples. (a)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Proportion of major cell types across different samples.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(b)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Proportion of Lymph_human cell states across different samples.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(c)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Proportion of Mye_human cell states across xHTx samples.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(d)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 xml:space="preserve"> Proportion of Vasc_ECs cell states across xHTx samples.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>(e)</w:t>
      </w:r>
      <w:r w:rsidRPr="00EC7EC3">
        <w:rPr>
          <w:rFonts w:ascii="Gungsuh" w:eastAsia="Gungsuh" w:hAnsi="Gungsuh" w:cs="Gungsuh"/>
          <w:color w:val="333333"/>
          <w:sz w:val="18"/>
          <w:szCs w:val="18"/>
          <w:highlight w:val="white"/>
        </w:rPr>
        <w:t xml:space="preserve"> </w:t>
      </w:r>
      <w:r w:rsidRPr="00EC7EC3">
        <w:rPr>
          <w:rFonts w:ascii="Times New Roman" w:eastAsia="Gungsuh" w:hAnsi="Times New Roman" w:cs="Times New Roman"/>
          <w:color w:val="333333"/>
          <w:sz w:val="18"/>
          <w:szCs w:val="18"/>
          <w:highlight w:val="white"/>
        </w:rPr>
        <w:t xml:space="preserve">Proportion of nuclei with detectable PCMV/PRV transcripts across major cell types. Viral positivity was defined by ≥2 unique PCMV/PRV genes and ≥10 counts. </w:t>
      </w:r>
      <w:r w:rsidRPr="00EC7EC3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highlight w:val="white"/>
        </w:rPr>
        <w:t xml:space="preserve">(f) 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Mean expression of PCMV/PRV genes across two xHTx and one not-transplanted control.</w:t>
      </w:r>
    </w:p>
    <w:p w14:paraId="6C875CE5" w14:textId="77777777" w:rsidR="00056390" w:rsidRPr="00EC7EC3" w:rsidRDefault="00056390" w:rsidP="00056390">
      <w:pPr>
        <w:spacing w:after="16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lastRenderedPageBreak/>
        <w:t xml:space="preserve">xHTx: Cardiac xenotransplantation, Pat: Patient, CM: Cardiomyocytes, EC: Endothelial cells, FB: Fibroblasts, Lymph: Lymphoids, Mye: Myeloids, NC: Neuronal cells, PC: Pericytes, SMC: Smooth muscle cells, CD4T: CD4 positive T-cells, CD8T: CD8 positive T-cells, Sus: </w:t>
      </w:r>
      <w:r w:rsidRPr="00EC7EC3">
        <w:rPr>
          <w:rFonts w:ascii="Times New Roman" w:eastAsia="Times New Roman" w:hAnsi="Times New Roman" w:cs="Times New Roman"/>
          <w:i/>
          <w:iCs/>
          <w:color w:val="333333"/>
          <w:sz w:val="18"/>
          <w:szCs w:val="18"/>
          <w:highlight w:val="white"/>
        </w:rPr>
        <w:t>Sus scrofa</w:t>
      </w:r>
      <w:r w:rsidRPr="00EC7EC3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, reg: Regulatory, em: effector memory, Prolif: Proliferating, MO: Monocytes, MP: Macrophages, ISG: Interferon stimulated genes, trans: transitional, art: arterial, cap: capillary, Meso: Mesothelial cells, PCMV/PRV: Porcine cytomegalovirus/porcine roseolovirus.</w:t>
      </w:r>
    </w:p>
    <w:p w14:paraId="2003BE85" w14:textId="77777777" w:rsidR="00056390" w:rsidRDefault="00056390" w:rsidP="00056390">
      <w:pPr>
        <w:spacing w:after="160" w:line="479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</w:pPr>
    </w:p>
    <w:p w14:paraId="4C9FF2C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390"/>
    <w:rsid w:val="00056390"/>
    <w:rsid w:val="000C4033"/>
    <w:rsid w:val="004B42CB"/>
    <w:rsid w:val="00B619CE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7A6CD"/>
  <w15:chartTrackingRefBased/>
  <w15:docId w15:val="{97395563-600E-4BBA-8C9B-FDD9F0BA6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39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3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3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63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3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3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39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39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39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39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3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3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63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3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3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3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3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3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3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63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63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3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63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63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63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63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63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3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3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63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1552</Words>
  <Characters>10030</Characters>
  <Application>Microsoft Office Word</Application>
  <DocSecurity>0</DocSecurity>
  <Lines>156</Lines>
  <Paragraphs>35</Paragraphs>
  <ScaleCrop>false</ScaleCrop>
  <Company/>
  <LinksUpToDate>false</LinksUpToDate>
  <CharactersWithSpaces>11547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2026-02-04T07:33:00Z</dcterms:created>
  <dcterms:modified xsi:type="dcterms:W3CDTF">2026-02-04T07:33:00Z</dcterms:modified>
</cp:coreProperties>
</file>