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4D421" w14:textId="77777777" w:rsidR="00E90659" w:rsidRDefault="00E90659" w:rsidP="00E90659">
      <w:pPr>
        <w:pStyle w:val="EndNoteBibliography"/>
        <w:snapToGrid w:val="0"/>
        <w:spacing w:line="240" w:lineRule="atLeast"/>
        <w:rPr>
          <w:rFonts w:asciiTheme="minorHAnsi" w:hAnsiTheme="minorHAnsi" w:cstheme="minorHAnsi"/>
          <w:sz w:val="18"/>
          <w:szCs w:val="21"/>
        </w:rPr>
      </w:pPr>
      <w:r>
        <w:rPr>
          <w:rFonts w:asciiTheme="minorHAnsi" w:hAnsiTheme="minorHAnsi" w:cstheme="minorHAnsi" w:hint="eastAsia"/>
          <w:sz w:val="18"/>
          <w:szCs w:val="21"/>
        </w:rPr>
        <w:t>Appendices</w:t>
      </w:r>
    </w:p>
    <w:p w14:paraId="33DACF01" w14:textId="77777777" w:rsidR="00E90659" w:rsidRDefault="00E90659" w:rsidP="00E90659">
      <w:pPr>
        <w:pStyle w:val="EndNoteBibliography"/>
        <w:snapToGrid w:val="0"/>
        <w:spacing w:line="240" w:lineRule="atLeast"/>
        <w:rPr>
          <w:rFonts w:asciiTheme="minorHAnsi" w:hAnsiTheme="minorHAnsi" w:cstheme="minorHAnsi"/>
          <w:sz w:val="18"/>
          <w:szCs w:val="21"/>
        </w:rPr>
      </w:pPr>
      <w:r>
        <w:rPr>
          <w:rFonts w:asciiTheme="minorHAnsi" w:hAnsiTheme="minorHAnsi" w:cstheme="minorHAnsi" w:hint="eastAsia"/>
          <w:sz w:val="18"/>
          <w:szCs w:val="21"/>
        </w:rPr>
        <w:t xml:space="preserve">Appendix1. </w:t>
      </w:r>
      <w:r>
        <w:rPr>
          <w:rFonts w:asciiTheme="minorHAnsi" w:hAnsiTheme="minorHAnsi" w:cstheme="minorHAnsi"/>
          <w:sz w:val="18"/>
          <w:szCs w:val="21"/>
        </w:rPr>
        <w:t>Original items used for the definition of constructs</w:t>
      </w:r>
    </w:p>
    <w:tbl>
      <w:tblPr>
        <w:tblStyle w:val="a7"/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8127"/>
      </w:tblGrid>
      <w:tr w:rsidR="00E90659" w14:paraId="634578A9" w14:textId="77777777" w:rsidTr="00B80D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jc w:val="center"/>
        </w:trPr>
        <w:tc>
          <w:tcPr>
            <w:tcW w:w="870" w:type="dxa"/>
            <w:vAlign w:val="center"/>
          </w:tcPr>
          <w:p w14:paraId="6C442B1C" w14:textId="77777777" w:rsidR="00E90659" w:rsidRDefault="00E90659" w:rsidP="00B80D23">
            <w:pPr>
              <w:adjustRightInd w:val="0"/>
              <w:snapToGrid w:val="0"/>
              <w:spacing w:line="240" w:lineRule="atLeast"/>
              <w:jc w:val="center"/>
              <w:rPr>
                <w:rFonts w:eastAsia="Times New Roman"/>
                <w:b/>
                <w:sz w:val="18"/>
                <w:szCs w:val="15"/>
              </w:rPr>
            </w:pPr>
            <w:r>
              <w:rPr>
                <w:rFonts w:eastAsia="Times New Roman"/>
                <w:b/>
                <w:sz w:val="18"/>
                <w:szCs w:val="15"/>
              </w:rPr>
              <w:t>Item Code</w:t>
            </w:r>
          </w:p>
        </w:tc>
        <w:tc>
          <w:tcPr>
            <w:tcW w:w="8127" w:type="dxa"/>
            <w:noWrap/>
            <w:vAlign w:val="center"/>
          </w:tcPr>
          <w:p w14:paraId="0E36B188" w14:textId="77777777" w:rsidR="00E90659" w:rsidRDefault="00E90659" w:rsidP="00B80D23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8"/>
                <w:szCs w:val="15"/>
              </w:rPr>
            </w:pPr>
            <w:r>
              <w:rPr>
                <w:rFonts w:eastAsia="Times New Roman"/>
                <w:b/>
                <w:sz w:val="18"/>
                <w:szCs w:val="15"/>
              </w:rPr>
              <w:t>item</w:t>
            </w:r>
          </w:p>
        </w:tc>
      </w:tr>
      <w:tr w:rsidR="00E90659" w14:paraId="2AE5F2BB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7B32C57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IPEG1</w:t>
            </w:r>
          </w:p>
        </w:tc>
        <w:tc>
          <w:tcPr>
            <w:tcW w:w="8127" w:type="dxa"/>
            <w:noWrap/>
            <w:vAlign w:val="center"/>
          </w:tcPr>
          <w:p w14:paraId="65CE001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I</w:t>
            </w:r>
            <w:r>
              <w:rPr>
                <w:rFonts w:cstheme="minorHAnsi" w:hint="eastAsia"/>
                <w:sz w:val="15"/>
                <w:szCs w:val="15"/>
              </w:rPr>
              <w:t xml:space="preserve"> am</w:t>
            </w:r>
            <w:r>
              <w:rPr>
                <w:rFonts w:cstheme="minorHAnsi"/>
                <w:sz w:val="15"/>
                <w:szCs w:val="15"/>
              </w:rPr>
              <w:t xml:space="preserve"> willing to use biological pesticides instead of chemical pesticides to reduce agricultural ecological environmental pollution</w:t>
            </w:r>
          </w:p>
        </w:tc>
      </w:tr>
      <w:tr w:rsidR="00E90659" w14:paraId="5B7BB679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529DC640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IPEG2</w:t>
            </w:r>
          </w:p>
        </w:tc>
        <w:tc>
          <w:tcPr>
            <w:tcW w:w="8127" w:type="dxa"/>
            <w:noWrap/>
            <w:vAlign w:val="center"/>
          </w:tcPr>
          <w:p w14:paraId="09CB68AF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 xml:space="preserve">I </w:t>
            </w:r>
            <w:r>
              <w:rPr>
                <w:rFonts w:cstheme="minorHAnsi" w:hint="eastAsia"/>
                <w:sz w:val="15"/>
                <w:szCs w:val="15"/>
              </w:rPr>
              <w:t>am</w:t>
            </w:r>
            <w:r>
              <w:rPr>
                <w:rFonts w:cstheme="minorHAnsi"/>
                <w:sz w:val="15"/>
                <w:szCs w:val="15"/>
              </w:rPr>
              <w:t xml:space="preserve"> willing to recycle agricultural waste to protect the ecological environment of farmland</w:t>
            </w:r>
          </w:p>
        </w:tc>
      </w:tr>
      <w:tr w:rsidR="00E90659" w14:paraId="596AE0B5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341422F0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IPEG3</w:t>
            </w:r>
          </w:p>
        </w:tc>
        <w:tc>
          <w:tcPr>
            <w:tcW w:w="8127" w:type="dxa"/>
            <w:noWrap/>
            <w:vAlign w:val="center"/>
          </w:tcPr>
          <w:p w14:paraId="038D2902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 xml:space="preserve">I </w:t>
            </w:r>
            <w:r>
              <w:rPr>
                <w:rFonts w:cstheme="minorHAnsi" w:hint="eastAsia"/>
                <w:sz w:val="15"/>
                <w:szCs w:val="15"/>
              </w:rPr>
              <w:t>am</w:t>
            </w:r>
            <w:r>
              <w:rPr>
                <w:rFonts w:cstheme="minorHAnsi"/>
                <w:sz w:val="15"/>
                <w:szCs w:val="15"/>
              </w:rPr>
              <w:t xml:space="preserve"> willing to use organic fertilizer instead of chemical fertilizer to reduce the harm to the soil</w:t>
            </w:r>
          </w:p>
        </w:tc>
      </w:tr>
      <w:tr w:rsidR="00E90659" w14:paraId="2C4D8987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743B5552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IPEG4</w:t>
            </w:r>
          </w:p>
        </w:tc>
        <w:tc>
          <w:tcPr>
            <w:tcW w:w="8127" w:type="dxa"/>
            <w:noWrap/>
            <w:vAlign w:val="center"/>
          </w:tcPr>
          <w:p w14:paraId="2345154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If soil fertility declines, are you willing to use soil remediation to restore fertility</w:t>
            </w:r>
          </w:p>
        </w:tc>
      </w:tr>
      <w:tr w:rsidR="00E90659" w14:paraId="096456A8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35A1BFE2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sz w:val="15"/>
                <w:szCs w:val="15"/>
              </w:rPr>
            </w:pPr>
            <w:r>
              <w:rPr>
                <w:rFonts w:eastAsia="等线" w:cstheme="minorHAnsi" w:hint="eastAsia"/>
                <w:sz w:val="15"/>
                <w:szCs w:val="15"/>
              </w:rPr>
              <w:t>P</w:t>
            </w:r>
            <w:r>
              <w:rPr>
                <w:rFonts w:eastAsia="等线" w:cstheme="minorHAnsi"/>
                <w:sz w:val="15"/>
                <w:szCs w:val="15"/>
              </w:rPr>
              <w:t>EP1</w:t>
            </w:r>
          </w:p>
        </w:tc>
        <w:tc>
          <w:tcPr>
            <w:tcW w:w="8127" w:type="dxa"/>
            <w:noWrap/>
            <w:vAlign w:val="center"/>
          </w:tcPr>
          <w:p w14:paraId="194B11A7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It is easy to report ecological environmental problems or governance effects</w:t>
            </w:r>
          </w:p>
          <w:p w14:paraId="6FF0F142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to the local government or village cadres</w:t>
            </w:r>
          </w:p>
        </w:tc>
      </w:tr>
      <w:tr w:rsidR="00E90659" w14:paraId="4D38E39C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695D313D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sz w:val="15"/>
                <w:szCs w:val="15"/>
              </w:rPr>
            </w:pPr>
            <w:r>
              <w:rPr>
                <w:rFonts w:eastAsia="等线" w:cstheme="minorHAnsi" w:hint="eastAsia"/>
                <w:sz w:val="15"/>
                <w:szCs w:val="15"/>
              </w:rPr>
              <w:t>P</w:t>
            </w:r>
            <w:r>
              <w:rPr>
                <w:rFonts w:eastAsia="等线" w:cstheme="minorHAnsi"/>
                <w:sz w:val="15"/>
                <w:szCs w:val="15"/>
              </w:rPr>
              <w:t>EP2</w:t>
            </w:r>
          </w:p>
        </w:tc>
        <w:tc>
          <w:tcPr>
            <w:tcW w:w="8127" w:type="dxa"/>
            <w:noWrap/>
            <w:vAlign w:val="center"/>
          </w:tcPr>
          <w:p w14:paraId="3736D291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It is easy for you to participate in the decision-making process of ecological and environmental governance in your village</w:t>
            </w:r>
          </w:p>
        </w:tc>
      </w:tr>
      <w:tr w:rsidR="00E90659" w14:paraId="3D3201F8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1A80B6D5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sz w:val="15"/>
                <w:szCs w:val="15"/>
              </w:rPr>
            </w:pPr>
            <w:r>
              <w:rPr>
                <w:rFonts w:eastAsia="等线" w:cstheme="minorHAnsi" w:hint="eastAsia"/>
                <w:sz w:val="15"/>
                <w:szCs w:val="15"/>
              </w:rPr>
              <w:t>P</w:t>
            </w:r>
            <w:r>
              <w:rPr>
                <w:rFonts w:eastAsia="等线" w:cstheme="minorHAnsi"/>
                <w:sz w:val="15"/>
                <w:szCs w:val="15"/>
              </w:rPr>
              <w:t>EP3</w:t>
            </w:r>
          </w:p>
        </w:tc>
        <w:tc>
          <w:tcPr>
            <w:tcW w:w="8127" w:type="dxa"/>
            <w:noWrap/>
            <w:vAlign w:val="center"/>
          </w:tcPr>
          <w:p w14:paraId="56F2D71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It is easy for you to monitor and report behaviors that damage the environment and affect public health</w:t>
            </w:r>
          </w:p>
        </w:tc>
      </w:tr>
      <w:tr w:rsidR="00E90659" w14:paraId="67430DA3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4282498E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sz w:val="15"/>
                <w:szCs w:val="15"/>
              </w:rPr>
            </w:pPr>
            <w:r>
              <w:rPr>
                <w:rFonts w:eastAsia="等线" w:cstheme="minorHAnsi" w:hint="eastAsia"/>
                <w:sz w:val="15"/>
                <w:szCs w:val="15"/>
              </w:rPr>
              <w:t>EP</w:t>
            </w:r>
            <w:r>
              <w:rPr>
                <w:rFonts w:eastAsia="等线" w:cstheme="minorHAnsi"/>
                <w:sz w:val="15"/>
                <w:szCs w:val="15"/>
              </w:rPr>
              <w:t>EG1</w:t>
            </w:r>
          </w:p>
        </w:tc>
        <w:tc>
          <w:tcPr>
            <w:tcW w:w="8127" w:type="dxa"/>
            <w:noWrap/>
            <w:vAlign w:val="center"/>
          </w:tcPr>
          <w:p w14:paraId="1B4CAAD9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Ecological environment management can reduce soil erosion and prevent land desertification</w:t>
            </w:r>
          </w:p>
        </w:tc>
      </w:tr>
      <w:tr w:rsidR="00E90659" w14:paraId="040FAB76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126F1902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sz w:val="15"/>
                <w:szCs w:val="15"/>
              </w:rPr>
            </w:pPr>
            <w:r>
              <w:rPr>
                <w:rFonts w:eastAsia="等线" w:cstheme="minorHAnsi" w:hint="eastAsia"/>
                <w:sz w:val="15"/>
                <w:szCs w:val="15"/>
              </w:rPr>
              <w:t>EP</w:t>
            </w:r>
            <w:r>
              <w:rPr>
                <w:rFonts w:eastAsia="等线" w:cstheme="minorHAnsi"/>
                <w:sz w:val="15"/>
                <w:szCs w:val="15"/>
              </w:rPr>
              <w:t>EG2</w:t>
            </w:r>
          </w:p>
        </w:tc>
        <w:tc>
          <w:tcPr>
            <w:tcW w:w="8127" w:type="dxa"/>
            <w:noWrap/>
            <w:vAlign w:val="center"/>
          </w:tcPr>
          <w:p w14:paraId="4B1F1FB1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Ecological environment governance can improve the quality of water, soil, air and biological environment</w:t>
            </w:r>
          </w:p>
        </w:tc>
      </w:tr>
      <w:tr w:rsidR="00E90659" w14:paraId="36B251D0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68317F65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sz w:val="15"/>
                <w:szCs w:val="15"/>
              </w:rPr>
            </w:pPr>
            <w:r>
              <w:rPr>
                <w:rFonts w:eastAsia="等线" w:cstheme="minorHAnsi" w:hint="eastAsia"/>
                <w:sz w:val="15"/>
                <w:szCs w:val="15"/>
              </w:rPr>
              <w:t>EP</w:t>
            </w:r>
            <w:r>
              <w:rPr>
                <w:rFonts w:eastAsia="等线" w:cstheme="minorHAnsi"/>
                <w:sz w:val="15"/>
                <w:szCs w:val="15"/>
              </w:rPr>
              <w:t>EG3</w:t>
            </w:r>
          </w:p>
        </w:tc>
        <w:tc>
          <w:tcPr>
            <w:tcW w:w="8127" w:type="dxa"/>
            <w:noWrap/>
            <w:vAlign w:val="center"/>
          </w:tcPr>
          <w:p w14:paraId="4DF12201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Ecological environment governance helps to develop ecological agriculture and increase agricultural income</w:t>
            </w:r>
          </w:p>
        </w:tc>
      </w:tr>
      <w:tr w:rsidR="00E90659" w14:paraId="159A87FC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71F95D0B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sz w:val="15"/>
                <w:szCs w:val="15"/>
              </w:rPr>
            </w:pPr>
            <w:r>
              <w:rPr>
                <w:rFonts w:eastAsia="等线" w:cstheme="minorHAnsi" w:hint="eastAsia"/>
                <w:sz w:val="15"/>
                <w:szCs w:val="15"/>
              </w:rPr>
              <w:t>EP</w:t>
            </w:r>
            <w:r>
              <w:rPr>
                <w:rFonts w:eastAsia="等线" w:cstheme="minorHAnsi"/>
                <w:sz w:val="15"/>
                <w:szCs w:val="15"/>
              </w:rPr>
              <w:t>EG4</w:t>
            </w:r>
          </w:p>
        </w:tc>
        <w:tc>
          <w:tcPr>
            <w:tcW w:w="8127" w:type="dxa"/>
            <w:noWrap/>
            <w:vAlign w:val="center"/>
          </w:tcPr>
          <w:p w14:paraId="06736FF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Ecological environmental governance helps to improve the quality of agricultural products</w:t>
            </w:r>
          </w:p>
        </w:tc>
      </w:tr>
      <w:tr w:rsidR="00E90659" w14:paraId="63C4563A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645F85B1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EEG1</w:t>
            </w:r>
          </w:p>
        </w:tc>
        <w:tc>
          <w:tcPr>
            <w:tcW w:w="8127" w:type="dxa"/>
            <w:noWrap/>
            <w:vAlign w:val="center"/>
          </w:tcPr>
          <w:p w14:paraId="3F98CB8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You will feel guilty if you use too much fertilizer</w:t>
            </w:r>
          </w:p>
        </w:tc>
      </w:tr>
      <w:tr w:rsidR="00E90659" w14:paraId="2EEA8AFA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7E2CCFA6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EEG2</w:t>
            </w:r>
          </w:p>
        </w:tc>
        <w:tc>
          <w:tcPr>
            <w:tcW w:w="8127" w:type="dxa"/>
            <w:noWrap/>
            <w:vAlign w:val="center"/>
          </w:tcPr>
          <w:p w14:paraId="182718AE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You will feel guilty if you do not take soil remediation measures</w:t>
            </w:r>
          </w:p>
        </w:tc>
      </w:tr>
      <w:tr w:rsidR="00E90659" w14:paraId="3BAE965E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76E26266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EEG3</w:t>
            </w:r>
          </w:p>
        </w:tc>
        <w:tc>
          <w:tcPr>
            <w:tcW w:w="8127" w:type="dxa"/>
            <w:noWrap/>
            <w:vAlign w:val="center"/>
          </w:tcPr>
          <w:p w14:paraId="65E5CB21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 w:hint="eastAsia"/>
                <w:sz w:val="15"/>
                <w:szCs w:val="15"/>
              </w:rPr>
              <w:t>Y</w:t>
            </w:r>
            <w:r>
              <w:rPr>
                <w:rFonts w:cstheme="minorHAnsi"/>
                <w:sz w:val="15"/>
                <w:szCs w:val="15"/>
              </w:rPr>
              <w:t xml:space="preserve">ou will feel guilty </w:t>
            </w:r>
            <w:r>
              <w:rPr>
                <w:rFonts w:cstheme="minorHAnsi" w:hint="eastAsia"/>
                <w:sz w:val="15"/>
                <w:szCs w:val="15"/>
              </w:rPr>
              <w:t>i</w:t>
            </w:r>
            <w:r>
              <w:rPr>
                <w:rFonts w:cstheme="minorHAnsi"/>
                <w:sz w:val="15"/>
                <w:szCs w:val="15"/>
              </w:rPr>
              <w:t>f you throw away farm waste such as pesticide bottles or discarded agricultural film,</w:t>
            </w:r>
          </w:p>
        </w:tc>
      </w:tr>
      <w:tr w:rsidR="00E90659" w14:paraId="35AFD0F8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33CB64C6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AREG1</w:t>
            </w:r>
          </w:p>
        </w:tc>
        <w:tc>
          <w:tcPr>
            <w:tcW w:w="8127" w:type="dxa"/>
            <w:noWrap/>
            <w:vAlign w:val="center"/>
          </w:tcPr>
          <w:p w14:paraId="1CE5C47E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Villagers have the right to participate in the decision-making of rural ecological environment governance</w:t>
            </w:r>
          </w:p>
        </w:tc>
      </w:tr>
      <w:tr w:rsidR="00E90659" w14:paraId="6B4A6EBC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34F0809A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AREG2</w:t>
            </w:r>
          </w:p>
        </w:tc>
        <w:tc>
          <w:tcPr>
            <w:tcW w:w="8127" w:type="dxa"/>
            <w:noWrap/>
            <w:vAlign w:val="center"/>
          </w:tcPr>
          <w:p w14:paraId="09826ADE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Villagers have the right to protect the ecological environment from destruction</w:t>
            </w:r>
          </w:p>
        </w:tc>
      </w:tr>
      <w:tr w:rsidR="00E90659" w14:paraId="5120BF25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218702F5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AREG3</w:t>
            </w:r>
          </w:p>
        </w:tc>
        <w:tc>
          <w:tcPr>
            <w:tcW w:w="8127" w:type="dxa"/>
            <w:noWrap/>
            <w:vAlign w:val="center"/>
          </w:tcPr>
          <w:p w14:paraId="538930C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Villagers are the main body of rural areas, and the improvement of rural ecological environment quality cannot be separated from the participation of villagers</w:t>
            </w:r>
          </w:p>
        </w:tc>
      </w:tr>
      <w:tr w:rsidR="00E90659" w14:paraId="14E28CA2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7051D68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FIEG1</w:t>
            </w:r>
          </w:p>
        </w:tc>
        <w:tc>
          <w:tcPr>
            <w:tcW w:w="8127" w:type="dxa"/>
            <w:noWrap/>
            <w:vAlign w:val="center"/>
          </w:tcPr>
          <w:p w14:paraId="0E9F6B42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Recycling agricultural waste can improve environmental problems (pesticide bottles, fertilizer bags, waste agricultural film, etc.)</w:t>
            </w:r>
          </w:p>
        </w:tc>
      </w:tr>
      <w:tr w:rsidR="00E90659" w14:paraId="0CFCE7E3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5239EB88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FIEG2</w:t>
            </w:r>
          </w:p>
        </w:tc>
        <w:tc>
          <w:tcPr>
            <w:tcW w:w="8127" w:type="dxa"/>
            <w:noWrap/>
            <w:vAlign w:val="center"/>
          </w:tcPr>
          <w:p w14:paraId="130DA197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The use of soil remediation measures can improve the quality of farmland (e.g. planting green manure, improving farming practices, etc.)</w:t>
            </w:r>
          </w:p>
        </w:tc>
      </w:tr>
      <w:tr w:rsidR="00E90659" w14:paraId="0071074C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5D58B49F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FIEG3</w:t>
            </w:r>
          </w:p>
        </w:tc>
        <w:tc>
          <w:tcPr>
            <w:tcW w:w="8127" w:type="dxa"/>
            <w:noWrap/>
            <w:vAlign w:val="center"/>
          </w:tcPr>
          <w:p w14:paraId="2F162AB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Excessive application of chemical fertilizer will pollute the ecological environment</w:t>
            </w:r>
          </w:p>
        </w:tc>
      </w:tr>
      <w:tr w:rsidR="00E90659" w14:paraId="0F27838B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0B31A22A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SN1</w:t>
            </w:r>
          </w:p>
        </w:tc>
        <w:tc>
          <w:tcPr>
            <w:tcW w:w="8127" w:type="dxa"/>
            <w:noWrap/>
            <w:vAlign w:val="center"/>
          </w:tcPr>
          <w:p w14:paraId="0A26D78A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Media (TV, radio, Internet, etc.) encourage</w:t>
            </w:r>
            <w:r>
              <w:rPr>
                <w:rFonts w:cstheme="minorHAnsi" w:hint="eastAsia"/>
                <w:sz w:val="15"/>
                <w:szCs w:val="15"/>
              </w:rPr>
              <w:t>s</w:t>
            </w:r>
            <w:r>
              <w:rPr>
                <w:rFonts w:cstheme="minorHAnsi"/>
                <w:sz w:val="15"/>
                <w:szCs w:val="15"/>
              </w:rPr>
              <w:t xml:space="preserve"> villagers to actively participate in ecological environmental governance</w:t>
            </w:r>
          </w:p>
        </w:tc>
      </w:tr>
      <w:tr w:rsidR="00E90659" w14:paraId="70F38570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79EE2261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SN2</w:t>
            </w:r>
          </w:p>
        </w:tc>
        <w:tc>
          <w:tcPr>
            <w:tcW w:w="8127" w:type="dxa"/>
            <w:noWrap/>
            <w:vAlign w:val="center"/>
          </w:tcPr>
          <w:p w14:paraId="3FA9D23F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Relatives and friends actively participate in the governance of the ecological environment</w:t>
            </w:r>
          </w:p>
        </w:tc>
      </w:tr>
      <w:tr w:rsidR="00E90659" w14:paraId="03A4499D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49530FA0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eastAsia="等线" w:cstheme="minorHAnsi"/>
                <w:color w:val="000000"/>
                <w:sz w:val="15"/>
                <w:szCs w:val="15"/>
              </w:rPr>
              <w:t>SN3</w:t>
            </w:r>
          </w:p>
        </w:tc>
        <w:tc>
          <w:tcPr>
            <w:tcW w:w="8127" w:type="dxa"/>
            <w:noWrap/>
            <w:vAlign w:val="center"/>
          </w:tcPr>
          <w:p w14:paraId="128B435F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Village cadres call on villagers to actively participate in the governance of the ecological environment</w:t>
            </w:r>
          </w:p>
        </w:tc>
      </w:tr>
      <w:tr w:rsidR="00E90659" w14:paraId="301F803D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50A8C50E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PBEG1</w:t>
            </w:r>
          </w:p>
        </w:tc>
        <w:tc>
          <w:tcPr>
            <w:tcW w:w="8127" w:type="dxa"/>
            <w:noWrap/>
            <w:vAlign w:val="center"/>
          </w:tcPr>
          <w:p w14:paraId="759C8CB0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 xml:space="preserve">Changes of fertilizer application rate per mu in your </w:t>
            </w:r>
            <w:r>
              <w:rPr>
                <w:rFonts w:cstheme="minorHAnsi" w:hint="eastAsia"/>
                <w:sz w:val="15"/>
                <w:szCs w:val="15"/>
              </w:rPr>
              <w:t>farmland</w:t>
            </w:r>
            <w:r>
              <w:rPr>
                <w:rFonts w:cstheme="minorHAnsi"/>
                <w:sz w:val="15"/>
                <w:szCs w:val="15"/>
              </w:rPr>
              <w:t xml:space="preserve"> in recent 3 years:</w:t>
            </w:r>
          </w:p>
          <w:p w14:paraId="11CE3DA4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□ A lot more □ A little more □ No change □ A little less □ A lot less</w:t>
            </w:r>
          </w:p>
        </w:tc>
      </w:tr>
      <w:tr w:rsidR="00E90659" w14:paraId="008A23D6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43877ED3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PBEG2</w:t>
            </w:r>
          </w:p>
        </w:tc>
        <w:tc>
          <w:tcPr>
            <w:tcW w:w="8127" w:type="dxa"/>
            <w:noWrap/>
            <w:vAlign w:val="center"/>
          </w:tcPr>
          <w:p w14:paraId="40193640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Changes of pesticide application rate per mu in your home in recent 3 years:</w:t>
            </w:r>
          </w:p>
          <w:p w14:paraId="224307AC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□ A lot more □ A little more □ No change □ A little less □ A lot less</w:t>
            </w:r>
          </w:p>
        </w:tc>
      </w:tr>
      <w:tr w:rsidR="00E90659" w14:paraId="6F53BDC5" w14:textId="77777777" w:rsidTr="00B80D23">
        <w:trPr>
          <w:trHeight w:val="290"/>
          <w:jc w:val="center"/>
        </w:trPr>
        <w:tc>
          <w:tcPr>
            <w:tcW w:w="870" w:type="dxa"/>
            <w:vAlign w:val="center"/>
          </w:tcPr>
          <w:p w14:paraId="4E8D6DC2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eastAsia="等线" w:cstheme="minorHAnsi"/>
                <w:color w:val="000000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PBEG3</w:t>
            </w:r>
          </w:p>
        </w:tc>
        <w:tc>
          <w:tcPr>
            <w:tcW w:w="8127" w:type="dxa"/>
            <w:noWrap/>
            <w:vAlign w:val="center"/>
          </w:tcPr>
          <w:p w14:paraId="22B87AFB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Whether you ha</w:t>
            </w:r>
            <w:r>
              <w:rPr>
                <w:rFonts w:cstheme="minorHAnsi" w:hint="eastAsia"/>
                <w:sz w:val="15"/>
                <w:szCs w:val="15"/>
              </w:rPr>
              <w:t>ve</w:t>
            </w:r>
            <w:r>
              <w:rPr>
                <w:rFonts w:cstheme="minorHAnsi"/>
                <w:sz w:val="15"/>
                <w:szCs w:val="15"/>
              </w:rPr>
              <w:t xml:space="preserve"> adopted soil improvement measures (such as planting green manure, improving farming practices and applying soil amendments, etc.)</w:t>
            </w:r>
          </w:p>
          <w:p w14:paraId="1A52A369" w14:textId="77777777" w:rsidR="00E90659" w:rsidRDefault="00E90659" w:rsidP="00B80D23">
            <w:pPr>
              <w:widowControl/>
              <w:adjustRightInd w:val="0"/>
              <w:snapToGrid w:val="0"/>
              <w:spacing w:line="240" w:lineRule="atLeast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□ Never take □ Take less □ Take timely □ Take often □ Take completely</w:t>
            </w:r>
          </w:p>
        </w:tc>
      </w:tr>
    </w:tbl>
    <w:p w14:paraId="7AA42B78" w14:textId="77777777" w:rsidR="00E90659" w:rsidRDefault="00E90659" w:rsidP="00E90659">
      <w:pPr>
        <w:pStyle w:val="EndNoteBibliography"/>
        <w:snapToGrid w:val="0"/>
        <w:spacing w:line="240" w:lineRule="atLeast"/>
        <w:rPr>
          <w:sz w:val="21"/>
          <w:szCs w:val="21"/>
        </w:rPr>
      </w:pPr>
    </w:p>
    <w:p w14:paraId="7982F4F4" w14:textId="5779EC53" w:rsidR="00C014B3" w:rsidRPr="00C014B3" w:rsidRDefault="00C014B3" w:rsidP="00C014B3">
      <w:pPr>
        <w:jc w:val="center"/>
      </w:pPr>
      <w:r w:rsidRPr="00C014B3">
        <w:lastRenderedPageBreak/>
        <w:drawing>
          <wp:inline distT="0" distB="0" distL="0" distR="0" wp14:anchorId="79D19D0D" wp14:editId="7D92E11A">
            <wp:extent cx="4381500" cy="3048000"/>
            <wp:effectExtent l="0" t="0" r="0" b="0"/>
            <wp:docPr id="124385685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C30F3" w14:textId="77777777" w:rsidR="00C014B3" w:rsidRPr="00C014B3" w:rsidRDefault="00C014B3" w:rsidP="00C014B3">
      <w:pPr>
        <w:jc w:val="center"/>
      </w:pPr>
      <w:r w:rsidRPr="00C014B3">
        <w:t>Fig.1 Partial least squares path modelling (PLS-PM) of hypothesis</w:t>
      </w:r>
    </w:p>
    <w:p w14:paraId="07249302" w14:textId="77777777" w:rsidR="004B3F0E" w:rsidRPr="00C014B3" w:rsidRDefault="004B3F0E" w:rsidP="00C014B3">
      <w:pPr>
        <w:jc w:val="center"/>
      </w:pPr>
    </w:p>
    <w:sectPr w:rsidR="004B3F0E" w:rsidRPr="00C014B3" w:rsidSect="00C30B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ECAD3" w14:textId="77777777" w:rsidR="007A1D2E" w:rsidRDefault="007A1D2E">
      <w:r>
        <w:separator/>
      </w:r>
    </w:p>
  </w:endnote>
  <w:endnote w:type="continuationSeparator" w:id="0">
    <w:p w14:paraId="557BCA8B" w14:textId="77777777" w:rsidR="007A1D2E" w:rsidRDefault="007A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47770" w14:textId="77777777" w:rsidR="00000000" w:rsidRDefault="00000000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48470" w14:textId="77777777" w:rsidR="00000000" w:rsidRDefault="00E90659">
    <w:pPr>
      <w:pStyle w:val="a3"/>
      <w:ind w:firstLine="360"/>
    </w:pPr>
    <w:r>
      <w:fldChar w:fldCharType="begin"/>
    </w:r>
    <w:r>
      <w:instrText xml:space="preserve"> PAGE   \* MERGEFORMAT </w:instrText>
    </w:r>
    <w:r>
      <w:fldChar w:fldCharType="separate"/>
    </w:r>
    <w:r w:rsidRPr="00E90659">
      <w:rPr>
        <w:noProof/>
        <w:lang w:val="zh-CN"/>
      </w:rPr>
      <w:t>1</w:t>
    </w:r>
    <w:r>
      <w:rPr>
        <w:lang w:val="zh-C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69620" w14:textId="77777777" w:rsidR="00000000" w:rsidRDefault="00000000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7E72" w14:textId="77777777" w:rsidR="007A1D2E" w:rsidRDefault="007A1D2E">
      <w:r>
        <w:separator/>
      </w:r>
    </w:p>
  </w:footnote>
  <w:footnote w:type="continuationSeparator" w:id="0">
    <w:p w14:paraId="117EF3ED" w14:textId="77777777" w:rsidR="007A1D2E" w:rsidRDefault="007A1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9595" w14:textId="77777777" w:rsidR="00000000" w:rsidRDefault="0000000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DCAF" w14:textId="77777777" w:rsidR="00000000" w:rsidRDefault="0000000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4A4" w14:textId="77777777" w:rsidR="00000000" w:rsidRDefault="00000000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659"/>
    <w:rsid w:val="004B3F0E"/>
    <w:rsid w:val="007A1D2E"/>
    <w:rsid w:val="00983931"/>
    <w:rsid w:val="00C014B3"/>
    <w:rsid w:val="00E9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175245"/>
  <w15:docId w15:val="{11BD341B-9F78-4FDB-BAB3-79069C84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65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E9065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E90659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E9065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E90659"/>
    <w:rPr>
      <w:sz w:val="18"/>
      <w:szCs w:val="18"/>
    </w:rPr>
  </w:style>
  <w:style w:type="table" w:customStyle="1" w:styleId="a7">
    <w:name w:val="三线表"/>
    <w:basedOn w:val="a1"/>
    <w:qFormat/>
    <w:rsid w:val="00E90659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</w:style>
  <w:style w:type="paragraph" w:customStyle="1" w:styleId="EndNoteBibliography">
    <w:name w:val="EndNote Bibliography"/>
    <w:basedOn w:val="a"/>
    <w:link w:val="EndNoteBibliographyChar"/>
    <w:qFormat/>
    <w:rsid w:val="00E90659"/>
    <w:rPr>
      <w:rFonts w:ascii="Times New Roman" w:hAnsi="Times New Roman" w:cs="Times New Roman"/>
      <w:sz w:val="20"/>
    </w:rPr>
  </w:style>
  <w:style w:type="character" w:customStyle="1" w:styleId="EndNoteBibliographyChar">
    <w:name w:val="EndNote Bibliography Char"/>
    <w:basedOn w:val="a0"/>
    <w:link w:val="EndNoteBibliography"/>
    <w:qFormat/>
    <w:rsid w:val="00E90659"/>
    <w:rPr>
      <w:rFonts w:ascii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2745</Characters>
  <Application>Microsoft Office Word</Application>
  <DocSecurity>0</DocSecurity>
  <Lines>68</Lines>
  <Paragraphs>72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倩娜 李</cp:lastModifiedBy>
  <cp:revision>2</cp:revision>
  <dcterms:created xsi:type="dcterms:W3CDTF">2025-12-19T14:53:00Z</dcterms:created>
  <dcterms:modified xsi:type="dcterms:W3CDTF">2025-12-19T14:53:00Z</dcterms:modified>
</cp:coreProperties>
</file>