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53EF8">
      <w:pPr>
        <w:spacing w:line="300" w:lineRule="auto"/>
        <w:rPr>
          <w:rFonts w:hint="eastAsia" w:ascii="Times New Roman" w:hAnsi="Times New Roman" w:cs="Times New Roman" w:eastAsiaTheme="minorEastAsia"/>
          <w:b/>
          <w:bCs/>
          <w:szCs w:val="21"/>
          <w:lang w:eastAsia="zh-CN"/>
        </w:rPr>
      </w:pPr>
      <w:bookmarkStart w:id="0" w:name="_GoBack"/>
      <w:r>
        <w:rPr>
          <w:rFonts w:hint="eastAsia" w:ascii="Times New Roman" w:hAnsi="Times New Roman" w:cs="Times New Roman" w:eastAsiaTheme="minorEastAsia"/>
          <w:b/>
          <w:bCs/>
          <w:szCs w:val="21"/>
          <w:lang w:eastAsia="zh-CN"/>
        </w:rPr>
        <w:drawing>
          <wp:inline distT="0" distB="0" distL="114300" distR="114300">
            <wp:extent cx="5271135" cy="3836035"/>
            <wp:effectExtent l="0" t="0" r="12065" b="12065"/>
            <wp:docPr id="1" name="图片 1" descr="Figure S1最新（10.6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最新（10.6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7378FF8"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hint="eastAsia"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 Single-cell sequencing information and quality control results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64C9AF67"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Violin plots demonstrating the number of genes (nFeature_RNA), unique molecular identifier (nCount_RNA), and percentage of mitochondria genes (percent.mt) in the control and phenylketonuria (PKU) groups. B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Principal component analysis of the control and PKU groups. C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Uniform Manifold Approximation and Projection (UMAP) plot color-coded by cell source of the control and PKU groups. D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Heatmap showing the top 20 differentially expressed genes of each cell type.</w:t>
      </w:r>
    </w:p>
    <w:p w14:paraId="58BDA5AA"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13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2025-10-09T06:30:48Z</dcterms:created>
  <dc:creator>Think Book</dc:creator>
  <cp:lastModifiedBy>—</cp:lastModifiedBy>
  <dcterms:modified xsi:type="dcterms:W3CDTF">2025-10-09T06:34:01Z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eyJoZGlkIjoiMWU3NWFhMjgwNzE0NTMwMmExNTJmNDFmYjMwNTAxN2EiLCJ1c2VySWQiOiIzMTMzNDE0MDYifQ==</vt:lpwstr>
  </property>
  <property fmtid="{D5CDD505-2E9C-101B-9397-08002B2CF9AE}" pid="4" name="ICV">
    <vt:lpwstr>3FAE3449074046558F21373A34D92406_12</vt:lpwstr>
  </property>
</Properties>
</file>