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0B9" w:rsidRPr="00AB2502" w:rsidRDefault="00CC30B9" w:rsidP="00CC30B9">
      <w:pPr>
        <w:spacing w:after="0" w:line="480" w:lineRule="auto"/>
        <w:rPr>
          <w:rFonts w:ascii="Arial" w:hAnsi="Arial" w:cs="Arial"/>
          <w:b/>
          <w:bCs/>
          <w:sz w:val="20"/>
          <w:szCs w:val="20"/>
        </w:rPr>
      </w:pPr>
      <w:r w:rsidRPr="00AB2502">
        <w:rPr>
          <w:rFonts w:ascii="Arial" w:hAnsi="Arial" w:cs="Arial"/>
          <w:b/>
          <w:bCs/>
          <w:sz w:val="20"/>
          <w:szCs w:val="20"/>
        </w:rPr>
        <w:t>SYNOPSIS</w:t>
      </w:r>
    </w:p>
    <w:p w:rsidR="00A739A1" w:rsidRPr="00A42AEA" w:rsidRDefault="00CC30B9" w:rsidP="00A42AEA">
      <w:pPr>
        <w:spacing w:after="0" w:line="480" w:lineRule="auto"/>
        <w:rPr>
          <w:rFonts w:ascii="Arial" w:hAnsi="Arial" w:cs="Arial"/>
          <w:sz w:val="20"/>
          <w:szCs w:val="20"/>
        </w:rPr>
      </w:pPr>
      <w:r w:rsidRPr="00AB2502">
        <w:rPr>
          <w:rFonts w:ascii="Arial" w:hAnsi="Arial" w:cs="Arial"/>
          <w:sz w:val="20"/>
          <w:szCs w:val="20"/>
        </w:rPr>
        <w:t>Combining HPV, cytology, and p16/Ki-67 improves diagnostic performance.</w:t>
      </w:r>
      <w:r w:rsidRPr="00AB2502">
        <w:rPr>
          <w:rFonts w:ascii="Arial" w:hAnsi="Arial" w:cs="Arial"/>
          <w:sz w:val="20"/>
          <w:szCs w:val="20"/>
        </w:rPr>
        <w:br/>
        <w:t>Triple testing strengthens CIN2+ detection while minimizing false negatives.</w:t>
      </w:r>
      <w:r w:rsidRPr="00AB2502">
        <w:rPr>
          <w:rFonts w:ascii="Arial" w:hAnsi="Arial" w:cs="Arial"/>
          <w:sz w:val="20"/>
          <w:szCs w:val="20"/>
        </w:rPr>
        <w:br/>
        <w:t>Distinct test profiles enable clinically meaningful risk stratification.</w:t>
      </w:r>
      <w:r w:rsidRPr="00AB2502">
        <w:rPr>
          <w:rFonts w:ascii="Arial" w:hAnsi="Arial" w:cs="Arial"/>
          <w:sz w:val="20"/>
          <w:szCs w:val="20"/>
        </w:rPr>
        <w:br/>
        <w:t>Two-year follow-up supports conservative management in low-risk patients.</w:t>
      </w:r>
      <w:bookmarkStart w:id="0" w:name="_GoBack"/>
      <w:bookmarkEnd w:id="0"/>
    </w:p>
    <w:sectPr w:rsidR="00A739A1" w:rsidRPr="00A42AEA" w:rsidSect="00CC30B9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0B9"/>
    <w:rsid w:val="00A42AEA"/>
    <w:rsid w:val="00A739A1"/>
    <w:rsid w:val="00CC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0B9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C30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0B9"/>
    <w:pPr>
      <w:spacing w:after="160" w:line="278" w:lineRule="auto"/>
    </w:pPr>
    <w:rPr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CC3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Citoloska pc1</dc:creator>
  <cp:lastModifiedBy>Citoloska pc1</cp:lastModifiedBy>
  <cp:revision>2</cp:revision>
  <dcterms:created xsi:type="dcterms:W3CDTF">2025-12-10T11:57:00Z</dcterms:created>
  <dcterms:modified xsi:type="dcterms:W3CDTF">2025-12-10T11:57:00Z</dcterms:modified>
</cp:coreProperties>
</file>