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356"/>
        <w:gridCol w:w="1236"/>
        <w:gridCol w:w="1236"/>
        <w:gridCol w:w="1070"/>
        <w:gridCol w:w="1976"/>
        <w:gridCol w:w="1910"/>
        <w:gridCol w:w="2629"/>
      </w:tblGrid>
      <w:tr w14:paraId="016F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3F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Supplementary Table 1. Mean Scores of Study Variables across the Two Latent Profiles(N=311)</w:t>
            </w:r>
          </w:p>
        </w:tc>
      </w:tr>
      <w:tr w14:paraId="5A7E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5B8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Number of Profiles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9BC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AIC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641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BIC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A889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aBIC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A8F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Entropy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E59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LMRT ( p-value)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B06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BLRT ( p-value)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FFF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Profile Probabilities (n)</w:t>
            </w:r>
          </w:p>
        </w:tc>
      </w:tr>
      <w:tr w14:paraId="2C3E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F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1 -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E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12596.744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5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12686.499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B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F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6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61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5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2 -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10954.256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B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11092.628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3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10975.277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A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8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140/171</w:t>
            </w:r>
          </w:p>
        </w:tc>
      </w:tr>
      <w:tr w14:paraId="1127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7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3 -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E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10283.078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C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10311.486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2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6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4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C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  /130 / 92          </w:t>
            </w:r>
          </w:p>
        </w:tc>
      </w:tr>
      <w:tr w14:paraId="3715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5C9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4 -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F1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10071.9208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EE3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10307.527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BF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10107.714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D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94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87A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7DD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/79 / 76/84   </w:t>
            </w:r>
          </w:p>
        </w:tc>
      </w:tr>
      <w:tr w14:paraId="3B27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3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F3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Note.  The 2-class solution (highlighted in bold) was selected as the final model.  This decision was based on: (1) a significant improvement in fit over the 1-class model (significant LMRT/BLRT);  (2) superior parsimony and clinical interpretability compared to more complex models;  and crucially, (3) ensuring adequate sample size in each class for subsequent group-based analyses (e.g., mediation).  The 3-class solution, despite marginally better fit indices (e.g., lower AIC/BIC), created a class with a relatively small sample size (n = 89, 28.6%), which was deemed insufficient for stable subgroup analyses.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AIC = Akaike Information Criterion;  BIC = Bayesian Information Criterion;  aBIC = Sample-Size Adjusted BIC;  LMRT = Lo-Mendell-Rubin Adjusted Likelihood Ratio Test;  BLRT = Bootstrap Likelihood Ratio Test.</w:t>
            </w:r>
          </w:p>
        </w:tc>
      </w:tr>
      <w:tr w14:paraId="3FD7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8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1A76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1A2C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8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D497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5C81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338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B2AC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6475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8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4B72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</w:tbl>
    <w:p w14:paraId="4D6517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2025-12-18T08:09:10Z</dcterms:created>
  <dc:creator>shell</dc:creator>
  <cp:lastModifiedBy>晶晶马</cp:lastModifiedBy>
  <dcterms:modified xsi:type="dcterms:W3CDTF">2025-12-18T08:09:26Z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eyJoZGlkIjoiN2RlODY0ZTk5ZDJjYTQ4MTZjMjVlOTYzYzRkYTVjMWQiLCJ1c2VySWQiOiIyNjAzNjA4NjIifQ==</vt:lpwstr>
  </property>
  <property fmtid="{D5CDD505-2E9C-101B-9397-08002B2CF9AE}" pid="4" name="ICV">
    <vt:lpwstr>F8FE90D591FE40809059447720507BD7_12</vt:lpwstr>
  </property>
</Properties>
</file>